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6B7445" w14:textId="77777777" w:rsidR="00CD683D" w:rsidRPr="00B7142D" w:rsidRDefault="00CD683D" w:rsidP="00B7142D">
      <w:pPr>
        <w:jc w:val="center"/>
        <w:rPr>
          <w:b/>
        </w:rPr>
      </w:pPr>
      <w:r w:rsidRPr="00B7142D">
        <w:rPr>
          <w:b/>
        </w:rPr>
        <w:t>Before the</w:t>
      </w:r>
    </w:p>
    <w:p w14:paraId="185859EE" w14:textId="77777777" w:rsidR="00CD683D" w:rsidRPr="001A3028" w:rsidRDefault="00CD683D" w:rsidP="00B7142D">
      <w:pPr>
        <w:pStyle w:val="StyleBoldCentered"/>
        <w:rPr>
          <w:rFonts w:ascii="Times New Roman" w:hAnsi="Times New Roman"/>
        </w:rPr>
      </w:pPr>
      <w:r w:rsidRPr="001A3028">
        <w:rPr>
          <w:rFonts w:ascii="Times New Roman" w:hAnsi="Times New Roman"/>
        </w:rPr>
        <w:t>F</w:t>
      </w:r>
      <w:r w:rsidRPr="001A3028">
        <w:rPr>
          <w:rFonts w:ascii="Times New Roman" w:hAnsi="Times New Roman"/>
          <w:caps w:val="0"/>
        </w:rPr>
        <w:t>ederal Communications Commission</w:t>
      </w:r>
    </w:p>
    <w:p w14:paraId="107EB14B" w14:textId="77777777" w:rsidR="00CD683D" w:rsidRPr="001A3028" w:rsidRDefault="00CD683D" w:rsidP="00B7142D">
      <w:pPr>
        <w:pStyle w:val="StyleBoldCentered"/>
        <w:rPr>
          <w:rFonts w:ascii="Times New Roman" w:hAnsi="Times New Roman"/>
        </w:rPr>
      </w:pPr>
      <w:r w:rsidRPr="001A3028">
        <w:rPr>
          <w:rFonts w:ascii="Times New Roman" w:hAnsi="Times New Roman"/>
          <w:caps w:val="0"/>
        </w:rPr>
        <w:t>Washington</w:t>
      </w:r>
      <w:r w:rsidRPr="001A3028">
        <w:rPr>
          <w:rFonts w:ascii="Times New Roman" w:hAnsi="Times New Roman"/>
        </w:rPr>
        <w:t>, D.C. 20554</w:t>
      </w:r>
    </w:p>
    <w:p w14:paraId="676435B4" w14:textId="77777777" w:rsidR="00CD683D" w:rsidRPr="00B7142D" w:rsidRDefault="00CD683D" w:rsidP="00B7142D"/>
    <w:tbl>
      <w:tblPr>
        <w:tblW w:w="0" w:type="auto"/>
        <w:tblLayout w:type="fixed"/>
        <w:tblLook w:val="0000" w:firstRow="0" w:lastRow="0" w:firstColumn="0" w:lastColumn="0" w:noHBand="0" w:noVBand="0"/>
      </w:tblPr>
      <w:tblGrid>
        <w:gridCol w:w="4698"/>
        <w:gridCol w:w="630"/>
        <w:gridCol w:w="4248"/>
      </w:tblGrid>
      <w:tr w:rsidR="00CD683D" w:rsidRPr="001A3028" w14:paraId="39C16E57" w14:textId="77777777">
        <w:tc>
          <w:tcPr>
            <w:tcW w:w="4698" w:type="dxa"/>
          </w:tcPr>
          <w:p w14:paraId="0A6D21B8" w14:textId="77777777" w:rsidR="00CD683D" w:rsidRPr="00B7142D" w:rsidRDefault="00CD683D" w:rsidP="00B7142D">
            <w:pPr>
              <w:tabs>
                <w:tab w:val="center" w:pos="4680"/>
              </w:tabs>
              <w:suppressAutoHyphens/>
              <w:rPr>
                <w:spacing w:val="-2"/>
              </w:rPr>
            </w:pPr>
            <w:r w:rsidRPr="00B7142D">
              <w:rPr>
                <w:spacing w:val="-2"/>
              </w:rPr>
              <w:t>In the Matter of</w:t>
            </w:r>
          </w:p>
          <w:p w14:paraId="17B355D4" w14:textId="77777777" w:rsidR="00CD683D" w:rsidRPr="00B7142D" w:rsidRDefault="00CD683D" w:rsidP="00B7142D">
            <w:pPr>
              <w:tabs>
                <w:tab w:val="center" w:pos="4680"/>
              </w:tabs>
              <w:suppressAutoHyphens/>
              <w:rPr>
                <w:spacing w:val="-2"/>
              </w:rPr>
            </w:pPr>
          </w:p>
          <w:p w14:paraId="55F07284" w14:textId="77777777" w:rsidR="00CD683D" w:rsidRPr="00B7142D" w:rsidRDefault="008E6183" w:rsidP="00B7142D">
            <w:pPr>
              <w:tabs>
                <w:tab w:val="center" w:pos="4680"/>
              </w:tabs>
              <w:suppressAutoHyphens/>
              <w:rPr>
                <w:spacing w:val="-2"/>
              </w:rPr>
            </w:pPr>
            <w:bookmarkStart w:id="0" w:name="OLE_LINK4"/>
            <w:r w:rsidRPr="00B7142D">
              <w:rPr>
                <w:spacing w:val="-2"/>
              </w:rPr>
              <w:t>Amendment of Parts 15, 73 and 74 of the Commission’s Rules to Provide for the</w:t>
            </w:r>
            <w:r w:rsidR="00AE6BDC" w:rsidRPr="00B7142D">
              <w:rPr>
                <w:spacing w:val="-2"/>
              </w:rPr>
              <w:t xml:space="preserve"> Preservation</w:t>
            </w:r>
            <w:r w:rsidRPr="00B7142D">
              <w:rPr>
                <w:spacing w:val="-2"/>
              </w:rPr>
              <w:t xml:space="preserve"> of One </w:t>
            </w:r>
            <w:r w:rsidR="0054348B" w:rsidRPr="00B7142D">
              <w:rPr>
                <w:spacing w:val="-2"/>
              </w:rPr>
              <w:t>Vacant</w:t>
            </w:r>
            <w:r w:rsidRPr="00B7142D">
              <w:rPr>
                <w:spacing w:val="-2"/>
              </w:rPr>
              <w:t xml:space="preserve"> Channel in the UHF Television Band </w:t>
            </w:r>
            <w:r w:rsidR="0054348B" w:rsidRPr="00B7142D">
              <w:rPr>
                <w:spacing w:val="-2"/>
              </w:rPr>
              <w:t>For Use By</w:t>
            </w:r>
            <w:r w:rsidRPr="00B7142D">
              <w:rPr>
                <w:spacing w:val="-2"/>
              </w:rPr>
              <w:t xml:space="preserve"> </w:t>
            </w:r>
            <w:r w:rsidR="006C716A" w:rsidRPr="00B7142D">
              <w:rPr>
                <w:spacing w:val="-2"/>
              </w:rPr>
              <w:t xml:space="preserve">White Space </w:t>
            </w:r>
            <w:r w:rsidRPr="00B7142D">
              <w:rPr>
                <w:spacing w:val="-2"/>
              </w:rPr>
              <w:t>Devices</w:t>
            </w:r>
            <w:bookmarkEnd w:id="0"/>
            <w:r w:rsidR="000A3B19">
              <w:rPr>
                <w:spacing w:val="-2"/>
              </w:rPr>
              <w:t xml:space="preserve"> and Wireless Microphones</w:t>
            </w:r>
          </w:p>
          <w:p w14:paraId="04661D41" w14:textId="77777777" w:rsidR="006D6E96" w:rsidRPr="00B7142D" w:rsidRDefault="006D6E96" w:rsidP="00B7142D">
            <w:pPr>
              <w:tabs>
                <w:tab w:val="center" w:pos="4680"/>
              </w:tabs>
              <w:suppressAutoHyphens/>
              <w:rPr>
                <w:spacing w:val="-2"/>
              </w:rPr>
            </w:pPr>
          </w:p>
          <w:p w14:paraId="5C7CFE49" w14:textId="77777777" w:rsidR="006D6E96" w:rsidRPr="00B7142D" w:rsidRDefault="006D6E96" w:rsidP="00B7142D">
            <w:pPr>
              <w:tabs>
                <w:tab w:val="center" w:pos="4680"/>
              </w:tabs>
              <w:suppressAutoHyphens/>
              <w:rPr>
                <w:spacing w:val="-2"/>
              </w:rPr>
            </w:pPr>
            <w:r w:rsidRPr="00B7142D">
              <w:rPr>
                <w:spacing w:val="-2"/>
              </w:rPr>
              <w:t>Expanding the Economic and Innovation Opportunities of Spectrum Through Incentive Auctions</w:t>
            </w:r>
          </w:p>
        </w:tc>
        <w:tc>
          <w:tcPr>
            <w:tcW w:w="630" w:type="dxa"/>
          </w:tcPr>
          <w:p w14:paraId="42340EC9" w14:textId="77777777" w:rsidR="00CD683D" w:rsidRPr="00B7142D" w:rsidRDefault="00CD683D" w:rsidP="00B7142D">
            <w:pPr>
              <w:tabs>
                <w:tab w:val="center" w:pos="4680"/>
              </w:tabs>
              <w:suppressAutoHyphens/>
              <w:rPr>
                <w:b/>
                <w:spacing w:val="-2"/>
              </w:rPr>
            </w:pPr>
            <w:r w:rsidRPr="00B7142D">
              <w:rPr>
                <w:b/>
                <w:spacing w:val="-2"/>
              </w:rPr>
              <w:t>)</w:t>
            </w:r>
          </w:p>
          <w:p w14:paraId="62280DCF" w14:textId="77777777" w:rsidR="00CD683D" w:rsidRPr="00B7142D" w:rsidRDefault="00CD683D" w:rsidP="00B7142D">
            <w:pPr>
              <w:tabs>
                <w:tab w:val="center" w:pos="4680"/>
              </w:tabs>
              <w:suppressAutoHyphens/>
              <w:rPr>
                <w:b/>
                <w:spacing w:val="-2"/>
              </w:rPr>
            </w:pPr>
            <w:r w:rsidRPr="00B7142D">
              <w:rPr>
                <w:b/>
                <w:spacing w:val="-2"/>
              </w:rPr>
              <w:t>)</w:t>
            </w:r>
          </w:p>
          <w:p w14:paraId="35A6A168" w14:textId="77777777" w:rsidR="00CD683D" w:rsidRPr="00B7142D" w:rsidRDefault="00CD683D" w:rsidP="00B7142D">
            <w:pPr>
              <w:tabs>
                <w:tab w:val="center" w:pos="4680"/>
              </w:tabs>
              <w:suppressAutoHyphens/>
              <w:rPr>
                <w:b/>
                <w:spacing w:val="-2"/>
              </w:rPr>
            </w:pPr>
            <w:r w:rsidRPr="00B7142D">
              <w:rPr>
                <w:b/>
                <w:spacing w:val="-2"/>
              </w:rPr>
              <w:t>)</w:t>
            </w:r>
          </w:p>
          <w:p w14:paraId="548AD923" w14:textId="77777777" w:rsidR="00CD683D" w:rsidRPr="00B7142D" w:rsidRDefault="00CD683D" w:rsidP="00B7142D">
            <w:pPr>
              <w:tabs>
                <w:tab w:val="center" w:pos="4680"/>
              </w:tabs>
              <w:suppressAutoHyphens/>
              <w:rPr>
                <w:b/>
                <w:spacing w:val="-2"/>
              </w:rPr>
            </w:pPr>
            <w:r w:rsidRPr="00B7142D">
              <w:rPr>
                <w:b/>
                <w:spacing w:val="-2"/>
              </w:rPr>
              <w:t>)</w:t>
            </w:r>
          </w:p>
          <w:p w14:paraId="6DB9030E" w14:textId="77777777" w:rsidR="00CD683D" w:rsidRPr="00B7142D" w:rsidRDefault="00CD683D" w:rsidP="00B7142D">
            <w:pPr>
              <w:tabs>
                <w:tab w:val="center" w:pos="4680"/>
              </w:tabs>
              <w:suppressAutoHyphens/>
              <w:rPr>
                <w:b/>
                <w:spacing w:val="-2"/>
              </w:rPr>
            </w:pPr>
            <w:r w:rsidRPr="00B7142D">
              <w:rPr>
                <w:b/>
                <w:spacing w:val="-2"/>
              </w:rPr>
              <w:t>)</w:t>
            </w:r>
          </w:p>
          <w:p w14:paraId="6DB72D24" w14:textId="77777777" w:rsidR="00CD683D" w:rsidRPr="00B7142D" w:rsidRDefault="00CD683D" w:rsidP="00B7142D">
            <w:pPr>
              <w:tabs>
                <w:tab w:val="center" w:pos="4680"/>
              </w:tabs>
              <w:suppressAutoHyphens/>
              <w:rPr>
                <w:b/>
                <w:spacing w:val="-2"/>
              </w:rPr>
            </w:pPr>
            <w:r w:rsidRPr="00B7142D">
              <w:rPr>
                <w:b/>
                <w:spacing w:val="-2"/>
              </w:rPr>
              <w:t>)</w:t>
            </w:r>
          </w:p>
          <w:p w14:paraId="274B9E10" w14:textId="77777777" w:rsidR="008E6183" w:rsidRPr="00B7142D" w:rsidRDefault="008E6183" w:rsidP="00B7142D">
            <w:pPr>
              <w:tabs>
                <w:tab w:val="center" w:pos="4680"/>
              </w:tabs>
              <w:suppressAutoHyphens/>
              <w:rPr>
                <w:b/>
                <w:spacing w:val="-2"/>
              </w:rPr>
            </w:pPr>
            <w:r w:rsidRPr="00B7142D">
              <w:rPr>
                <w:b/>
                <w:spacing w:val="-2"/>
              </w:rPr>
              <w:t>)</w:t>
            </w:r>
          </w:p>
          <w:p w14:paraId="1AFB9984" w14:textId="77777777" w:rsidR="006D6E96" w:rsidRPr="00B7142D" w:rsidRDefault="006D6E96" w:rsidP="00B7142D">
            <w:pPr>
              <w:tabs>
                <w:tab w:val="center" w:pos="4680"/>
              </w:tabs>
              <w:suppressAutoHyphens/>
              <w:rPr>
                <w:b/>
                <w:spacing w:val="-2"/>
              </w:rPr>
            </w:pPr>
            <w:r w:rsidRPr="00B7142D">
              <w:rPr>
                <w:b/>
                <w:spacing w:val="-2"/>
              </w:rPr>
              <w:t>)</w:t>
            </w:r>
            <w:r w:rsidRPr="00B7142D">
              <w:rPr>
                <w:b/>
                <w:spacing w:val="-2"/>
              </w:rPr>
              <w:br/>
              <w:t>)</w:t>
            </w:r>
            <w:r w:rsidRPr="00B7142D">
              <w:rPr>
                <w:b/>
                <w:spacing w:val="-2"/>
              </w:rPr>
              <w:br/>
              <w:t>)</w:t>
            </w:r>
            <w:r w:rsidRPr="00B7142D">
              <w:rPr>
                <w:b/>
                <w:spacing w:val="-2"/>
              </w:rPr>
              <w:br/>
              <w:t>)</w:t>
            </w:r>
          </w:p>
        </w:tc>
        <w:tc>
          <w:tcPr>
            <w:tcW w:w="4248" w:type="dxa"/>
          </w:tcPr>
          <w:p w14:paraId="413D1E4A" w14:textId="77777777" w:rsidR="00CD683D" w:rsidRPr="00B7142D" w:rsidRDefault="00CD683D" w:rsidP="00B7142D">
            <w:pPr>
              <w:tabs>
                <w:tab w:val="center" w:pos="4680"/>
              </w:tabs>
              <w:suppressAutoHyphens/>
              <w:rPr>
                <w:spacing w:val="-2"/>
                <w:lang w:val="sv-SE"/>
              </w:rPr>
            </w:pPr>
          </w:p>
          <w:p w14:paraId="60BFE5B5" w14:textId="77777777" w:rsidR="00CD683D" w:rsidRPr="00B7142D" w:rsidRDefault="00CD683D" w:rsidP="00B7142D">
            <w:pPr>
              <w:pStyle w:val="TOAHeading"/>
              <w:tabs>
                <w:tab w:val="clear" w:pos="9360"/>
                <w:tab w:val="center" w:pos="4680"/>
              </w:tabs>
              <w:rPr>
                <w:spacing w:val="-2"/>
                <w:lang w:val="sv-SE"/>
              </w:rPr>
            </w:pPr>
          </w:p>
          <w:p w14:paraId="3CDC2F04" w14:textId="77777777" w:rsidR="00CD683D" w:rsidRPr="00B7142D" w:rsidRDefault="00CD683D" w:rsidP="00B7142D">
            <w:pPr>
              <w:pStyle w:val="TOAHeading"/>
              <w:tabs>
                <w:tab w:val="clear" w:pos="9360"/>
                <w:tab w:val="center" w:pos="4680"/>
              </w:tabs>
              <w:rPr>
                <w:spacing w:val="-2"/>
                <w:lang w:val="sv-SE"/>
              </w:rPr>
            </w:pPr>
            <w:r w:rsidRPr="00B7142D">
              <w:rPr>
                <w:spacing w:val="-2"/>
                <w:lang w:val="sv-SE"/>
              </w:rPr>
              <w:t xml:space="preserve">MB </w:t>
            </w:r>
            <w:proofErr w:type="spellStart"/>
            <w:r w:rsidRPr="00B7142D">
              <w:rPr>
                <w:spacing w:val="-2"/>
                <w:lang w:val="sv-SE"/>
              </w:rPr>
              <w:t>Docket</w:t>
            </w:r>
            <w:proofErr w:type="spellEnd"/>
            <w:r w:rsidRPr="00B7142D">
              <w:rPr>
                <w:spacing w:val="-2"/>
                <w:lang w:val="sv-SE"/>
              </w:rPr>
              <w:t xml:space="preserve"> No. </w:t>
            </w:r>
            <w:r w:rsidR="008E6183" w:rsidRPr="00B7142D">
              <w:rPr>
                <w:spacing w:val="-2"/>
                <w:lang w:val="sv-SE"/>
              </w:rPr>
              <w:t>1</w:t>
            </w:r>
            <w:r w:rsidR="00335E62">
              <w:rPr>
                <w:spacing w:val="-2"/>
                <w:lang w:val="sv-SE"/>
              </w:rPr>
              <w:t>5</w:t>
            </w:r>
            <w:r w:rsidRPr="00B7142D">
              <w:rPr>
                <w:spacing w:val="-2"/>
                <w:lang w:val="sv-SE"/>
              </w:rPr>
              <w:t>-</w:t>
            </w:r>
            <w:r w:rsidR="00E0304E">
              <w:rPr>
                <w:spacing w:val="-2"/>
                <w:lang w:val="sv-SE"/>
              </w:rPr>
              <w:t>146</w:t>
            </w:r>
          </w:p>
          <w:p w14:paraId="66047342" w14:textId="77777777" w:rsidR="006D6E96" w:rsidRPr="00B7142D" w:rsidRDefault="006D6E96" w:rsidP="00B7142D">
            <w:pPr>
              <w:rPr>
                <w:lang w:val="sv-SE"/>
              </w:rPr>
            </w:pPr>
          </w:p>
          <w:p w14:paraId="53C69DC4" w14:textId="77777777" w:rsidR="006D6E96" w:rsidRPr="00B7142D" w:rsidRDefault="006D6E96" w:rsidP="00B7142D">
            <w:pPr>
              <w:rPr>
                <w:lang w:val="sv-SE"/>
              </w:rPr>
            </w:pPr>
          </w:p>
          <w:p w14:paraId="059F4C89" w14:textId="77777777" w:rsidR="006D6E96" w:rsidRPr="00B7142D" w:rsidRDefault="006D6E96" w:rsidP="00B7142D">
            <w:pPr>
              <w:rPr>
                <w:lang w:val="sv-SE"/>
              </w:rPr>
            </w:pPr>
          </w:p>
          <w:p w14:paraId="4B47DF90" w14:textId="77777777" w:rsidR="006D6E96" w:rsidRPr="00B7142D" w:rsidRDefault="006D6E96" w:rsidP="00B7142D">
            <w:pPr>
              <w:rPr>
                <w:lang w:val="sv-SE"/>
              </w:rPr>
            </w:pPr>
          </w:p>
          <w:p w14:paraId="1F586F35" w14:textId="77777777" w:rsidR="006D6E96" w:rsidRPr="00B7142D" w:rsidRDefault="006D6E96" w:rsidP="00B7142D">
            <w:pPr>
              <w:rPr>
                <w:lang w:val="sv-SE"/>
              </w:rPr>
            </w:pPr>
          </w:p>
          <w:p w14:paraId="1EAEFA34" w14:textId="77777777" w:rsidR="006D6E96" w:rsidRPr="00B7142D" w:rsidRDefault="006D6E96" w:rsidP="00B7142D">
            <w:pPr>
              <w:rPr>
                <w:lang w:val="sv-SE"/>
              </w:rPr>
            </w:pPr>
            <w:r w:rsidRPr="00B7142D">
              <w:rPr>
                <w:lang w:val="sv-SE"/>
              </w:rPr>
              <w:t xml:space="preserve">GN </w:t>
            </w:r>
            <w:proofErr w:type="spellStart"/>
            <w:r w:rsidRPr="00B7142D">
              <w:rPr>
                <w:lang w:val="sv-SE"/>
              </w:rPr>
              <w:t>Docket</w:t>
            </w:r>
            <w:proofErr w:type="spellEnd"/>
            <w:r w:rsidRPr="00B7142D">
              <w:rPr>
                <w:lang w:val="sv-SE"/>
              </w:rPr>
              <w:t xml:space="preserve"> No. 12-268</w:t>
            </w:r>
          </w:p>
        </w:tc>
      </w:tr>
    </w:tbl>
    <w:p w14:paraId="4CB2C417" w14:textId="77777777" w:rsidR="005D419A" w:rsidRPr="001A3028" w:rsidRDefault="005D419A" w:rsidP="00B7142D">
      <w:pPr>
        <w:pStyle w:val="StyleBoldCentered"/>
        <w:rPr>
          <w:rFonts w:ascii="Times New Roman" w:hAnsi="Times New Roman"/>
        </w:rPr>
      </w:pPr>
    </w:p>
    <w:p w14:paraId="011980F3" w14:textId="77777777" w:rsidR="00E13E61" w:rsidRPr="001A3028" w:rsidRDefault="00036D39" w:rsidP="00B7142D">
      <w:pPr>
        <w:pStyle w:val="StyleBoldCentered"/>
        <w:rPr>
          <w:rFonts w:ascii="Times New Roman" w:hAnsi="Times New Roman"/>
        </w:rPr>
      </w:pPr>
      <w:r w:rsidRPr="001A3028">
        <w:rPr>
          <w:rFonts w:ascii="Times New Roman" w:hAnsi="Times New Roman"/>
        </w:rPr>
        <w:t>NOTICE OF PROPOSED RULEMAKING</w:t>
      </w:r>
    </w:p>
    <w:p w14:paraId="4A748E8B" w14:textId="77777777" w:rsidR="005D419A" w:rsidRPr="001A3028" w:rsidRDefault="005D419A" w:rsidP="00B7142D">
      <w:pPr>
        <w:pStyle w:val="StyleBoldCentered"/>
        <w:rPr>
          <w:rFonts w:ascii="Times New Roman" w:hAnsi="Times New Roman"/>
        </w:rPr>
      </w:pPr>
    </w:p>
    <w:p w14:paraId="748D4109" w14:textId="77777777" w:rsidR="00CD683D" w:rsidRPr="00B7142D" w:rsidRDefault="00CD683D" w:rsidP="00B7142D">
      <w:pPr>
        <w:tabs>
          <w:tab w:val="left" w:pos="720"/>
          <w:tab w:val="left" w:pos="5760"/>
        </w:tabs>
        <w:suppressAutoHyphens/>
        <w:rPr>
          <w:b/>
          <w:spacing w:val="-2"/>
        </w:rPr>
      </w:pPr>
      <w:r w:rsidRPr="00B7142D">
        <w:rPr>
          <w:b/>
          <w:spacing w:val="-2"/>
        </w:rPr>
        <w:t xml:space="preserve">Adopted:  </w:t>
      </w:r>
      <w:r w:rsidR="00A97902">
        <w:rPr>
          <w:b/>
          <w:spacing w:val="-2"/>
        </w:rPr>
        <w:t>June 11, 2015</w:t>
      </w:r>
      <w:r w:rsidRPr="00B7142D">
        <w:rPr>
          <w:b/>
          <w:spacing w:val="-2"/>
        </w:rPr>
        <w:tab/>
        <w:t xml:space="preserve">  </w:t>
      </w:r>
      <w:r w:rsidRPr="00B7142D">
        <w:rPr>
          <w:b/>
          <w:spacing w:val="-2"/>
        </w:rPr>
        <w:tab/>
        <w:t xml:space="preserve">Released:  </w:t>
      </w:r>
      <w:r w:rsidR="00DB787A">
        <w:rPr>
          <w:b/>
          <w:spacing w:val="-2"/>
        </w:rPr>
        <w:t>June 16, 2015</w:t>
      </w:r>
    </w:p>
    <w:p w14:paraId="6A04FA11" w14:textId="77777777" w:rsidR="005D419A" w:rsidRPr="00B7142D" w:rsidRDefault="005D419A" w:rsidP="00B7142D">
      <w:pPr>
        <w:tabs>
          <w:tab w:val="left" w:pos="720"/>
          <w:tab w:val="left" w:pos="5760"/>
        </w:tabs>
        <w:suppressAutoHyphens/>
        <w:rPr>
          <w:b/>
          <w:spacing w:val="-2"/>
        </w:rPr>
      </w:pPr>
    </w:p>
    <w:p w14:paraId="5BFA4B7F" w14:textId="77777777" w:rsidR="00626D72" w:rsidRPr="00B7142D" w:rsidRDefault="00CA1939" w:rsidP="00B7142D">
      <w:pPr>
        <w:tabs>
          <w:tab w:val="left" w:pos="2160"/>
          <w:tab w:val="left" w:pos="2880"/>
          <w:tab w:val="left" w:pos="5760"/>
        </w:tabs>
        <w:rPr>
          <w:spacing w:val="-2"/>
        </w:rPr>
      </w:pPr>
      <w:r w:rsidRPr="00B7142D">
        <w:rPr>
          <w:spacing w:val="-2"/>
        </w:rPr>
        <w:t>Comment Date:</w:t>
      </w:r>
      <w:r w:rsidRPr="00B7142D">
        <w:rPr>
          <w:spacing w:val="-2"/>
        </w:rPr>
        <w:tab/>
      </w:r>
      <w:r w:rsidR="0050318D" w:rsidRPr="00B7142D">
        <w:rPr>
          <w:spacing w:val="-2"/>
        </w:rPr>
        <w:t>30</w:t>
      </w:r>
      <w:r w:rsidR="00626D72" w:rsidRPr="00B7142D">
        <w:rPr>
          <w:spacing w:val="-2"/>
        </w:rPr>
        <w:t xml:space="preserve"> days from publication in Federal Register</w:t>
      </w:r>
    </w:p>
    <w:p w14:paraId="2C2F2180" w14:textId="77777777" w:rsidR="00626D72" w:rsidRPr="00B7142D" w:rsidRDefault="00626D72" w:rsidP="00B7142D">
      <w:pPr>
        <w:tabs>
          <w:tab w:val="left" w:pos="2160"/>
          <w:tab w:val="left" w:pos="2880"/>
          <w:tab w:val="left" w:pos="5760"/>
        </w:tabs>
        <w:rPr>
          <w:spacing w:val="-2"/>
        </w:rPr>
      </w:pPr>
      <w:r w:rsidRPr="00B7142D">
        <w:rPr>
          <w:spacing w:val="-2"/>
        </w:rPr>
        <w:t>Reply Comment Date:</w:t>
      </w:r>
      <w:r w:rsidRPr="00B7142D">
        <w:rPr>
          <w:spacing w:val="-2"/>
        </w:rPr>
        <w:tab/>
      </w:r>
      <w:r w:rsidR="0050318D" w:rsidRPr="00B7142D">
        <w:rPr>
          <w:spacing w:val="-2"/>
        </w:rPr>
        <w:t>60</w:t>
      </w:r>
      <w:r w:rsidRPr="00B7142D">
        <w:rPr>
          <w:spacing w:val="-2"/>
        </w:rPr>
        <w:t xml:space="preserve"> days from publication in Federal Register</w:t>
      </w:r>
    </w:p>
    <w:p w14:paraId="27250797" w14:textId="77777777" w:rsidR="005D419A" w:rsidRPr="00B7142D" w:rsidRDefault="005D419A" w:rsidP="00B7142D">
      <w:pPr>
        <w:tabs>
          <w:tab w:val="left" w:pos="5760"/>
        </w:tabs>
        <w:rPr>
          <w:spacing w:val="-2"/>
        </w:rPr>
      </w:pPr>
    </w:p>
    <w:p w14:paraId="52A0E866" w14:textId="77777777" w:rsidR="00C21BC6" w:rsidRDefault="00CD683D" w:rsidP="006C5F06">
      <w:pPr>
        <w:tabs>
          <w:tab w:val="left" w:pos="5760"/>
        </w:tabs>
        <w:rPr>
          <w:spacing w:val="-2"/>
        </w:rPr>
      </w:pPr>
      <w:r w:rsidRPr="00B7142D">
        <w:rPr>
          <w:spacing w:val="-2"/>
        </w:rPr>
        <w:t>By the Commission</w:t>
      </w:r>
      <w:r w:rsidR="00FC0C56">
        <w:rPr>
          <w:spacing w:val="-2"/>
        </w:rPr>
        <w:t xml:space="preserve">:  Commissioner </w:t>
      </w:r>
      <w:proofErr w:type="spellStart"/>
      <w:r w:rsidR="00FC0C56">
        <w:rPr>
          <w:spacing w:val="-2"/>
        </w:rPr>
        <w:t>Pai</w:t>
      </w:r>
      <w:proofErr w:type="spellEnd"/>
      <w:r w:rsidR="00FC0C56">
        <w:rPr>
          <w:spacing w:val="-2"/>
        </w:rPr>
        <w:t xml:space="preserve"> dissenting and issuing a statement; Commissioner </w:t>
      </w:r>
      <w:proofErr w:type="spellStart"/>
      <w:r w:rsidR="00FC0C56">
        <w:rPr>
          <w:spacing w:val="-2"/>
        </w:rPr>
        <w:t>O’Rielly</w:t>
      </w:r>
      <w:proofErr w:type="spellEnd"/>
      <w:r w:rsidR="00FC0C56">
        <w:rPr>
          <w:spacing w:val="-2"/>
        </w:rPr>
        <w:t xml:space="preserve"> approving in part, dissenting in part and issuing a statement.</w:t>
      </w:r>
    </w:p>
    <w:p w14:paraId="020061E8" w14:textId="77777777" w:rsidR="00E03334" w:rsidRDefault="00E03334" w:rsidP="00E03334">
      <w:pPr>
        <w:pStyle w:val="TOCTitle"/>
      </w:pPr>
      <w:bookmarkStart w:id="1" w:name="TOChere"/>
      <w:r>
        <w:t>Table of Contents</w:t>
      </w:r>
    </w:p>
    <w:p w14:paraId="63B8B461" w14:textId="77777777" w:rsidR="00E03334" w:rsidRDefault="00E03334" w:rsidP="00E03334">
      <w:pPr>
        <w:pStyle w:val="Paratitle"/>
      </w:pPr>
      <w:r>
        <w:tab/>
        <w:t>Paragraph #</w:t>
      </w:r>
      <w:bookmarkStart w:id="2" w:name="start_here"/>
      <w:bookmarkEnd w:id="2"/>
    </w:p>
    <w:p w14:paraId="3FECE8CC" w14:textId="77777777" w:rsidR="00E03334" w:rsidRDefault="00E03334" w:rsidP="00E03334">
      <w:pPr>
        <w:pStyle w:val="TOC1"/>
        <w:rPr>
          <w:rFonts w:asciiTheme="minorHAnsi" w:eastAsiaTheme="minorEastAsia" w:hAnsiTheme="minorHAnsi" w:cstheme="minorBidi"/>
          <w:caps w:val="0"/>
          <w:snapToGrid/>
          <w:kern w:val="0"/>
          <w:szCs w:val="22"/>
        </w:rPr>
      </w:pPr>
      <w:r w:rsidRPr="00F10F0C">
        <w:t>I.</w:t>
      </w:r>
      <w:r>
        <w:rPr>
          <w:rFonts w:asciiTheme="minorHAnsi" w:eastAsiaTheme="minorEastAsia" w:hAnsiTheme="minorHAnsi" w:cstheme="minorBidi"/>
          <w:caps w:val="0"/>
          <w:snapToGrid/>
          <w:kern w:val="0"/>
          <w:szCs w:val="22"/>
        </w:rPr>
        <w:tab/>
      </w:r>
      <w:r w:rsidRPr="00F10F0C">
        <w:t>INTRODUCTION</w:t>
      </w:r>
      <w:r>
        <w:tab/>
        <w:t>1</w:t>
      </w:r>
    </w:p>
    <w:p w14:paraId="7EABB8BE" w14:textId="77777777" w:rsidR="00E03334" w:rsidRDefault="00E03334" w:rsidP="00E03334">
      <w:pPr>
        <w:pStyle w:val="TOC1"/>
        <w:rPr>
          <w:rFonts w:asciiTheme="minorHAnsi" w:eastAsiaTheme="minorEastAsia" w:hAnsiTheme="minorHAnsi" w:cstheme="minorBidi"/>
          <w:caps w:val="0"/>
          <w:snapToGrid/>
          <w:kern w:val="0"/>
          <w:szCs w:val="22"/>
        </w:rPr>
      </w:pPr>
      <w:r w:rsidRPr="00F10F0C">
        <w:t>II.</w:t>
      </w:r>
      <w:r>
        <w:rPr>
          <w:rFonts w:asciiTheme="minorHAnsi" w:eastAsiaTheme="minorEastAsia" w:hAnsiTheme="minorHAnsi" w:cstheme="minorBidi"/>
          <w:caps w:val="0"/>
          <w:snapToGrid/>
          <w:kern w:val="0"/>
          <w:szCs w:val="22"/>
        </w:rPr>
        <w:tab/>
      </w:r>
      <w:r w:rsidRPr="00F10F0C">
        <w:t>BACKGROUND</w:t>
      </w:r>
      <w:r>
        <w:tab/>
        <w:t>5</w:t>
      </w:r>
    </w:p>
    <w:p w14:paraId="1CDB3AAD" w14:textId="77777777" w:rsidR="00E03334" w:rsidRDefault="00E03334" w:rsidP="00E03334">
      <w:pPr>
        <w:pStyle w:val="TOC1"/>
        <w:rPr>
          <w:rFonts w:asciiTheme="minorHAnsi" w:eastAsiaTheme="minorEastAsia" w:hAnsiTheme="minorHAnsi" w:cstheme="minorBidi"/>
          <w:caps w:val="0"/>
          <w:snapToGrid/>
          <w:kern w:val="0"/>
          <w:szCs w:val="22"/>
        </w:rPr>
      </w:pPr>
      <w:r w:rsidRPr="00F10F0C">
        <w:t>III.</w:t>
      </w:r>
      <w:r>
        <w:rPr>
          <w:rFonts w:asciiTheme="minorHAnsi" w:eastAsiaTheme="minorEastAsia" w:hAnsiTheme="minorHAnsi" w:cstheme="minorBidi"/>
          <w:caps w:val="0"/>
          <w:snapToGrid/>
          <w:kern w:val="0"/>
          <w:szCs w:val="22"/>
        </w:rPr>
        <w:tab/>
      </w:r>
      <w:r w:rsidRPr="00F10F0C">
        <w:t>DISCUSSION</w:t>
      </w:r>
      <w:r>
        <w:tab/>
        <w:t>9</w:t>
      </w:r>
    </w:p>
    <w:p w14:paraId="2166B6D2" w14:textId="77777777" w:rsidR="00E03334" w:rsidRDefault="00E03334" w:rsidP="00E03334">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Preserving One Vacant Television Channel for Use by White Space Devices and Wireless Microphones</w:t>
      </w:r>
      <w:r>
        <w:tab/>
        <w:t>10</w:t>
      </w:r>
    </w:p>
    <w:p w14:paraId="7C806410" w14:textId="77777777" w:rsidR="00E03334" w:rsidRDefault="00E03334" w:rsidP="00E03334">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Applicants Required to Make a Vacant Channel Demonstration</w:t>
      </w:r>
      <w:r>
        <w:tab/>
        <w:t>12</w:t>
      </w:r>
    </w:p>
    <w:p w14:paraId="648BA87B" w14:textId="77777777" w:rsidR="00E03334" w:rsidRDefault="00E03334" w:rsidP="00E03334">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LPTV, TV Translators, and BAS</w:t>
      </w:r>
      <w:r>
        <w:tab/>
        <w:t>13</w:t>
      </w:r>
    </w:p>
    <w:p w14:paraId="5CCB5B76" w14:textId="77777777" w:rsidR="00E03334" w:rsidRDefault="00E03334" w:rsidP="00E03334">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Modifications of Class A Television Stations</w:t>
      </w:r>
      <w:r>
        <w:tab/>
        <w:t>20</w:t>
      </w:r>
    </w:p>
    <w:p w14:paraId="0080A379" w14:textId="77777777" w:rsidR="00E03334" w:rsidRDefault="00E03334" w:rsidP="00E03334">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Full Power Television Stations</w:t>
      </w:r>
      <w:r>
        <w:tab/>
        <w:t>26</w:t>
      </w:r>
    </w:p>
    <w:p w14:paraId="620C181F" w14:textId="77777777" w:rsidR="00E03334" w:rsidRDefault="00E03334" w:rsidP="00E03334">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Procedures for Identifying Channels Available for Use by White Space Devices and Wireless Microphones</w:t>
      </w:r>
      <w:r>
        <w:tab/>
        <w:t>32</w:t>
      </w:r>
    </w:p>
    <w:p w14:paraId="05063BD4" w14:textId="77777777" w:rsidR="00E03334" w:rsidRDefault="00E03334" w:rsidP="00E03334">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Suitable Channels for Preservation</w:t>
      </w:r>
      <w:r>
        <w:tab/>
        <w:t>33</w:t>
      </w:r>
    </w:p>
    <w:p w14:paraId="5B31D56F" w14:textId="77777777" w:rsidR="00E03334" w:rsidRDefault="00E03334" w:rsidP="00E03334">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Demonstration of Compliance</w:t>
      </w:r>
      <w:r>
        <w:tab/>
        <w:t>35</w:t>
      </w:r>
    </w:p>
    <w:p w14:paraId="21D5DD9D" w14:textId="77777777" w:rsidR="00E03334" w:rsidRDefault="00E03334" w:rsidP="00E03334">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Criteria for Determining Vacant Channel Availability at a Given Location</w:t>
      </w:r>
      <w:r>
        <w:tab/>
        <w:t>37</w:t>
      </w:r>
    </w:p>
    <w:p w14:paraId="24A3A528" w14:textId="77777777" w:rsidR="00E03334" w:rsidRDefault="00E03334" w:rsidP="00E03334">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Methodology for Determining the Availability of a Vacant Channel in a Particular Area</w:t>
      </w:r>
      <w:r>
        <w:tab/>
        <w:t>41</w:t>
      </w:r>
    </w:p>
    <w:p w14:paraId="3503B032" w14:textId="77777777" w:rsidR="00E03334" w:rsidRDefault="00E03334" w:rsidP="00E03334">
      <w:pPr>
        <w:pStyle w:val="TOC1"/>
        <w:rPr>
          <w:rFonts w:asciiTheme="minorHAnsi" w:eastAsiaTheme="minorEastAsia" w:hAnsiTheme="minorHAnsi" w:cstheme="minorBidi"/>
          <w:caps w:val="0"/>
          <w:snapToGrid/>
          <w:kern w:val="0"/>
          <w:szCs w:val="22"/>
        </w:rPr>
      </w:pPr>
      <w:r w:rsidRPr="00F10F0C">
        <w:t>IV.</w:t>
      </w:r>
      <w:r>
        <w:rPr>
          <w:rFonts w:asciiTheme="minorHAnsi" w:eastAsiaTheme="minorEastAsia" w:hAnsiTheme="minorHAnsi" w:cstheme="minorBidi"/>
          <w:caps w:val="0"/>
          <w:snapToGrid/>
          <w:kern w:val="0"/>
          <w:szCs w:val="22"/>
        </w:rPr>
        <w:tab/>
      </w:r>
      <w:r w:rsidRPr="00F10F0C">
        <w:t>PROCEDURAL MATTERS</w:t>
      </w:r>
      <w:r>
        <w:tab/>
        <w:t>51</w:t>
      </w:r>
    </w:p>
    <w:p w14:paraId="698B3EA3" w14:textId="77777777" w:rsidR="00E03334" w:rsidRDefault="00E03334" w:rsidP="00E03334">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Ex Parte Presentations</w:t>
      </w:r>
      <w:r>
        <w:tab/>
        <w:t>51</w:t>
      </w:r>
    </w:p>
    <w:p w14:paraId="1DEED034" w14:textId="77777777" w:rsidR="00E03334" w:rsidRDefault="00E03334" w:rsidP="00E03334">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Comment Period and Filing Procedures</w:t>
      </w:r>
      <w:r>
        <w:tab/>
        <w:t>52</w:t>
      </w:r>
    </w:p>
    <w:p w14:paraId="6DB61E53" w14:textId="77777777" w:rsidR="00E03334" w:rsidRDefault="00E03334" w:rsidP="00E03334">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Initial Regulatory Flexibility Analysis</w:t>
      </w:r>
      <w:r>
        <w:tab/>
        <w:t>55</w:t>
      </w:r>
    </w:p>
    <w:p w14:paraId="7EB64245" w14:textId="77777777" w:rsidR="00E03334" w:rsidRDefault="00E03334" w:rsidP="00E03334">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Paperwork Reduction Act Analysis</w:t>
      </w:r>
      <w:r>
        <w:tab/>
        <w:t>56</w:t>
      </w:r>
    </w:p>
    <w:p w14:paraId="31195577" w14:textId="77777777" w:rsidR="00E03334" w:rsidRDefault="00E03334" w:rsidP="00E03334">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Further Information</w:t>
      </w:r>
      <w:r>
        <w:tab/>
        <w:t>57</w:t>
      </w:r>
    </w:p>
    <w:p w14:paraId="33F08E92" w14:textId="77777777" w:rsidR="00E03334" w:rsidRDefault="00E03334" w:rsidP="00E03334">
      <w:pPr>
        <w:pStyle w:val="TOC1"/>
        <w:rPr>
          <w:rFonts w:asciiTheme="minorHAnsi" w:eastAsiaTheme="minorEastAsia" w:hAnsiTheme="minorHAnsi" w:cstheme="minorBidi"/>
          <w:caps w:val="0"/>
          <w:snapToGrid/>
          <w:kern w:val="0"/>
          <w:szCs w:val="22"/>
        </w:rPr>
      </w:pPr>
      <w:r w:rsidRPr="00F10F0C">
        <w:t>V.</w:t>
      </w:r>
      <w:r>
        <w:rPr>
          <w:rFonts w:asciiTheme="minorHAnsi" w:eastAsiaTheme="minorEastAsia" w:hAnsiTheme="minorHAnsi" w:cstheme="minorBidi"/>
          <w:caps w:val="0"/>
          <w:snapToGrid/>
          <w:kern w:val="0"/>
          <w:szCs w:val="22"/>
        </w:rPr>
        <w:tab/>
      </w:r>
      <w:r w:rsidRPr="00F10F0C">
        <w:t>ORDERING CLAUSES</w:t>
      </w:r>
      <w:r>
        <w:tab/>
        <w:t>58</w:t>
      </w:r>
    </w:p>
    <w:bookmarkEnd w:id="1"/>
    <w:p w14:paraId="2E9A56CC" w14:textId="77777777" w:rsidR="00E03334" w:rsidRDefault="00E03334" w:rsidP="006C5F06">
      <w:pPr>
        <w:tabs>
          <w:tab w:val="left" w:pos="5760"/>
        </w:tabs>
        <w:rPr>
          <w:spacing w:val="-2"/>
        </w:rPr>
      </w:pPr>
      <w:r>
        <w:rPr>
          <w:spacing w:val="-2"/>
        </w:rPr>
        <w:lastRenderedPageBreak/>
        <w:t>APPENDIX A – PROPOSED RULES</w:t>
      </w:r>
    </w:p>
    <w:p w14:paraId="7200AF31" w14:textId="77777777" w:rsidR="00E03334" w:rsidRDefault="00E03334" w:rsidP="006C5F06">
      <w:pPr>
        <w:tabs>
          <w:tab w:val="left" w:pos="5760"/>
        </w:tabs>
        <w:rPr>
          <w:spacing w:val="-2"/>
        </w:rPr>
      </w:pPr>
      <w:r>
        <w:rPr>
          <w:spacing w:val="-2"/>
        </w:rPr>
        <w:t>APPENDIX B – INITIAL REGULATORY FLEXIBILITY ANALYSIS</w:t>
      </w:r>
    </w:p>
    <w:p w14:paraId="1F4DD7E6" w14:textId="77777777" w:rsidR="00E03334" w:rsidRDefault="00E03334" w:rsidP="006C5F06">
      <w:pPr>
        <w:tabs>
          <w:tab w:val="left" w:pos="5760"/>
        </w:tabs>
        <w:rPr>
          <w:spacing w:val="-2"/>
        </w:rPr>
      </w:pPr>
    </w:p>
    <w:p w14:paraId="08605804" w14:textId="77777777" w:rsidR="00CD683D" w:rsidRPr="001A3028" w:rsidRDefault="00EF1901" w:rsidP="006C5F06">
      <w:pPr>
        <w:pStyle w:val="Heading1"/>
        <w:rPr>
          <w:rFonts w:ascii="Times New Roman" w:hAnsi="Times New Roman"/>
        </w:rPr>
      </w:pPr>
      <w:bookmarkStart w:id="3" w:name="_Toc409784111"/>
      <w:r w:rsidRPr="001A3028">
        <w:rPr>
          <w:rFonts w:ascii="Times New Roman" w:hAnsi="Times New Roman"/>
        </w:rPr>
        <w:t>INTRODUCTION</w:t>
      </w:r>
      <w:bookmarkEnd w:id="3"/>
    </w:p>
    <w:p w14:paraId="731D5389" w14:textId="77777777" w:rsidR="009D2B85" w:rsidRPr="00B7142D" w:rsidRDefault="00EF1901" w:rsidP="006C5F06">
      <w:pPr>
        <w:pStyle w:val="ParaNum"/>
      </w:pPr>
      <w:r w:rsidRPr="00B7142D">
        <w:t xml:space="preserve">In the </w:t>
      </w:r>
      <w:r w:rsidR="00B463E1" w:rsidRPr="00B7142D">
        <w:rPr>
          <w:i/>
        </w:rPr>
        <w:t>Incentive Auction Report and Order</w:t>
      </w:r>
      <w:r w:rsidR="00B463E1" w:rsidRPr="00B7142D">
        <w:t>,</w:t>
      </w:r>
      <w:r w:rsidR="0006460A" w:rsidRPr="001A3028">
        <w:rPr>
          <w:rStyle w:val="FootnoteReference"/>
          <w:sz w:val="22"/>
        </w:rPr>
        <w:footnoteReference w:id="2"/>
      </w:r>
      <w:r w:rsidR="00B463E1" w:rsidRPr="00B7142D">
        <w:rPr>
          <w:i/>
        </w:rPr>
        <w:t xml:space="preserve"> </w:t>
      </w:r>
      <w:r w:rsidR="00B463E1" w:rsidRPr="00B7142D">
        <w:t xml:space="preserve">the Commission recognized that </w:t>
      </w:r>
      <w:r w:rsidR="00961E4D" w:rsidRPr="00B7142D">
        <w:t>following the incentive auction and repacking of the television band</w:t>
      </w:r>
      <w:r w:rsidR="00DA6421">
        <w:t>s</w:t>
      </w:r>
      <w:r w:rsidR="00961E4D" w:rsidRPr="00B7142D">
        <w:t xml:space="preserve"> </w:t>
      </w:r>
      <w:r w:rsidR="00B463E1" w:rsidRPr="00B7142D">
        <w:t xml:space="preserve">there would likely be fewer </w:t>
      </w:r>
      <w:r w:rsidR="0006460A" w:rsidRPr="00B7142D">
        <w:t>unused television channels</w:t>
      </w:r>
      <w:r w:rsidR="00B463E1" w:rsidRPr="00B7142D">
        <w:t xml:space="preserve"> </w:t>
      </w:r>
      <w:r w:rsidR="00961E4D" w:rsidRPr="00B7142D">
        <w:t xml:space="preserve">available for use </w:t>
      </w:r>
      <w:r w:rsidR="0006460A" w:rsidRPr="00B7142D">
        <w:t xml:space="preserve">either by </w:t>
      </w:r>
      <w:r w:rsidR="00D675B7" w:rsidRPr="00B7142D">
        <w:t xml:space="preserve">unlicensed “white space” devices </w:t>
      </w:r>
      <w:r w:rsidR="00D675B7">
        <w:t xml:space="preserve">or </w:t>
      </w:r>
      <w:r w:rsidR="004F4941" w:rsidRPr="00B7142D">
        <w:t>wireless microphones</w:t>
      </w:r>
      <w:r w:rsidR="00E64C3B" w:rsidRPr="00B7142D">
        <w:t>.</w:t>
      </w:r>
      <w:r w:rsidR="00961E4D" w:rsidRPr="001A3028">
        <w:rPr>
          <w:rStyle w:val="FootnoteReference"/>
          <w:sz w:val="22"/>
        </w:rPr>
        <w:footnoteReference w:id="3"/>
      </w:r>
      <w:r w:rsidR="00E64C3B" w:rsidRPr="00B7142D">
        <w:t xml:space="preserve">  </w:t>
      </w:r>
      <w:r w:rsidR="00F25AF2" w:rsidRPr="00B7142D">
        <w:t>However, t</w:t>
      </w:r>
      <w:r w:rsidRPr="00B7142D">
        <w:t>he Commission</w:t>
      </w:r>
      <w:r w:rsidR="00F25AF2" w:rsidRPr="00B7142D">
        <w:t xml:space="preserve"> </w:t>
      </w:r>
      <w:r w:rsidRPr="00B7142D">
        <w:t>anticipated that there w</w:t>
      </w:r>
      <w:r w:rsidR="00E64C3B" w:rsidRPr="00B7142D">
        <w:t xml:space="preserve">ould </w:t>
      </w:r>
      <w:r w:rsidRPr="00B7142D">
        <w:t>be at least one channel in the ultra high frequency</w:t>
      </w:r>
      <w:r w:rsidR="001D6B4B" w:rsidRPr="00B7142D">
        <w:t xml:space="preserve"> (“UHF”)</w:t>
      </w:r>
      <w:r w:rsidRPr="00B7142D">
        <w:t xml:space="preserve"> band in all areas</w:t>
      </w:r>
      <w:r w:rsidR="00A92D4C" w:rsidRPr="00B7142D">
        <w:t xml:space="preserve"> in the United States</w:t>
      </w:r>
      <w:r w:rsidRPr="00B7142D">
        <w:t xml:space="preserve"> that is not assigned to a television station in the repacking process</w:t>
      </w:r>
      <w:r w:rsidR="00E64C3B" w:rsidRPr="00B7142D">
        <w:t xml:space="preserve"> and, given the importance of </w:t>
      </w:r>
      <w:r w:rsidR="00D675B7" w:rsidRPr="00B7142D">
        <w:t xml:space="preserve">white space devices </w:t>
      </w:r>
      <w:r w:rsidR="00D675B7">
        <w:t xml:space="preserve">and </w:t>
      </w:r>
      <w:r w:rsidR="00E64C3B" w:rsidRPr="00B7142D">
        <w:t xml:space="preserve">wireless microphones to businesses and consumers, stated its intent, </w:t>
      </w:r>
      <w:r w:rsidRPr="00B7142D">
        <w:t xml:space="preserve">after additional notice and an opportunity to comment, to </w:t>
      </w:r>
      <w:r w:rsidR="008F4885" w:rsidRPr="00B7142D">
        <w:t>preserve</w:t>
      </w:r>
      <w:r w:rsidRPr="00B7142D">
        <w:t xml:space="preserve"> one television channel in each area </w:t>
      </w:r>
      <w:r w:rsidR="00E33342" w:rsidRPr="00B7142D">
        <w:t xml:space="preserve">of the United States </w:t>
      </w:r>
      <w:r w:rsidRPr="00B7142D">
        <w:t xml:space="preserve">for shared use by </w:t>
      </w:r>
      <w:r w:rsidR="001D6B4B" w:rsidRPr="00B7142D">
        <w:t>these devices</w:t>
      </w:r>
      <w:r w:rsidRPr="00B7142D">
        <w:t>.</w:t>
      </w:r>
      <w:r w:rsidRPr="001A3028">
        <w:rPr>
          <w:rStyle w:val="FootnoteReference"/>
          <w:sz w:val="22"/>
        </w:rPr>
        <w:footnoteReference w:id="4"/>
      </w:r>
    </w:p>
    <w:p w14:paraId="471AB6EA" w14:textId="77777777" w:rsidR="002B6672" w:rsidRDefault="00EF1901" w:rsidP="006C5F06">
      <w:pPr>
        <w:pStyle w:val="ParaNum"/>
      </w:pPr>
      <w:r w:rsidRPr="00B7142D">
        <w:t xml:space="preserve">  In this Notice of Proposed Rulemaking (“Notice”), we </w:t>
      </w:r>
      <w:r w:rsidR="00622229" w:rsidRPr="00B7142D">
        <w:t xml:space="preserve">tentatively conclude </w:t>
      </w:r>
      <w:r w:rsidR="000A7945" w:rsidRPr="00B7142D">
        <w:t>t</w:t>
      </w:r>
      <w:r w:rsidR="00DA6421">
        <w:t>hat we will</w:t>
      </w:r>
      <w:r w:rsidR="000A7945" w:rsidRPr="00B7142D">
        <w:t xml:space="preserve"> preserve a vacant channel in each area</w:t>
      </w:r>
      <w:r w:rsidR="00DA3726">
        <w:t xml:space="preserve">.  </w:t>
      </w:r>
      <w:r w:rsidR="00C53D31">
        <w:t>In order to achieve this objective, we propose to</w:t>
      </w:r>
      <w:r w:rsidR="000A7945" w:rsidRPr="00B7142D">
        <w:t xml:space="preserve"> requir</w:t>
      </w:r>
      <w:r w:rsidR="00C53D31">
        <w:t>e</w:t>
      </w:r>
      <w:r w:rsidR="000A7945" w:rsidRPr="00B7142D">
        <w:t xml:space="preserve"> </w:t>
      </w:r>
      <w:r w:rsidR="0001458E" w:rsidRPr="00B7142D">
        <w:t xml:space="preserve">applicants </w:t>
      </w:r>
      <w:r w:rsidR="008C6512">
        <w:t xml:space="preserve">for </w:t>
      </w:r>
      <w:r w:rsidR="00D2736F" w:rsidRPr="001C2C96">
        <w:t>low power television</w:t>
      </w:r>
      <w:r w:rsidR="00D2736F" w:rsidRPr="00B7142D">
        <w:t xml:space="preserve"> </w:t>
      </w:r>
      <w:r w:rsidR="00D2736F">
        <w:t>(“</w:t>
      </w:r>
      <w:r w:rsidR="00F805DF" w:rsidRPr="00B7142D">
        <w:t>LPTV</w:t>
      </w:r>
      <w:r w:rsidR="00D2736F">
        <w:t>”)</w:t>
      </w:r>
      <w:r w:rsidR="00F805DF" w:rsidRPr="00B7142D">
        <w:t>, TV translator</w:t>
      </w:r>
      <w:r w:rsidR="002B6672">
        <w:t>, and</w:t>
      </w:r>
      <w:r w:rsidR="00F805DF">
        <w:t xml:space="preserve"> </w:t>
      </w:r>
      <w:r w:rsidR="008C6512">
        <w:t>B</w:t>
      </w:r>
      <w:r w:rsidR="001C1244">
        <w:t>roadcast Auxiliary Service (“BAS”) fac</w:t>
      </w:r>
      <w:r w:rsidR="008C6512">
        <w:t xml:space="preserve">ilities </w:t>
      </w:r>
      <w:r w:rsidR="0001458E" w:rsidRPr="00B7142D">
        <w:t>to demonstrate that their proposed new</w:t>
      </w:r>
      <w:r w:rsidR="009D433E">
        <w:t>, displacement,</w:t>
      </w:r>
      <w:r w:rsidR="0001458E" w:rsidRPr="00B7142D">
        <w:t xml:space="preserve"> or modified facilit</w:t>
      </w:r>
      <w:r w:rsidR="00427F9B">
        <w:t>i</w:t>
      </w:r>
      <w:r w:rsidR="00DA6421">
        <w:t>es</w:t>
      </w:r>
      <w:r w:rsidR="0001458E" w:rsidRPr="00B7142D">
        <w:t xml:space="preserve"> would not eliminate the last</w:t>
      </w:r>
      <w:r w:rsidR="00622229" w:rsidRPr="00B7142D">
        <w:t xml:space="preserve"> </w:t>
      </w:r>
      <w:r w:rsidR="0001458E" w:rsidRPr="00B7142D">
        <w:t xml:space="preserve">available </w:t>
      </w:r>
      <w:r w:rsidR="00622229" w:rsidRPr="00B7142D">
        <w:t xml:space="preserve">vacant </w:t>
      </w:r>
      <w:r w:rsidR="0001458E" w:rsidRPr="00B7142D">
        <w:t xml:space="preserve">UHF </w:t>
      </w:r>
      <w:r w:rsidR="00237B1D" w:rsidRPr="00B7142D">
        <w:t xml:space="preserve">television </w:t>
      </w:r>
      <w:r w:rsidR="00622229" w:rsidRPr="00B7142D">
        <w:t xml:space="preserve">channel for </w:t>
      </w:r>
      <w:r w:rsidR="008B5040" w:rsidRPr="00B7142D">
        <w:t xml:space="preserve">use by </w:t>
      </w:r>
      <w:r w:rsidR="00D675B7" w:rsidRPr="00B7142D">
        <w:t xml:space="preserve">white space devices </w:t>
      </w:r>
      <w:r w:rsidR="00D675B7">
        <w:t xml:space="preserve">and </w:t>
      </w:r>
      <w:r w:rsidR="00622229" w:rsidRPr="00B7142D">
        <w:t xml:space="preserve">wireless microphones in </w:t>
      </w:r>
      <w:r w:rsidR="0001458E" w:rsidRPr="00B7142D">
        <w:t>an area</w:t>
      </w:r>
      <w:r w:rsidR="00622229" w:rsidRPr="00B7142D">
        <w:t xml:space="preserve">.  </w:t>
      </w:r>
      <w:r w:rsidR="007A366A" w:rsidRPr="007A366A">
        <w:t>We propose rules to implement this proposal below.</w:t>
      </w:r>
    </w:p>
    <w:p w14:paraId="66E80A7E" w14:textId="77777777" w:rsidR="00D02ED3" w:rsidRPr="00D02E15" w:rsidRDefault="00667987" w:rsidP="007A366A">
      <w:pPr>
        <w:pStyle w:val="ParaNum"/>
        <w:rPr>
          <w:highlight w:val="yellow"/>
        </w:rPr>
      </w:pPr>
      <w:r w:rsidRPr="00D02E15">
        <w:rPr>
          <w:highlight w:val="yellow"/>
        </w:rPr>
        <w:t>The proposal</w:t>
      </w:r>
      <w:r w:rsidR="00292FAC" w:rsidRPr="00D02E15">
        <w:rPr>
          <w:highlight w:val="yellow"/>
        </w:rPr>
        <w:t>s</w:t>
      </w:r>
      <w:r w:rsidRPr="00D02E15">
        <w:rPr>
          <w:highlight w:val="yellow"/>
        </w:rPr>
        <w:t xml:space="preserve"> we make</w:t>
      </w:r>
      <w:r w:rsidR="00292FAC" w:rsidRPr="00D02E15">
        <w:rPr>
          <w:highlight w:val="yellow"/>
        </w:rPr>
        <w:t xml:space="preserve"> in this Notice </w:t>
      </w:r>
      <w:r w:rsidRPr="00D02E15">
        <w:rPr>
          <w:highlight w:val="yellow"/>
        </w:rPr>
        <w:t xml:space="preserve">to preserve a vacant channel will apply following the incentive auction; none of the proposals will </w:t>
      </w:r>
      <w:r w:rsidR="00292FAC" w:rsidRPr="00D02E15">
        <w:rPr>
          <w:highlight w:val="yellow"/>
        </w:rPr>
        <w:t xml:space="preserve">act as a </w:t>
      </w:r>
      <w:r w:rsidRPr="00D02E15">
        <w:rPr>
          <w:highlight w:val="yellow"/>
        </w:rPr>
        <w:t>constrain</w:t>
      </w:r>
      <w:r w:rsidR="00292FAC" w:rsidRPr="00D02E15">
        <w:rPr>
          <w:highlight w:val="yellow"/>
        </w:rPr>
        <w:t>t</w:t>
      </w:r>
      <w:r w:rsidRPr="00D02E15">
        <w:rPr>
          <w:highlight w:val="yellow"/>
        </w:rPr>
        <w:t xml:space="preserve"> </w:t>
      </w:r>
      <w:r w:rsidR="00292FAC" w:rsidRPr="00D02E15">
        <w:rPr>
          <w:highlight w:val="yellow"/>
        </w:rPr>
        <w:t xml:space="preserve">in </w:t>
      </w:r>
      <w:r w:rsidRPr="00D02E15">
        <w:rPr>
          <w:highlight w:val="yellow"/>
        </w:rPr>
        <w:t>the repacking process or limit</w:t>
      </w:r>
      <w:r w:rsidR="00292FAC" w:rsidRPr="00D02E15">
        <w:rPr>
          <w:highlight w:val="yellow"/>
        </w:rPr>
        <w:t xml:space="preserve"> </w:t>
      </w:r>
      <w:r w:rsidRPr="00D02E15">
        <w:rPr>
          <w:highlight w:val="yellow"/>
        </w:rPr>
        <w:t xml:space="preserve">the spectrum </w:t>
      </w:r>
      <w:r w:rsidR="00DA6421" w:rsidRPr="00D02E15">
        <w:rPr>
          <w:highlight w:val="yellow"/>
        </w:rPr>
        <w:t xml:space="preserve">that is made </w:t>
      </w:r>
      <w:r w:rsidR="00292FAC" w:rsidRPr="00D02E15">
        <w:rPr>
          <w:highlight w:val="yellow"/>
        </w:rPr>
        <w:t>a</w:t>
      </w:r>
      <w:r w:rsidRPr="00D02E15">
        <w:rPr>
          <w:highlight w:val="yellow"/>
        </w:rPr>
        <w:t>vailable in</w:t>
      </w:r>
      <w:r w:rsidR="00292FAC" w:rsidRPr="00D02E15">
        <w:rPr>
          <w:highlight w:val="yellow"/>
        </w:rPr>
        <w:t xml:space="preserve"> </w:t>
      </w:r>
      <w:r w:rsidRPr="00D02E15">
        <w:rPr>
          <w:highlight w:val="yellow"/>
        </w:rPr>
        <w:t>t</w:t>
      </w:r>
      <w:r w:rsidR="00292FAC" w:rsidRPr="00D02E15">
        <w:rPr>
          <w:highlight w:val="yellow"/>
        </w:rPr>
        <w:t>he forward auction.</w:t>
      </w:r>
      <w:r w:rsidR="00B618DA" w:rsidRPr="00D02E15">
        <w:rPr>
          <w:rStyle w:val="FootnoteReference"/>
          <w:highlight w:val="yellow"/>
        </w:rPr>
        <w:footnoteReference w:id="5"/>
      </w:r>
      <w:r w:rsidR="007A366A" w:rsidRPr="00D02E15">
        <w:rPr>
          <w:highlight w:val="yellow"/>
        </w:rPr>
        <w:t xml:space="preserve"> </w:t>
      </w:r>
      <w:r w:rsidR="00FB727B" w:rsidRPr="00D02E15">
        <w:rPr>
          <w:highlight w:val="yellow"/>
        </w:rPr>
        <w:t xml:space="preserve"> </w:t>
      </w:r>
      <w:r w:rsidR="007C0FB0" w:rsidRPr="00D02E15">
        <w:rPr>
          <w:highlight w:val="yellow"/>
        </w:rPr>
        <w:t>To this end, w</w:t>
      </w:r>
      <w:r w:rsidR="00511BEC" w:rsidRPr="00D02E15">
        <w:rPr>
          <w:highlight w:val="yellow"/>
        </w:rPr>
        <w:t>e</w:t>
      </w:r>
      <w:r w:rsidR="001E76EF" w:rsidRPr="00D02E15">
        <w:rPr>
          <w:highlight w:val="yellow"/>
        </w:rPr>
        <w:t xml:space="preserve"> </w:t>
      </w:r>
      <w:r w:rsidR="00511BEC" w:rsidRPr="00D02E15">
        <w:rPr>
          <w:highlight w:val="yellow"/>
        </w:rPr>
        <w:t xml:space="preserve">tentatively conclude that the required </w:t>
      </w:r>
      <w:r w:rsidR="00354DC6" w:rsidRPr="00D02E15">
        <w:rPr>
          <w:highlight w:val="yellow"/>
        </w:rPr>
        <w:t>demonstration s</w:t>
      </w:r>
      <w:r w:rsidR="00511BEC" w:rsidRPr="00D02E15">
        <w:rPr>
          <w:highlight w:val="yellow"/>
        </w:rPr>
        <w:t xml:space="preserve">hould not apply to applications for modified Class </w:t>
      </w:r>
      <w:proofErr w:type="gramStart"/>
      <w:r w:rsidR="00511BEC" w:rsidRPr="00D02E15">
        <w:rPr>
          <w:highlight w:val="yellow"/>
        </w:rPr>
        <w:t>A</w:t>
      </w:r>
      <w:proofErr w:type="gramEnd"/>
      <w:r w:rsidR="00511BEC" w:rsidRPr="00D02E15">
        <w:rPr>
          <w:highlight w:val="yellow"/>
        </w:rPr>
        <w:t xml:space="preserve"> facilities filed during the 39-month Post-Auction Transition Period,</w:t>
      </w:r>
      <w:r w:rsidR="00511BEC" w:rsidRPr="00D02E15">
        <w:rPr>
          <w:rStyle w:val="FootnoteReference"/>
          <w:sz w:val="22"/>
          <w:highlight w:val="yellow"/>
        </w:rPr>
        <w:footnoteReference w:id="6"/>
      </w:r>
      <w:r w:rsidR="00511BEC" w:rsidRPr="00D02E15">
        <w:rPr>
          <w:highlight w:val="yellow"/>
        </w:rPr>
        <w:t xml:space="preserve"> but that it should apply to such applications filed after the end of this period.  </w:t>
      </w:r>
      <w:r w:rsidR="00DB3EA2" w:rsidRPr="00D02E15">
        <w:rPr>
          <w:highlight w:val="yellow"/>
        </w:rPr>
        <w:t>We</w:t>
      </w:r>
      <w:r w:rsidR="00C104D6" w:rsidRPr="00D02E15">
        <w:rPr>
          <w:highlight w:val="yellow"/>
        </w:rPr>
        <w:t xml:space="preserve"> </w:t>
      </w:r>
      <w:r w:rsidR="001E76EF" w:rsidRPr="00D02E15">
        <w:rPr>
          <w:highlight w:val="yellow"/>
        </w:rPr>
        <w:t xml:space="preserve">further </w:t>
      </w:r>
      <w:r w:rsidR="00C104D6" w:rsidRPr="00D02E15">
        <w:rPr>
          <w:highlight w:val="yellow"/>
        </w:rPr>
        <w:t xml:space="preserve">tentatively conclude that </w:t>
      </w:r>
      <w:r w:rsidR="00E72AD9" w:rsidRPr="00D02E15">
        <w:rPr>
          <w:highlight w:val="yellow"/>
        </w:rPr>
        <w:t xml:space="preserve">the required </w:t>
      </w:r>
      <w:r w:rsidR="00354DC6" w:rsidRPr="00D02E15">
        <w:rPr>
          <w:highlight w:val="yellow"/>
        </w:rPr>
        <w:t xml:space="preserve">demonstration </w:t>
      </w:r>
      <w:r w:rsidR="00C104D6" w:rsidRPr="00D02E15">
        <w:rPr>
          <w:highlight w:val="yellow"/>
        </w:rPr>
        <w:t>should not apply to applications for modified full power television station licenses</w:t>
      </w:r>
      <w:r w:rsidR="00DB3EA2" w:rsidRPr="00D02E15">
        <w:rPr>
          <w:highlight w:val="yellow"/>
        </w:rPr>
        <w:t xml:space="preserve"> filed during the </w:t>
      </w:r>
      <w:r w:rsidR="00170108" w:rsidRPr="00D02E15">
        <w:rPr>
          <w:highlight w:val="yellow"/>
        </w:rPr>
        <w:t>39-month</w:t>
      </w:r>
      <w:r w:rsidR="00DB3EA2" w:rsidRPr="00D02E15">
        <w:rPr>
          <w:highlight w:val="yellow"/>
        </w:rPr>
        <w:t xml:space="preserve"> </w:t>
      </w:r>
      <w:r w:rsidR="00FC579B" w:rsidRPr="00D02E15">
        <w:rPr>
          <w:highlight w:val="yellow"/>
        </w:rPr>
        <w:t>P</w:t>
      </w:r>
      <w:r w:rsidR="00DB3EA2" w:rsidRPr="00D02E15">
        <w:rPr>
          <w:highlight w:val="yellow"/>
        </w:rPr>
        <w:t>ost-</w:t>
      </w:r>
      <w:r w:rsidR="00FC579B" w:rsidRPr="00D02E15">
        <w:rPr>
          <w:highlight w:val="yellow"/>
        </w:rPr>
        <w:t>A</w:t>
      </w:r>
      <w:r w:rsidR="00DB3EA2" w:rsidRPr="00D02E15">
        <w:rPr>
          <w:highlight w:val="yellow"/>
        </w:rPr>
        <w:t xml:space="preserve">uction </w:t>
      </w:r>
      <w:r w:rsidR="00FC579B" w:rsidRPr="00D02E15">
        <w:rPr>
          <w:highlight w:val="yellow"/>
        </w:rPr>
        <w:t>T</w:t>
      </w:r>
      <w:r w:rsidR="00DB3EA2" w:rsidRPr="00D02E15">
        <w:rPr>
          <w:highlight w:val="yellow"/>
        </w:rPr>
        <w:t xml:space="preserve">ransition </w:t>
      </w:r>
      <w:r w:rsidR="00FC579B" w:rsidRPr="00D02E15">
        <w:rPr>
          <w:highlight w:val="yellow"/>
        </w:rPr>
        <w:t>P</w:t>
      </w:r>
      <w:r w:rsidR="00DB3EA2" w:rsidRPr="00D02E15">
        <w:rPr>
          <w:highlight w:val="yellow"/>
        </w:rPr>
        <w:t xml:space="preserve">eriod, but </w:t>
      </w:r>
      <w:r w:rsidR="00746A25" w:rsidRPr="00D02E15">
        <w:rPr>
          <w:highlight w:val="yellow"/>
        </w:rPr>
        <w:t xml:space="preserve">we </w:t>
      </w:r>
      <w:r w:rsidR="00DB3EA2" w:rsidRPr="00D02E15">
        <w:rPr>
          <w:highlight w:val="green"/>
        </w:rPr>
        <w:t xml:space="preserve">seek comment </w:t>
      </w:r>
      <w:r w:rsidR="00DB3EA2" w:rsidRPr="00D02E15">
        <w:rPr>
          <w:highlight w:val="yellow"/>
        </w:rPr>
        <w:t>on whether it should apply to full power modification application</w:t>
      </w:r>
      <w:r w:rsidR="00E72AD9" w:rsidRPr="00D02E15">
        <w:rPr>
          <w:highlight w:val="yellow"/>
        </w:rPr>
        <w:t>s</w:t>
      </w:r>
      <w:r w:rsidR="00DB3EA2" w:rsidRPr="00D02E15">
        <w:rPr>
          <w:highlight w:val="yellow"/>
        </w:rPr>
        <w:t xml:space="preserve"> filed after the end of this period</w:t>
      </w:r>
      <w:r w:rsidR="00C104D6" w:rsidRPr="00D02E15">
        <w:rPr>
          <w:highlight w:val="yellow"/>
        </w:rPr>
        <w:t>.</w:t>
      </w:r>
      <w:r w:rsidR="00E72AD9" w:rsidRPr="00D02E15">
        <w:rPr>
          <w:highlight w:val="yellow"/>
        </w:rPr>
        <w:t xml:space="preserve">  </w:t>
      </w:r>
      <w:r w:rsidR="007D1B28" w:rsidRPr="00D02E15">
        <w:rPr>
          <w:highlight w:val="yellow"/>
        </w:rPr>
        <w:t xml:space="preserve">We also </w:t>
      </w:r>
      <w:r w:rsidR="007D1B28" w:rsidRPr="00D02E15">
        <w:rPr>
          <w:highlight w:val="green"/>
        </w:rPr>
        <w:t xml:space="preserve">seek comment </w:t>
      </w:r>
      <w:r w:rsidR="007D1B28" w:rsidRPr="00D02E15">
        <w:rPr>
          <w:highlight w:val="yellow"/>
        </w:rPr>
        <w:t xml:space="preserve">on whether the </w:t>
      </w:r>
      <w:r w:rsidR="00354DC6" w:rsidRPr="00D02E15">
        <w:rPr>
          <w:highlight w:val="yellow"/>
        </w:rPr>
        <w:t xml:space="preserve">demonstration </w:t>
      </w:r>
      <w:r w:rsidR="007D1B28" w:rsidRPr="00D02E15">
        <w:rPr>
          <w:highlight w:val="yellow"/>
        </w:rPr>
        <w:t xml:space="preserve">should apply to full power </w:t>
      </w:r>
      <w:r w:rsidR="007F4450" w:rsidRPr="00D02E15">
        <w:rPr>
          <w:highlight w:val="yellow"/>
        </w:rPr>
        <w:t xml:space="preserve">television station channel </w:t>
      </w:r>
      <w:r w:rsidR="007D1B28" w:rsidRPr="00D02E15">
        <w:rPr>
          <w:highlight w:val="yellow"/>
        </w:rPr>
        <w:t>allotment proceedings (i.e., proposals to change allotments, to drop</w:t>
      </w:r>
      <w:r w:rsidR="007F4450" w:rsidRPr="00D02E15">
        <w:rPr>
          <w:highlight w:val="yellow"/>
        </w:rPr>
        <w:t xml:space="preserve"> </w:t>
      </w:r>
      <w:r w:rsidR="007D1B28" w:rsidRPr="00D02E15">
        <w:rPr>
          <w:highlight w:val="yellow"/>
        </w:rPr>
        <w:t xml:space="preserve">in new allotments, to swap allotments among two or more licensees, or to change </w:t>
      </w:r>
      <w:r w:rsidR="007D1B28" w:rsidRPr="00D02E15">
        <w:rPr>
          <w:highlight w:val="yellow"/>
        </w:rPr>
        <w:lastRenderedPageBreak/>
        <w:t xml:space="preserve">communities of license of allotments). </w:t>
      </w:r>
      <w:r w:rsidR="007032F8" w:rsidRPr="00D02E15">
        <w:rPr>
          <w:highlight w:val="yellow"/>
        </w:rPr>
        <w:t xml:space="preserve"> </w:t>
      </w:r>
    </w:p>
    <w:p w14:paraId="6EE77BA8" w14:textId="77777777" w:rsidR="00EF1901" w:rsidRPr="007A366A" w:rsidRDefault="007032F8" w:rsidP="007A366A">
      <w:pPr>
        <w:pStyle w:val="ParaNum"/>
      </w:pPr>
      <w:r w:rsidRPr="007A366A">
        <w:t xml:space="preserve">We propose that the vacant channel preserved will be in the UHF band in the range of </w:t>
      </w:r>
      <w:r w:rsidR="00324F6D">
        <w:t>c</w:t>
      </w:r>
      <w:r w:rsidR="009B4D8D" w:rsidRPr="007A366A">
        <w:t xml:space="preserve">hannel </w:t>
      </w:r>
      <w:r w:rsidRPr="007A366A">
        <w:t xml:space="preserve">21 and above, </w:t>
      </w:r>
      <w:r w:rsidR="00AB1487">
        <w:t xml:space="preserve">and </w:t>
      </w:r>
      <w:r w:rsidRPr="007A366A">
        <w:t xml:space="preserve">that the specific vacant channel preserved </w:t>
      </w:r>
      <w:r w:rsidR="00787ACA">
        <w:t>may</w:t>
      </w:r>
      <w:r w:rsidR="00AB1487">
        <w:t xml:space="preserve"> vary depending on the particular </w:t>
      </w:r>
      <w:r w:rsidRPr="007A366A">
        <w:t xml:space="preserve">area.  </w:t>
      </w:r>
      <w:r w:rsidR="00EF771A">
        <w:t>W</w:t>
      </w:r>
      <w:r w:rsidR="00EF771A" w:rsidRPr="007A366A">
        <w:t xml:space="preserve">e </w:t>
      </w:r>
      <w:r w:rsidR="00EF771A">
        <w:t xml:space="preserve">also </w:t>
      </w:r>
      <w:r w:rsidR="00EF771A" w:rsidRPr="007A366A">
        <w:t>propose</w:t>
      </w:r>
      <w:r w:rsidR="00EF771A">
        <w:t xml:space="preserve"> that a party wishing to construct a new, displacement, or modified station on one of these channels would perform a technical study based on the Commission’s requirements to determine channel availability and the other operating parameters for the proposed facility and would include this study with its application to demonstrate that </w:t>
      </w:r>
      <w:r w:rsidR="00D675B7">
        <w:t xml:space="preserve">white space devices and </w:t>
      </w:r>
      <w:r w:rsidR="00EF771A">
        <w:t>wireless microphones operating within the same area as the proposed broadcast or BAS station will have access to at least one channel.  Finally, w</w:t>
      </w:r>
      <w:r w:rsidRPr="007A366A">
        <w:t xml:space="preserve">e propose that vacant channel availability at a given location will be determined using the same criteria currently specified in our rules for determining where wireless </w:t>
      </w:r>
      <w:r w:rsidR="00D675B7" w:rsidRPr="007A366A">
        <w:t xml:space="preserve">white space devices </w:t>
      </w:r>
      <w:r w:rsidR="00D675B7">
        <w:t xml:space="preserve">and </w:t>
      </w:r>
      <w:r w:rsidRPr="007A366A">
        <w:t>microphones can operate.</w:t>
      </w:r>
    </w:p>
    <w:p w14:paraId="417FCDD9" w14:textId="77777777" w:rsidR="00EF1901" w:rsidRPr="001A3028" w:rsidRDefault="00EF1901" w:rsidP="006C5F06">
      <w:pPr>
        <w:pStyle w:val="Heading1"/>
        <w:rPr>
          <w:rFonts w:ascii="Times New Roman" w:hAnsi="Times New Roman"/>
        </w:rPr>
      </w:pPr>
      <w:bookmarkStart w:id="4" w:name="_Toc409784112"/>
      <w:r w:rsidRPr="001A3028">
        <w:rPr>
          <w:rFonts w:ascii="Times New Roman" w:hAnsi="Times New Roman"/>
        </w:rPr>
        <w:t>BACKGROUND</w:t>
      </w:r>
      <w:bookmarkEnd w:id="4"/>
    </w:p>
    <w:p w14:paraId="5F08D45F" w14:textId="77777777" w:rsidR="0076353C" w:rsidRDefault="00836355" w:rsidP="00685484">
      <w:pPr>
        <w:pStyle w:val="ParaNum"/>
      </w:pPr>
      <w:r w:rsidRPr="00B7142D">
        <w:t xml:space="preserve">The </w:t>
      </w:r>
      <w:r w:rsidR="008B2006" w:rsidRPr="00B7142D">
        <w:t xml:space="preserve">current </w:t>
      </w:r>
      <w:r w:rsidRPr="00B7142D">
        <w:t xml:space="preserve">UHF </w:t>
      </w:r>
      <w:r w:rsidR="008B2006" w:rsidRPr="00B7142D">
        <w:t xml:space="preserve">television </w:t>
      </w:r>
      <w:r w:rsidRPr="00B7142D">
        <w:t>band</w:t>
      </w:r>
      <w:r w:rsidR="00680F77" w:rsidRPr="00B7142D">
        <w:t xml:space="preserve"> consists of </w:t>
      </w:r>
      <w:r w:rsidRPr="00B7142D">
        <w:t xml:space="preserve">228 megahertz of spectrum divided into 38 </w:t>
      </w:r>
      <w:proofErr w:type="gramStart"/>
      <w:r w:rsidRPr="00B7142D">
        <w:t>six megahertz</w:t>
      </w:r>
      <w:proofErr w:type="gramEnd"/>
      <w:r w:rsidRPr="00B7142D">
        <w:t xml:space="preserve"> channel</w:t>
      </w:r>
      <w:r w:rsidR="008B2006" w:rsidRPr="00B7142D">
        <w:t>s (</w:t>
      </w:r>
      <w:r w:rsidR="008D1C36">
        <w:t>c</w:t>
      </w:r>
      <w:r w:rsidR="008B2006" w:rsidRPr="00B7142D">
        <w:t xml:space="preserve">hannels 14-51, except </w:t>
      </w:r>
      <w:r w:rsidR="008D1C36">
        <w:t>c</w:t>
      </w:r>
      <w:r w:rsidR="008B2006" w:rsidRPr="00B7142D">
        <w:t>hannel 37)</w:t>
      </w:r>
      <w:r w:rsidR="00680F77" w:rsidRPr="00B7142D">
        <w:t xml:space="preserve">.  These channels are </w:t>
      </w:r>
      <w:r w:rsidRPr="00B7142D">
        <w:t xml:space="preserve">allocated and assigned on a primary basis for </w:t>
      </w:r>
      <w:r w:rsidR="00DE5F47" w:rsidRPr="00B7142D">
        <w:t xml:space="preserve">the </w:t>
      </w:r>
      <w:r w:rsidR="000E0F0A" w:rsidRPr="00B7142D">
        <w:t xml:space="preserve">licensed </w:t>
      </w:r>
      <w:r w:rsidR="00E15F0B" w:rsidRPr="00B7142D">
        <w:t xml:space="preserve">full power </w:t>
      </w:r>
      <w:r w:rsidR="00A832DB" w:rsidRPr="00B7142D">
        <w:t xml:space="preserve">and Class </w:t>
      </w:r>
      <w:proofErr w:type="gramStart"/>
      <w:r w:rsidR="00A832DB" w:rsidRPr="00B7142D">
        <w:t>A</w:t>
      </w:r>
      <w:proofErr w:type="gramEnd"/>
      <w:r w:rsidR="00A832DB" w:rsidRPr="00B7142D">
        <w:t xml:space="preserve"> </w:t>
      </w:r>
      <w:r w:rsidRPr="00B7142D">
        <w:t>broadcast television service</w:t>
      </w:r>
      <w:r w:rsidR="00DE5F47" w:rsidRPr="00B7142D">
        <w:t>s</w:t>
      </w:r>
      <w:r w:rsidRPr="00B7142D">
        <w:t>.</w:t>
      </w:r>
      <w:r w:rsidRPr="00B7142D">
        <w:rPr>
          <w:vertAlign w:val="superscript"/>
        </w:rPr>
        <w:footnoteReference w:id="7"/>
      </w:r>
      <w:r w:rsidRPr="00B7142D">
        <w:t xml:space="preserve"> </w:t>
      </w:r>
      <w:r w:rsidR="00962D42" w:rsidRPr="00B7142D">
        <w:t xml:space="preserve"> </w:t>
      </w:r>
      <w:r w:rsidR="009D0073" w:rsidRPr="00B7142D">
        <w:t>Other</w:t>
      </w:r>
      <w:r w:rsidR="00A33063" w:rsidRPr="00B7142D">
        <w:t xml:space="preserve"> licensed broadcast-related users are</w:t>
      </w:r>
      <w:r w:rsidR="009D0073" w:rsidRPr="00B7142D">
        <w:t xml:space="preserve"> permitted to operate on a secondary basis, including</w:t>
      </w:r>
      <w:r w:rsidR="00EA5511" w:rsidRPr="00B7142D">
        <w:t xml:space="preserve"> </w:t>
      </w:r>
      <w:r w:rsidR="00D02ED3">
        <w:t>LPTV</w:t>
      </w:r>
      <w:r w:rsidRPr="00B7142D">
        <w:t xml:space="preserve"> and TV translator stations</w:t>
      </w:r>
      <w:r w:rsidR="002060E2">
        <w:t>,</w:t>
      </w:r>
      <w:r w:rsidR="000D105F" w:rsidRPr="001A3028">
        <w:rPr>
          <w:rStyle w:val="FootnoteReference"/>
          <w:sz w:val="22"/>
        </w:rPr>
        <w:footnoteReference w:id="8"/>
      </w:r>
      <w:r w:rsidRPr="00B7142D">
        <w:t xml:space="preserve"> </w:t>
      </w:r>
      <w:r w:rsidR="00EA5511" w:rsidRPr="00B7142D">
        <w:t>fixed BAS</w:t>
      </w:r>
      <w:r w:rsidR="002060E2">
        <w:t>,</w:t>
      </w:r>
      <w:r w:rsidR="00AC4363" w:rsidRPr="001A3028">
        <w:rPr>
          <w:rStyle w:val="FootnoteReference"/>
          <w:sz w:val="22"/>
        </w:rPr>
        <w:footnoteReference w:id="9"/>
      </w:r>
      <w:r w:rsidR="002060E2">
        <w:t xml:space="preserve"> and l</w:t>
      </w:r>
      <w:r w:rsidR="000A7945" w:rsidRPr="00B7142D">
        <w:t>ow power auxiliary stations (“LPAS”), includ</w:t>
      </w:r>
      <w:r w:rsidR="00427F9B">
        <w:t>ing</w:t>
      </w:r>
      <w:r w:rsidR="000A7945" w:rsidRPr="00B7142D">
        <w:t xml:space="preserve"> licensed wireless microphones</w:t>
      </w:r>
      <w:r w:rsidR="002060E2">
        <w:t>.</w:t>
      </w:r>
      <w:r w:rsidR="000A7945" w:rsidRPr="00B7142D">
        <w:rPr>
          <w:rStyle w:val="FootnoteReference"/>
          <w:sz w:val="22"/>
        </w:rPr>
        <w:footnoteReference w:id="10"/>
      </w:r>
      <w:r w:rsidR="000A7945" w:rsidRPr="00B7142D">
        <w:t xml:space="preserve"> </w:t>
      </w:r>
      <w:r w:rsidR="00E5369A">
        <w:t xml:space="preserve"> </w:t>
      </w:r>
      <w:r w:rsidR="009B29EB">
        <w:t>U</w:t>
      </w:r>
      <w:r w:rsidR="000A7945" w:rsidRPr="00B7142D">
        <w:t xml:space="preserve">nlicensed </w:t>
      </w:r>
      <w:r w:rsidR="00E5369A">
        <w:t xml:space="preserve">operations by </w:t>
      </w:r>
      <w:r w:rsidR="00D675B7" w:rsidRPr="00B7142D">
        <w:t>white space devices</w:t>
      </w:r>
      <w:r w:rsidR="00D675B7" w:rsidRPr="001A3028">
        <w:rPr>
          <w:rStyle w:val="FootnoteReference"/>
          <w:sz w:val="22"/>
        </w:rPr>
        <w:footnoteReference w:id="11"/>
      </w:r>
      <w:r w:rsidR="00D675B7" w:rsidRPr="00B7142D">
        <w:t xml:space="preserve"> </w:t>
      </w:r>
      <w:r w:rsidR="00D675B7">
        <w:t xml:space="preserve">and </w:t>
      </w:r>
      <w:r w:rsidR="000A7945" w:rsidRPr="00B7142D">
        <w:t>wireless microphones</w:t>
      </w:r>
      <w:r w:rsidR="000A7945" w:rsidRPr="001A3028">
        <w:rPr>
          <w:rStyle w:val="FootnoteReference"/>
          <w:sz w:val="22"/>
        </w:rPr>
        <w:footnoteReference w:id="12"/>
      </w:r>
      <w:r w:rsidR="000A7945" w:rsidRPr="00B7142D">
        <w:t xml:space="preserve"> also are permitted to operate on these channels.</w:t>
      </w:r>
      <w:r w:rsidR="000A7945" w:rsidRPr="001A3028">
        <w:rPr>
          <w:rStyle w:val="FootnoteReference"/>
          <w:sz w:val="22"/>
        </w:rPr>
        <w:footnoteReference w:id="13"/>
      </w:r>
      <w:r w:rsidR="000A7945" w:rsidRPr="00B7142D">
        <w:t xml:space="preserve"> </w:t>
      </w:r>
      <w:r w:rsidR="00DC0D3B">
        <w:t xml:space="preserve"> </w:t>
      </w:r>
    </w:p>
    <w:p w14:paraId="70C838D8" w14:textId="77777777" w:rsidR="008B1C33" w:rsidRPr="00B7142D" w:rsidRDefault="008E6183" w:rsidP="002D2631">
      <w:pPr>
        <w:pStyle w:val="ParaNum"/>
        <w:widowControl/>
      </w:pPr>
      <w:r w:rsidRPr="00B7142D">
        <w:lastRenderedPageBreak/>
        <w:t xml:space="preserve">In the </w:t>
      </w:r>
      <w:r w:rsidRPr="00B7142D">
        <w:rPr>
          <w:i/>
        </w:rPr>
        <w:t>Incentive Auction Report and Order</w:t>
      </w:r>
      <w:r w:rsidRPr="00B7142D">
        <w:t xml:space="preserve">, </w:t>
      </w:r>
      <w:r w:rsidR="00F551E3" w:rsidRPr="00B7142D">
        <w:t xml:space="preserve">the Commission adopted rules to implement the broadcast television </w:t>
      </w:r>
      <w:r w:rsidR="0076353C">
        <w:t xml:space="preserve">spectrum </w:t>
      </w:r>
      <w:r w:rsidR="00394AFD" w:rsidRPr="00B7142D">
        <w:t>incentive auction</w:t>
      </w:r>
      <w:r w:rsidR="00F551E3" w:rsidRPr="00B7142D">
        <w:t>.</w:t>
      </w:r>
      <w:r w:rsidR="00394AFD" w:rsidRPr="001A3028">
        <w:rPr>
          <w:rStyle w:val="FootnoteReference"/>
          <w:sz w:val="22"/>
        </w:rPr>
        <w:footnoteReference w:id="14"/>
      </w:r>
      <w:r w:rsidR="00394AFD" w:rsidRPr="00B7142D">
        <w:t xml:space="preserve">  </w:t>
      </w:r>
      <w:r w:rsidR="00F551E3" w:rsidRPr="00B7142D">
        <w:t xml:space="preserve">As discussed more fully in the </w:t>
      </w:r>
      <w:r w:rsidR="00F551E3" w:rsidRPr="00B7142D">
        <w:rPr>
          <w:i/>
        </w:rPr>
        <w:t>Incentive A</w:t>
      </w:r>
      <w:r w:rsidR="00962D42" w:rsidRPr="00B7142D">
        <w:rPr>
          <w:i/>
        </w:rPr>
        <w:t>u</w:t>
      </w:r>
      <w:r w:rsidR="00F551E3" w:rsidRPr="00B7142D">
        <w:rPr>
          <w:i/>
        </w:rPr>
        <w:t>ction Report and Order</w:t>
      </w:r>
      <w:r w:rsidR="00F551E3" w:rsidRPr="00B7142D">
        <w:t xml:space="preserve">, the incentive auction will affect </w:t>
      </w:r>
      <w:r w:rsidR="00C6247F" w:rsidRPr="00B7142D">
        <w:t>the operations of</w:t>
      </w:r>
      <w:r w:rsidR="00F551E3" w:rsidRPr="00B7142D">
        <w:t xml:space="preserve"> primary, secondary, and unlicensed users operat</w:t>
      </w:r>
      <w:r w:rsidR="00C72E4F" w:rsidRPr="00B7142D">
        <w:t>ing</w:t>
      </w:r>
      <w:r w:rsidR="00F551E3" w:rsidRPr="00B7142D">
        <w:t xml:space="preserve"> in the current television bands.</w:t>
      </w:r>
      <w:r w:rsidR="0023657F" w:rsidRPr="001A3028">
        <w:rPr>
          <w:rStyle w:val="FootnoteReference"/>
          <w:sz w:val="22"/>
        </w:rPr>
        <w:footnoteReference w:id="15"/>
      </w:r>
      <w:r w:rsidR="0023657F" w:rsidRPr="00B7142D">
        <w:t xml:space="preserve">  The Commission addressed the impact </w:t>
      </w:r>
      <w:r w:rsidR="006365AD" w:rsidRPr="00B7142D">
        <w:t xml:space="preserve">on </w:t>
      </w:r>
      <w:r w:rsidR="0023657F" w:rsidRPr="00B7142D">
        <w:t xml:space="preserve">each of these </w:t>
      </w:r>
      <w:r w:rsidR="00A873B8" w:rsidRPr="00B7142D">
        <w:t xml:space="preserve">groups of </w:t>
      </w:r>
      <w:r w:rsidR="0023657F" w:rsidRPr="00B7142D">
        <w:t xml:space="preserve">users in various parts of the </w:t>
      </w:r>
      <w:r w:rsidR="0023657F" w:rsidRPr="00B7142D">
        <w:rPr>
          <w:i/>
        </w:rPr>
        <w:t>Incentive Auction Report and Order.</w:t>
      </w:r>
      <w:r w:rsidR="0023657F" w:rsidRPr="001A3028">
        <w:rPr>
          <w:rStyle w:val="FootnoteReference"/>
          <w:sz w:val="22"/>
        </w:rPr>
        <w:footnoteReference w:id="16"/>
      </w:r>
      <w:r w:rsidR="008B1C33" w:rsidRPr="00B7142D">
        <w:t xml:space="preserve">  With respect to </w:t>
      </w:r>
      <w:r w:rsidR="00D675B7" w:rsidRPr="00B7142D">
        <w:t xml:space="preserve">white space devices </w:t>
      </w:r>
      <w:r w:rsidR="00D675B7">
        <w:t xml:space="preserve">and </w:t>
      </w:r>
      <w:r w:rsidR="008B1C33" w:rsidRPr="00B7142D">
        <w:t>wireless microphone</w:t>
      </w:r>
      <w:r w:rsidR="006365AD" w:rsidRPr="00B7142D">
        <w:t>s</w:t>
      </w:r>
      <w:r w:rsidR="008B1C33" w:rsidRPr="00B7142D">
        <w:t>, the Commission took several steps to accommodate their operations</w:t>
      </w:r>
      <w:r w:rsidR="009707AF" w:rsidRPr="00B7142D">
        <w:t>.</w:t>
      </w:r>
      <w:r w:rsidR="00404FC1" w:rsidRPr="001A3028">
        <w:rPr>
          <w:rStyle w:val="FootnoteReference"/>
          <w:sz w:val="22"/>
        </w:rPr>
        <w:footnoteReference w:id="17"/>
      </w:r>
      <w:r w:rsidR="008B1C33" w:rsidRPr="00B7142D">
        <w:t xml:space="preserve">   </w:t>
      </w:r>
    </w:p>
    <w:p w14:paraId="4C39ABBB" w14:textId="77777777" w:rsidR="00152288" w:rsidRPr="00B7142D" w:rsidRDefault="008B1C33" w:rsidP="006C5F06">
      <w:pPr>
        <w:pStyle w:val="ParaNum"/>
      </w:pPr>
      <w:r w:rsidRPr="00B7142D">
        <w:t xml:space="preserve">Both </w:t>
      </w:r>
      <w:r w:rsidR="00BB24B6" w:rsidRPr="00B7142D">
        <w:t xml:space="preserve">white space devices </w:t>
      </w:r>
      <w:r w:rsidR="00BB24B6">
        <w:t xml:space="preserve">and </w:t>
      </w:r>
      <w:r w:rsidRPr="00B7142D">
        <w:t xml:space="preserve">wireless microphones </w:t>
      </w:r>
      <w:r w:rsidR="001F550F" w:rsidRPr="00B7142D">
        <w:t xml:space="preserve">(licensed and unlicensed) </w:t>
      </w:r>
      <w:r w:rsidR="005E327B" w:rsidRPr="00B7142D">
        <w:t xml:space="preserve">are permitted to </w:t>
      </w:r>
      <w:r w:rsidRPr="00B7142D">
        <w:t>operate</w:t>
      </w:r>
      <w:r w:rsidR="003B2538">
        <w:t xml:space="preserve"> </w:t>
      </w:r>
      <w:r w:rsidR="00012A64">
        <w:t>in the TV bands</w:t>
      </w:r>
      <w:r w:rsidRPr="00B7142D">
        <w:t xml:space="preserve"> on </w:t>
      </w:r>
      <w:r w:rsidR="005E327B" w:rsidRPr="00B7142D">
        <w:t xml:space="preserve">channels at locations where the spectrum has not been assigned </w:t>
      </w:r>
      <w:r w:rsidR="0076353C">
        <w:t>for use by</w:t>
      </w:r>
      <w:r w:rsidR="005E327B" w:rsidRPr="00B7142D">
        <w:t xml:space="preserve"> particular broadcast licensees (i.e., “white spaces”)</w:t>
      </w:r>
      <w:r w:rsidR="003A7C5D" w:rsidRPr="00B7142D">
        <w:t>.</w:t>
      </w:r>
      <w:r w:rsidR="005E327B" w:rsidRPr="001A3028">
        <w:rPr>
          <w:rStyle w:val="FootnoteReference"/>
          <w:sz w:val="22"/>
        </w:rPr>
        <w:footnoteReference w:id="18"/>
      </w:r>
      <w:r w:rsidR="008221EA" w:rsidRPr="00B7142D">
        <w:t xml:space="preserve"> </w:t>
      </w:r>
      <w:r w:rsidR="005E327B" w:rsidRPr="00B7142D">
        <w:t xml:space="preserve"> T</w:t>
      </w:r>
      <w:r w:rsidR="008221EA" w:rsidRPr="00B7142D">
        <w:t>he rules and requirements for their operations differ</w:t>
      </w:r>
      <w:r w:rsidR="00462595" w:rsidRPr="00B7142D">
        <w:t>, however</w:t>
      </w:r>
      <w:r w:rsidR="008221EA" w:rsidRPr="00B7142D">
        <w:t>.</w:t>
      </w:r>
      <w:r w:rsidR="00AD0546" w:rsidRPr="001A3028">
        <w:rPr>
          <w:rStyle w:val="FootnoteReference"/>
          <w:sz w:val="22"/>
        </w:rPr>
        <w:footnoteReference w:id="19"/>
      </w:r>
      <w:r w:rsidR="00AD0546" w:rsidRPr="00B7142D">
        <w:t xml:space="preserve">  </w:t>
      </w:r>
      <w:r w:rsidR="00F70008" w:rsidRPr="00B7142D">
        <w:t>In</w:t>
      </w:r>
      <w:r w:rsidR="001F550F" w:rsidRPr="00B7142D">
        <w:t xml:space="preserve"> the </w:t>
      </w:r>
      <w:r w:rsidR="001F550F" w:rsidRPr="00B7142D">
        <w:rPr>
          <w:i/>
        </w:rPr>
        <w:t>TV White Spaces Second MO&amp;O</w:t>
      </w:r>
      <w:r w:rsidR="001F550F" w:rsidRPr="00B7142D">
        <w:t xml:space="preserve"> adopted in 201</w:t>
      </w:r>
      <w:r w:rsidR="00F70008" w:rsidRPr="00B7142D">
        <w:t xml:space="preserve">0, the Commission </w:t>
      </w:r>
      <w:r w:rsidR="0063679A" w:rsidRPr="00B7142D">
        <w:t>established rules pu</w:t>
      </w:r>
      <w:r w:rsidR="00F70008" w:rsidRPr="00B7142D">
        <w:t xml:space="preserve">rsuant to which wireless microphone users and unlicensed </w:t>
      </w:r>
      <w:r w:rsidR="00497486" w:rsidRPr="00B7142D">
        <w:t>white space</w:t>
      </w:r>
      <w:r w:rsidR="00F70008" w:rsidRPr="00B7142D">
        <w:t xml:space="preserve"> device users </w:t>
      </w:r>
      <w:r w:rsidR="005E327B" w:rsidRPr="00B7142D">
        <w:t>currently</w:t>
      </w:r>
      <w:r w:rsidR="00F70008" w:rsidRPr="00B7142D">
        <w:t xml:space="preserve"> have access to unused TV bands channels.</w:t>
      </w:r>
      <w:r w:rsidR="00F70008" w:rsidRPr="001A3028">
        <w:rPr>
          <w:rStyle w:val="FootnoteReference"/>
          <w:sz w:val="22"/>
        </w:rPr>
        <w:footnoteReference w:id="20"/>
      </w:r>
      <w:r w:rsidR="00F70008" w:rsidRPr="00B7142D">
        <w:t xml:space="preserve">  </w:t>
      </w:r>
      <w:r w:rsidR="001F550F" w:rsidRPr="00B7142D">
        <w:t xml:space="preserve">In that </w:t>
      </w:r>
      <w:r w:rsidR="002B37B6">
        <w:t>o</w:t>
      </w:r>
      <w:r w:rsidR="001F550F" w:rsidRPr="00B7142D">
        <w:t>rder, t</w:t>
      </w:r>
      <w:r w:rsidR="00F70008" w:rsidRPr="00B7142D">
        <w:t>he Commission provided that</w:t>
      </w:r>
      <w:r w:rsidR="008221EA" w:rsidRPr="00B7142D">
        <w:t>, where available,</w:t>
      </w:r>
      <w:r w:rsidR="00F70008" w:rsidRPr="00B7142D">
        <w:t xml:space="preserve"> </w:t>
      </w:r>
      <w:r w:rsidR="000C53E4" w:rsidRPr="00B7142D">
        <w:t>the</w:t>
      </w:r>
      <w:r w:rsidR="00F70008" w:rsidRPr="00B7142D">
        <w:t xml:space="preserve"> two unused television channels nearest channel 37 (above and below) would be designated for wireless microphone operations and not be made available for </w:t>
      </w:r>
      <w:r w:rsidR="00497486" w:rsidRPr="00B7142D">
        <w:t>white space</w:t>
      </w:r>
      <w:r w:rsidR="00F70008" w:rsidRPr="00B7142D">
        <w:t xml:space="preserve"> devices.</w:t>
      </w:r>
      <w:r w:rsidR="00F70008" w:rsidRPr="001A3028">
        <w:rPr>
          <w:rStyle w:val="FootnoteReference"/>
          <w:sz w:val="22"/>
        </w:rPr>
        <w:footnoteReference w:id="21"/>
      </w:r>
      <w:r w:rsidR="00F70008" w:rsidRPr="00B7142D">
        <w:t xml:space="preserve">  </w:t>
      </w:r>
      <w:r w:rsidR="001F550F" w:rsidRPr="00B7142D">
        <w:t xml:space="preserve">In the </w:t>
      </w:r>
      <w:r w:rsidR="001F550F" w:rsidRPr="00B7142D">
        <w:rPr>
          <w:i/>
        </w:rPr>
        <w:t xml:space="preserve">Incentive </w:t>
      </w:r>
      <w:r w:rsidR="001F550F" w:rsidRPr="00B7142D">
        <w:rPr>
          <w:i/>
        </w:rPr>
        <w:lastRenderedPageBreak/>
        <w:t>Auction Report and Order</w:t>
      </w:r>
      <w:r w:rsidR="001F550F" w:rsidRPr="00B7142D">
        <w:t xml:space="preserve">, </w:t>
      </w:r>
      <w:r w:rsidR="00066B6E" w:rsidRPr="00B7142D">
        <w:t>i</w:t>
      </w:r>
      <w:r w:rsidR="00470EF6" w:rsidRPr="00B7142D">
        <w:t xml:space="preserve">n anticipation of </w:t>
      </w:r>
      <w:r w:rsidR="001F550F" w:rsidRPr="00B7142D">
        <w:t xml:space="preserve">the repurposing of some TV band spectrum for wireless services </w:t>
      </w:r>
      <w:r w:rsidR="004B59C7" w:rsidRPr="00B7142D">
        <w:t xml:space="preserve">and the decreased amount of TV band spectrum that would remain </w:t>
      </w:r>
      <w:r w:rsidR="00EA5EBE" w:rsidRPr="00B7142D">
        <w:t>after</w:t>
      </w:r>
      <w:r w:rsidR="004B59C7" w:rsidRPr="00B7142D">
        <w:t xml:space="preserve"> repacking, the Commission concluded that</w:t>
      </w:r>
      <w:r w:rsidR="005E327B" w:rsidRPr="00B7142D">
        <w:t xml:space="preserve"> following the incentive auction</w:t>
      </w:r>
      <w:r w:rsidR="004B59C7" w:rsidRPr="00B7142D">
        <w:t xml:space="preserve"> it </w:t>
      </w:r>
      <w:r w:rsidR="0063679A" w:rsidRPr="00B7142D">
        <w:t>shou</w:t>
      </w:r>
      <w:r w:rsidR="004B59C7" w:rsidRPr="00B7142D">
        <w:t xml:space="preserve">ld no longer continue to designate any unused television channel </w:t>
      </w:r>
      <w:r w:rsidR="00470EF6" w:rsidRPr="00B7142D">
        <w:t xml:space="preserve">solely </w:t>
      </w:r>
      <w:r w:rsidR="000C53E4" w:rsidRPr="00B7142D">
        <w:t>f</w:t>
      </w:r>
      <w:r w:rsidR="004B59C7" w:rsidRPr="00B7142D">
        <w:t>or use by wireless microphones</w:t>
      </w:r>
      <w:r w:rsidR="0063679A" w:rsidRPr="00B7142D">
        <w:t xml:space="preserve">, </w:t>
      </w:r>
      <w:r w:rsidR="000C53E4" w:rsidRPr="00B7142D">
        <w:t xml:space="preserve">determining instead </w:t>
      </w:r>
      <w:r w:rsidR="0063679A" w:rsidRPr="00B7142D">
        <w:t xml:space="preserve">that </w:t>
      </w:r>
      <w:r w:rsidR="000C53E4" w:rsidRPr="00B7142D">
        <w:t xml:space="preserve">any </w:t>
      </w:r>
      <w:r w:rsidR="008221EA" w:rsidRPr="00B7142D">
        <w:t>such</w:t>
      </w:r>
      <w:r w:rsidR="000C53E4" w:rsidRPr="00B7142D">
        <w:t xml:space="preserve"> channel</w:t>
      </w:r>
      <w:r w:rsidR="004E2F6E">
        <w:t>s</w:t>
      </w:r>
      <w:r w:rsidR="000C53E4" w:rsidRPr="00B7142D">
        <w:t xml:space="preserve"> </w:t>
      </w:r>
      <w:r w:rsidR="0063679A" w:rsidRPr="00B7142D">
        <w:t xml:space="preserve">should be made potentially available for </w:t>
      </w:r>
      <w:r w:rsidR="00497486" w:rsidRPr="00B7142D">
        <w:t>white space</w:t>
      </w:r>
      <w:r w:rsidR="0063679A" w:rsidRPr="00B7142D">
        <w:t xml:space="preserve"> device use as well</w:t>
      </w:r>
      <w:r w:rsidR="004B59C7" w:rsidRPr="00B7142D">
        <w:t>.</w:t>
      </w:r>
      <w:r w:rsidR="004B59C7" w:rsidRPr="001A3028">
        <w:rPr>
          <w:rStyle w:val="FootnoteReference"/>
          <w:sz w:val="22"/>
        </w:rPr>
        <w:footnoteReference w:id="22"/>
      </w:r>
      <w:r w:rsidR="004B59C7" w:rsidRPr="00B7142D">
        <w:t xml:space="preserve">  </w:t>
      </w:r>
    </w:p>
    <w:p w14:paraId="5B7E091D" w14:textId="77777777" w:rsidR="00B03256" w:rsidRPr="00B7142D" w:rsidRDefault="004B59C7" w:rsidP="006C5F06">
      <w:pPr>
        <w:pStyle w:val="ParaNum"/>
      </w:pPr>
      <w:r w:rsidRPr="00B7142D">
        <w:t xml:space="preserve">Furthermore, </w:t>
      </w:r>
      <w:r w:rsidR="000C53E4" w:rsidRPr="00B7142D">
        <w:t xml:space="preserve">the Commission </w:t>
      </w:r>
      <w:r w:rsidR="0063679A" w:rsidRPr="00B7142D">
        <w:t>anticipat</w:t>
      </w:r>
      <w:r w:rsidR="000C53E4" w:rsidRPr="00B7142D">
        <w:t>ed</w:t>
      </w:r>
      <w:r w:rsidR="0063679A" w:rsidRPr="00B7142D">
        <w:t xml:space="preserve"> that at least one television channel in the UHF band in all </w:t>
      </w:r>
      <w:r w:rsidR="000C53E4" w:rsidRPr="00B7142D">
        <w:t xml:space="preserve">(or nearly all) areas of the United States </w:t>
      </w:r>
      <w:r w:rsidR="0063679A" w:rsidRPr="00B7142D">
        <w:t>would not be assigned to a television station in the repacking process</w:t>
      </w:r>
      <w:r w:rsidR="00470EF6" w:rsidRPr="00B7142D">
        <w:t>,</w:t>
      </w:r>
      <w:r w:rsidR="00C32386" w:rsidRPr="00B7142D">
        <w:t xml:space="preserve"> because </w:t>
      </w:r>
      <w:r w:rsidR="009D2B85" w:rsidRPr="00B7142D">
        <w:t>the separation between</w:t>
      </w:r>
      <w:r w:rsidR="00C32386" w:rsidRPr="00B7142D">
        <w:t xml:space="preserve"> </w:t>
      </w:r>
      <w:r w:rsidR="0044463E" w:rsidRPr="00B7142D">
        <w:t xml:space="preserve">television </w:t>
      </w:r>
      <w:r w:rsidR="009D2B85" w:rsidRPr="00B7142D">
        <w:t>stations</w:t>
      </w:r>
      <w:r w:rsidR="0044463E" w:rsidRPr="00B7142D">
        <w:t xml:space="preserve"> </w:t>
      </w:r>
      <w:r w:rsidR="00C32386" w:rsidRPr="00B7142D">
        <w:t>will be necessary to avoid interference between primary broadcast stations in the final channel assignment process.</w:t>
      </w:r>
      <w:r w:rsidR="000C53E4" w:rsidRPr="001A3028">
        <w:rPr>
          <w:rStyle w:val="FootnoteReference"/>
          <w:sz w:val="22"/>
        </w:rPr>
        <w:footnoteReference w:id="23"/>
      </w:r>
      <w:r w:rsidR="000C53E4" w:rsidRPr="00B7142D">
        <w:t xml:space="preserve"> </w:t>
      </w:r>
      <w:r w:rsidR="00C32386" w:rsidRPr="00B7142D">
        <w:t xml:space="preserve"> </w:t>
      </w:r>
      <w:r w:rsidR="00B03256" w:rsidRPr="00B7142D">
        <w:t>C</w:t>
      </w:r>
      <w:r w:rsidR="000C53E4" w:rsidRPr="00B7142D">
        <w:t xml:space="preserve">onsidering the important public interest benefits provided by </w:t>
      </w:r>
      <w:r w:rsidR="00470EF6" w:rsidRPr="00B7142D">
        <w:t xml:space="preserve">both </w:t>
      </w:r>
      <w:r w:rsidR="000C53E4" w:rsidRPr="00B7142D">
        <w:t xml:space="preserve">wireless microphones and </w:t>
      </w:r>
      <w:r w:rsidR="00497486" w:rsidRPr="00B7142D">
        <w:t>white space</w:t>
      </w:r>
      <w:r w:rsidR="000C53E4" w:rsidRPr="00B7142D">
        <w:t xml:space="preserve"> devices, t</w:t>
      </w:r>
      <w:r w:rsidR="0063679A" w:rsidRPr="00B7142D">
        <w:t xml:space="preserve">he Commission </w:t>
      </w:r>
      <w:r w:rsidR="008221EA" w:rsidRPr="00B7142D">
        <w:t xml:space="preserve">stated its intent, following notice and comment, to designate one channel in each area for shared use by </w:t>
      </w:r>
      <w:r w:rsidR="00324549" w:rsidRPr="00B7142D">
        <w:t xml:space="preserve">wireless microphones and </w:t>
      </w:r>
      <w:r w:rsidR="00497486" w:rsidRPr="00B7142D">
        <w:t>white space</w:t>
      </w:r>
      <w:r w:rsidR="00324549" w:rsidRPr="00B7142D">
        <w:t xml:space="preserve"> devices.</w:t>
      </w:r>
      <w:r w:rsidR="00324549" w:rsidRPr="001A3028">
        <w:rPr>
          <w:rStyle w:val="FootnoteReference"/>
          <w:sz w:val="22"/>
        </w:rPr>
        <w:footnoteReference w:id="24"/>
      </w:r>
      <w:r w:rsidR="001F6A47" w:rsidRPr="00B7142D">
        <w:t xml:space="preserve">  </w:t>
      </w:r>
      <w:r w:rsidR="00A33252">
        <w:t>T</w:t>
      </w:r>
      <w:r w:rsidR="00B03256" w:rsidRPr="00B7142D">
        <w:t xml:space="preserve">he Commission stated that it sought to “strike a balance between the interests of all users of the television bands,” including secondary broadcast stations as well as wireless microphone and </w:t>
      </w:r>
      <w:r w:rsidR="00497486" w:rsidRPr="00B7142D">
        <w:t>white space</w:t>
      </w:r>
      <w:r w:rsidR="00B03256" w:rsidRPr="00B7142D">
        <w:t xml:space="preserve"> device operators, for access to the UHF TV spectrum.</w:t>
      </w:r>
      <w:r w:rsidR="00B03256" w:rsidRPr="001A3028">
        <w:rPr>
          <w:rStyle w:val="FootnoteReference"/>
          <w:sz w:val="22"/>
        </w:rPr>
        <w:footnoteReference w:id="25"/>
      </w:r>
      <w:r w:rsidR="00B03256" w:rsidRPr="00B7142D">
        <w:t xml:space="preserve">  </w:t>
      </w:r>
    </w:p>
    <w:p w14:paraId="0D3071C2" w14:textId="77777777" w:rsidR="00CD683D" w:rsidRPr="001A3028" w:rsidRDefault="00CD683D" w:rsidP="00DE7DA8">
      <w:pPr>
        <w:pStyle w:val="Heading1"/>
        <w:widowControl/>
        <w:rPr>
          <w:rFonts w:ascii="Times New Roman" w:hAnsi="Times New Roman"/>
        </w:rPr>
      </w:pPr>
      <w:bookmarkStart w:id="5" w:name="_Toc151525888"/>
      <w:bookmarkStart w:id="6" w:name="_Toc153880333"/>
      <w:bookmarkStart w:id="7" w:name="_Toc156193010"/>
      <w:bookmarkStart w:id="8" w:name="_Toc156207388"/>
      <w:bookmarkStart w:id="9" w:name="_Toc156386499"/>
      <w:bookmarkStart w:id="10" w:name="_Toc156728509"/>
      <w:bookmarkStart w:id="11" w:name="_Toc156984286"/>
      <w:bookmarkStart w:id="12" w:name="_Toc157345931"/>
      <w:bookmarkStart w:id="13" w:name="_Toc157942554"/>
      <w:bookmarkStart w:id="14" w:name="_Toc158021182"/>
      <w:bookmarkStart w:id="15" w:name="_Toc158021239"/>
      <w:bookmarkStart w:id="16" w:name="_Toc158185343"/>
      <w:bookmarkStart w:id="17" w:name="_Toc158197563"/>
      <w:bookmarkStart w:id="18" w:name="_Toc158544528"/>
      <w:bookmarkStart w:id="19" w:name="_Toc158704664"/>
      <w:bookmarkStart w:id="20" w:name="_Toc158736729"/>
      <w:bookmarkStart w:id="21" w:name="_Toc158803368"/>
      <w:bookmarkStart w:id="22" w:name="_Toc159322369"/>
      <w:bookmarkStart w:id="23" w:name="_Toc159407172"/>
      <w:bookmarkStart w:id="24" w:name="_Toc159407232"/>
      <w:bookmarkStart w:id="25" w:name="_Toc159842259"/>
      <w:bookmarkStart w:id="26" w:name="_Toc159843554"/>
      <w:bookmarkStart w:id="27" w:name="_Toc159846881"/>
      <w:bookmarkStart w:id="28" w:name="_Toc159847005"/>
      <w:bookmarkStart w:id="29" w:name="_Toc164830308"/>
      <w:bookmarkStart w:id="30" w:name="_Toc164837657"/>
      <w:bookmarkStart w:id="31" w:name="_Toc164837994"/>
      <w:bookmarkStart w:id="32" w:name="_Toc164842303"/>
      <w:bookmarkStart w:id="33" w:name="_Toc164846124"/>
      <w:bookmarkStart w:id="34" w:name="_Toc164846149"/>
      <w:bookmarkStart w:id="35" w:name="_Toc393965391"/>
      <w:bookmarkStart w:id="36" w:name="_Toc409784113"/>
      <w:r w:rsidRPr="001A3028">
        <w:rPr>
          <w:rFonts w:ascii="Times New Roman" w:hAnsi="Times New Roman"/>
        </w:rPr>
        <w:t>DISCUSSION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688D940" w14:textId="77777777" w:rsidR="00403C34" w:rsidRPr="00B7142D" w:rsidRDefault="00AB54CC" w:rsidP="00402640">
      <w:pPr>
        <w:pStyle w:val="ParaNum"/>
      </w:pPr>
      <w:bookmarkStart w:id="37" w:name="_Toc164830309"/>
      <w:bookmarkStart w:id="38" w:name="_Toc164837658"/>
      <w:bookmarkStart w:id="39" w:name="_Toc164837995"/>
      <w:bookmarkStart w:id="40" w:name="_Toc164842304"/>
      <w:bookmarkStart w:id="41" w:name="_Toc164846125"/>
      <w:bookmarkStart w:id="42" w:name="_Toc164846150"/>
      <w:r w:rsidRPr="00D02E15">
        <w:rPr>
          <w:highlight w:val="yellow"/>
        </w:rPr>
        <w:t>In this N</w:t>
      </w:r>
      <w:r w:rsidR="00C66776" w:rsidRPr="00D02E15">
        <w:rPr>
          <w:highlight w:val="yellow"/>
        </w:rPr>
        <w:t>otice</w:t>
      </w:r>
      <w:r w:rsidR="00D9131C" w:rsidRPr="00D02E15">
        <w:rPr>
          <w:highlight w:val="yellow"/>
        </w:rPr>
        <w:t>,</w:t>
      </w:r>
      <w:r w:rsidRPr="00D02E15">
        <w:rPr>
          <w:highlight w:val="yellow"/>
        </w:rPr>
        <w:t xml:space="preserve"> we </w:t>
      </w:r>
      <w:r w:rsidRPr="00D02E15">
        <w:rPr>
          <w:highlight w:val="green"/>
        </w:rPr>
        <w:t xml:space="preserve">seek comment </w:t>
      </w:r>
      <w:r w:rsidRPr="00D02E15">
        <w:rPr>
          <w:highlight w:val="yellow"/>
        </w:rPr>
        <w:t xml:space="preserve">on </w:t>
      </w:r>
      <w:r w:rsidR="0016364A" w:rsidRPr="00D02E15">
        <w:rPr>
          <w:highlight w:val="yellow"/>
        </w:rPr>
        <w:t xml:space="preserve">preserving in each area of the country </w:t>
      </w:r>
      <w:r w:rsidRPr="00D02E15">
        <w:rPr>
          <w:highlight w:val="yellow"/>
        </w:rPr>
        <w:t xml:space="preserve">at least one vacant television channel for use by </w:t>
      </w:r>
      <w:r w:rsidR="000B3C75" w:rsidRPr="00D02E15">
        <w:rPr>
          <w:highlight w:val="yellow"/>
        </w:rPr>
        <w:t xml:space="preserve">white space devices and </w:t>
      </w:r>
      <w:r w:rsidRPr="00D02E15">
        <w:rPr>
          <w:highlight w:val="yellow"/>
        </w:rPr>
        <w:t xml:space="preserve">wireless microphones </w:t>
      </w:r>
      <w:r w:rsidR="00EA5EBE" w:rsidRPr="00D02E15">
        <w:rPr>
          <w:highlight w:val="yellow"/>
        </w:rPr>
        <w:t>after r</w:t>
      </w:r>
      <w:r w:rsidRPr="00D02E15">
        <w:rPr>
          <w:highlight w:val="yellow"/>
        </w:rPr>
        <w:t>epacking.</w:t>
      </w:r>
      <w:r w:rsidR="009D2B85" w:rsidRPr="00D02E15">
        <w:rPr>
          <w:rStyle w:val="FootnoteReference"/>
          <w:sz w:val="22"/>
          <w:highlight w:val="yellow"/>
        </w:rPr>
        <w:footnoteReference w:id="26"/>
      </w:r>
      <w:r w:rsidRPr="00D02E15">
        <w:rPr>
          <w:highlight w:val="yellow"/>
        </w:rPr>
        <w:t xml:space="preserve">  </w:t>
      </w:r>
      <w:r w:rsidR="00ED35E1" w:rsidRPr="00D02E15">
        <w:rPr>
          <w:highlight w:val="yellow"/>
        </w:rPr>
        <w:t xml:space="preserve">Recognizing that implementing this objective will preclude other uses of the preserved channel, </w:t>
      </w:r>
      <w:r w:rsidR="00604F57" w:rsidRPr="00D02E15">
        <w:rPr>
          <w:highlight w:val="yellow"/>
        </w:rPr>
        <w:t>i</w:t>
      </w:r>
      <w:r w:rsidR="00724257" w:rsidRPr="00D02E15">
        <w:rPr>
          <w:highlight w:val="yellow"/>
        </w:rPr>
        <w:t>n the first section below</w:t>
      </w:r>
      <w:r w:rsidR="00402640" w:rsidRPr="00D02E15">
        <w:rPr>
          <w:highlight w:val="yellow"/>
        </w:rPr>
        <w:t>, we tentatively conclude that we will preserve one vacant television channel for use by white space devices and wireless microphones.</w:t>
      </w:r>
      <w:r w:rsidR="00402640" w:rsidRPr="00402640">
        <w:t xml:space="preserve">  </w:t>
      </w:r>
      <w:r w:rsidR="00402640" w:rsidRPr="00D02E15">
        <w:rPr>
          <w:highlight w:val="yellow"/>
        </w:rPr>
        <w:t xml:space="preserve">In the second section, we </w:t>
      </w:r>
      <w:r w:rsidR="00402640" w:rsidRPr="00D02E15">
        <w:rPr>
          <w:highlight w:val="green"/>
        </w:rPr>
        <w:t xml:space="preserve">seek comment </w:t>
      </w:r>
      <w:r w:rsidR="00402640" w:rsidRPr="00D02E15">
        <w:rPr>
          <w:highlight w:val="yellow"/>
        </w:rPr>
        <w:t>on which broadcast applicants proposing operations in the repacked UHF television band should be required to make a demonstration that their proposed new, displacement, or modified facility will not eliminate the last available vacant channel in an area.</w:t>
      </w:r>
      <w:r w:rsidR="00402640">
        <w:t xml:space="preserve">  </w:t>
      </w:r>
      <w:r w:rsidR="00A15E02" w:rsidRPr="00B7142D">
        <w:t xml:space="preserve">In the third section, </w:t>
      </w:r>
      <w:r w:rsidR="00AB450B" w:rsidRPr="00B7142D">
        <w:t>we</w:t>
      </w:r>
      <w:r w:rsidR="00083CA1" w:rsidRPr="00B7142D">
        <w:t xml:space="preserve"> </w:t>
      </w:r>
      <w:r w:rsidR="004B55C1" w:rsidRPr="00B7142D">
        <w:t xml:space="preserve">propose that the vacant channel preserved will be in the UHF band in the range of </w:t>
      </w:r>
      <w:r w:rsidR="00005E93">
        <w:t>c</w:t>
      </w:r>
      <w:r w:rsidR="00A15D5E">
        <w:t xml:space="preserve">hannel </w:t>
      </w:r>
      <w:r w:rsidR="004B55C1" w:rsidRPr="00B7142D">
        <w:t xml:space="preserve">21 and above, </w:t>
      </w:r>
      <w:r w:rsidR="002B37B6">
        <w:t>and</w:t>
      </w:r>
      <w:r w:rsidR="004B55C1" w:rsidRPr="00B7142D">
        <w:t xml:space="preserve"> that</w:t>
      </w:r>
      <w:r w:rsidR="005A756B" w:rsidRPr="00B7142D">
        <w:t xml:space="preserve"> the specific vacant channel preserved </w:t>
      </w:r>
      <w:r w:rsidR="002B37B6">
        <w:t>will vary depending on the</w:t>
      </w:r>
      <w:r w:rsidR="005A756B" w:rsidRPr="00B7142D">
        <w:t xml:space="preserve"> </w:t>
      </w:r>
      <w:r w:rsidR="002B37B6">
        <w:t xml:space="preserve">particular </w:t>
      </w:r>
      <w:r w:rsidR="005A756B" w:rsidRPr="00B7142D">
        <w:t>area</w:t>
      </w:r>
      <w:r w:rsidR="009F0845" w:rsidRPr="00B7142D">
        <w:t xml:space="preserve">. </w:t>
      </w:r>
      <w:r w:rsidR="00F829F2" w:rsidRPr="00B7142D">
        <w:t xml:space="preserve"> </w:t>
      </w:r>
      <w:r w:rsidR="005A756B" w:rsidRPr="00B7142D">
        <w:t xml:space="preserve">We also propose that vacant channel availability at a given location </w:t>
      </w:r>
      <w:r w:rsidR="008B64FB" w:rsidRPr="00B7142D">
        <w:t xml:space="preserve">will </w:t>
      </w:r>
      <w:r w:rsidR="005A756B" w:rsidRPr="00B7142D">
        <w:t xml:space="preserve">be determined using the same criteria currently specified in our rules for determining where </w:t>
      </w:r>
      <w:r w:rsidR="000B3C75">
        <w:t xml:space="preserve">white space devices and </w:t>
      </w:r>
      <w:r w:rsidR="005A756B" w:rsidRPr="00B7142D">
        <w:t xml:space="preserve">wireless microphones can operate.  </w:t>
      </w:r>
      <w:r w:rsidR="00C66776" w:rsidRPr="00B7142D">
        <w:t xml:space="preserve">In </w:t>
      </w:r>
      <w:r w:rsidR="001E76EF" w:rsidRPr="00B7142D">
        <w:t xml:space="preserve">addition, </w:t>
      </w:r>
      <w:r w:rsidR="00790679" w:rsidRPr="00B7142D">
        <w:t xml:space="preserve">we propose procedures and other details for the </w:t>
      </w:r>
      <w:r w:rsidR="00354DC6" w:rsidRPr="00B7142D">
        <w:t>vacant channel demonstration</w:t>
      </w:r>
      <w:r w:rsidR="00790679" w:rsidRPr="00B7142D">
        <w:t xml:space="preserve">. </w:t>
      </w:r>
    </w:p>
    <w:p w14:paraId="1B032174" w14:textId="77777777" w:rsidR="00403C34" w:rsidRPr="00B7142D" w:rsidRDefault="00403C34" w:rsidP="00C24DDE">
      <w:pPr>
        <w:pStyle w:val="Heading2"/>
      </w:pPr>
      <w:bookmarkStart w:id="43" w:name="_Toc409784114"/>
      <w:r w:rsidRPr="00B7142D">
        <w:t>Preserv</w:t>
      </w:r>
      <w:r w:rsidR="00237B1D" w:rsidRPr="00B7142D">
        <w:t xml:space="preserve">ing </w:t>
      </w:r>
      <w:r w:rsidR="000F39FB" w:rsidRPr="00B7142D">
        <w:t xml:space="preserve">One </w:t>
      </w:r>
      <w:r w:rsidRPr="00B7142D">
        <w:t xml:space="preserve">Vacant </w:t>
      </w:r>
      <w:r w:rsidR="00237B1D" w:rsidRPr="00B7142D">
        <w:t xml:space="preserve">Television </w:t>
      </w:r>
      <w:r w:rsidRPr="00B7142D">
        <w:t>Channel</w:t>
      </w:r>
      <w:r w:rsidR="00420561" w:rsidRPr="00B7142D">
        <w:t xml:space="preserve"> for Use by </w:t>
      </w:r>
      <w:r w:rsidR="000B3C75">
        <w:t xml:space="preserve">White Space Devices and </w:t>
      </w:r>
      <w:r w:rsidR="00420561" w:rsidRPr="00B7142D">
        <w:t>Wireless Microphones</w:t>
      </w:r>
      <w:bookmarkEnd w:id="43"/>
    </w:p>
    <w:p w14:paraId="62271144" w14:textId="77777777" w:rsidR="00782B2B" w:rsidRPr="00005E93" w:rsidRDefault="000B3C75" w:rsidP="00FE1A9C">
      <w:pPr>
        <w:pStyle w:val="ParaNum"/>
        <w:widowControl/>
      </w:pPr>
      <w:r>
        <w:t>White space devices and w</w:t>
      </w:r>
      <w:r w:rsidR="00B17F34" w:rsidRPr="00B7142D">
        <w:t>ireless microphones</w:t>
      </w:r>
      <w:r w:rsidR="005C66C7" w:rsidRPr="00B7142D">
        <w:t xml:space="preserve"> provide significant public benefits</w:t>
      </w:r>
      <w:r w:rsidR="00403C34" w:rsidRPr="00B7142D">
        <w:t>.</w:t>
      </w:r>
      <w:r w:rsidR="0026001B" w:rsidRPr="00B7142D">
        <w:t xml:space="preserve"> </w:t>
      </w:r>
      <w:r w:rsidR="00403C34" w:rsidRPr="00B7142D">
        <w:t xml:space="preserve"> </w:t>
      </w:r>
      <w:r w:rsidR="00066B6E" w:rsidRPr="00B7142D">
        <w:t xml:space="preserve">In the </w:t>
      </w:r>
      <w:r w:rsidR="00066B6E" w:rsidRPr="00B7142D">
        <w:rPr>
          <w:i/>
        </w:rPr>
        <w:t>Incentive Auction Report and Order</w:t>
      </w:r>
      <w:r w:rsidR="00066B6E" w:rsidRPr="00B7142D">
        <w:t xml:space="preserve">, the Commission once again recognized the value of these important services. </w:t>
      </w:r>
      <w:r w:rsidR="00D374B6">
        <w:t xml:space="preserve"> </w:t>
      </w:r>
      <w:r w:rsidR="001B645E" w:rsidRPr="00B7142D">
        <w:t xml:space="preserve">The Commission also found that </w:t>
      </w:r>
      <w:r w:rsidR="001B645E">
        <w:t xml:space="preserve">operations of unlicensed devices under Part 15 rules are an important part of our nation’s communications capabilities, and </w:t>
      </w:r>
      <w:r w:rsidR="001B645E" w:rsidRPr="00B7142D">
        <w:t>ha</w:t>
      </w:r>
      <w:r w:rsidR="001B645E">
        <w:t>ve</w:t>
      </w:r>
      <w:r w:rsidR="001B645E" w:rsidRPr="00B7142D">
        <w:t xml:space="preserve"> provided manufacturers and developers with the flexibility to devise a wide variety of innovative standards and devices, like </w:t>
      </w:r>
      <w:proofErr w:type="spellStart"/>
      <w:r w:rsidR="001B645E" w:rsidRPr="00B7142D">
        <w:t>WiFi</w:t>
      </w:r>
      <w:proofErr w:type="spellEnd"/>
      <w:r w:rsidR="001B645E" w:rsidRPr="00B7142D">
        <w:t xml:space="preserve"> and </w:t>
      </w:r>
      <w:r w:rsidR="001B645E" w:rsidRPr="00B7142D">
        <w:lastRenderedPageBreak/>
        <w:t>Bluetooth, which are thriving in bands that were formerly considered to be lacking significant commercial value.</w:t>
      </w:r>
      <w:r w:rsidR="001B645E" w:rsidRPr="001A3028">
        <w:rPr>
          <w:rStyle w:val="FootnoteReference"/>
          <w:sz w:val="22"/>
        </w:rPr>
        <w:footnoteReference w:id="27"/>
      </w:r>
      <w:r w:rsidR="001B645E">
        <w:t xml:space="preserve"> </w:t>
      </w:r>
      <w:r w:rsidR="001B645E" w:rsidRPr="00B7142D">
        <w:t xml:space="preserve"> </w:t>
      </w:r>
      <w:r w:rsidR="00066B6E" w:rsidRPr="00B7142D">
        <w:t xml:space="preserve">The Commission </w:t>
      </w:r>
      <w:r w:rsidR="001B645E">
        <w:t xml:space="preserve">also </w:t>
      </w:r>
      <w:r w:rsidR="00066B6E" w:rsidRPr="00B7142D">
        <w:t>found that “[</w:t>
      </w:r>
      <w:proofErr w:type="gramStart"/>
      <w:r w:rsidR="00066B6E" w:rsidRPr="00B7142D">
        <w:t>w]ireless</w:t>
      </w:r>
      <w:proofErr w:type="gramEnd"/>
      <w:r w:rsidR="00066B6E" w:rsidRPr="00B7142D">
        <w:t xml:space="preserve"> microphones provide many important functions that serve the public interest” by playing “an essential role in enabling broadcasters and other video programming networks to serve consumers,” by “significantly </w:t>
      </w:r>
      <w:proofErr w:type="spellStart"/>
      <w:r w:rsidR="00066B6E" w:rsidRPr="00B7142D">
        <w:t>enhanc</w:t>
      </w:r>
      <w:proofErr w:type="spellEnd"/>
      <w:r w:rsidR="00AC08BD">
        <w:t>[</w:t>
      </w:r>
      <w:proofErr w:type="spellStart"/>
      <w:r w:rsidR="00AC08BD">
        <w:t>ing</w:t>
      </w:r>
      <w:proofErr w:type="spellEnd"/>
      <w:r w:rsidR="00AC08BD">
        <w:t>]</w:t>
      </w:r>
      <w:r w:rsidR="00066B6E" w:rsidRPr="00B7142D">
        <w:t xml:space="preserve"> event productions in a variety of settings</w:t>
      </w:r>
      <w:r w:rsidR="00AC08BD">
        <w:t>,</w:t>
      </w:r>
      <w:r w:rsidR="00066B6E" w:rsidRPr="00B7142D">
        <w:t xml:space="preserve">” and by “creating high quality content that consumers demand and value, and </w:t>
      </w:r>
      <w:proofErr w:type="spellStart"/>
      <w:r w:rsidR="00066B6E" w:rsidRPr="00B7142D">
        <w:t>contribut</w:t>
      </w:r>
      <w:proofErr w:type="spellEnd"/>
      <w:r w:rsidR="00AC08BD">
        <w:t>[</w:t>
      </w:r>
      <w:proofErr w:type="spellStart"/>
      <w:r w:rsidR="00066B6E" w:rsidRPr="00B7142D">
        <w:t>ing</w:t>
      </w:r>
      <w:proofErr w:type="spellEnd"/>
      <w:r w:rsidR="00AC08BD">
        <w:t>]</w:t>
      </w:r>
      <w:r w:rsidR="00066B6E" w:rsidRPr="00B7142D">
        <w:t xml:space="preserve"> substantially to our economy.”</w:t>
      </w:r>
      <w:r w:rsidR="00066B6E" w:rsidRPr="001A3028">
        <w:rPr>
          <w:rStyle w:val="FootnoteReference"/>
          <w:sz w:val="22"/>
        </w:rPr>
        <w:footnoteReference w:id="28"/>
      </w:r>
      <w:r w:rsidR="00066B6E" w:rsidRPr="00B7142D">
        <w:t xml:space="preserve">  </w:t>
      </w:r>
      <w:r w:rsidR="0087593E" w:rsidRPr="00B7142D">
        <w:t xml:space="preserve">After </w:t>
      </w:r>
      <w:r w:rsidR="00496654" w:rsidRPr="00B7142D">
        <w:t xml:space="preserve">the </w:t>
      </w:r>
      <w:r w:rsidR="0087593E" w:rsidRPr="00B7142D">
        <w:t>incentive auction and repacking of the television band</w:t>
      </w:r>
      <w:r w:rsidR="00B43A31">
        <w:t>s</w:t>
      </w:r>
      <w:r w:rsidR="0087593E" w:rsidRPr="00B7142D">
        <w:t xml:space="preserve">, however, there will be fewer unused television channels available for use by </w:t>
      </w:r>
      <w:r>
        <w:t xml:space="preserve">white space devices and </w:t>
      </w:r>
      <w:r w:rsidR="0087593E" w:rsidRPr="00B7142D">
        <w:t>wireless microphones, although the Commission anticipated that there will be at least one channel in the UHF band in all areas that is not assigned to a television station</w:t>
      </w:r>
      <w:r w:rsidR="00B43A31">
        <w:t xml:space="preserve"> in the repacking process</w:t>
      </w:r>
      <w:r w:rsidR="0087593E" w:rsidRPr="00B7142D">
        <w:t>.</w:t>
      </w:r>
      <w:r w:rsidR="0087593E" w:rsidRPr="001A3028">
        <w:rPr>
          <w:rStyle w:val="FootnoteReference"/>
          <w:sz w:val="22"/>
        </w:rPr>
        <w:footnoteReference w:id="29"/>
      </w:r>
      <w:r w:rsidR="0087593E" w:rsidRPr="00B7142D">
        <w:t xml:space="preserve">  </w:t>
      </w:r>
      <w:r w:rsidR="008B5040" w:rsidRPr="00B7142D">
        <w:t xml:space="preserve">We </w:t>
      </w:r>
      <w:r w:rsidR="00782B2B" w:rsidRPr="00B7142D">
        <w:t>tentatively conclude</w:t>
      </w:r>
      <w:r w:rsidR="008B5040" w:rsidRPr="00B7142D">
        <w:t xml:space="preserve"> that p</w:t>
      </w:r>
      <w:r w:rsidR="00403C34" w:rsidRPr="00B7142D">
        <w:t>reserv</w:t>
      </w:r>
      <w:r w:rsidR="008B5040" w:rsidRPr="00B7142D">
        <w:t xml:space="preserve">ing a </w:t>
      </w:r>
      <w:r w:rsidR="00403C34" w:rsidRPr="00B7142D">
        <w:t xml:space="preserve">vacant channel </w:t>
      </w:r>
      <w:r w:rsidR="005C66C7" w:rsidRPr="00B7142D">
        <w:t xml:space="preserve">in every area </w:t>
      </w:r>
      <w:r w:rsidR="008B5040" w:rsidRPr="00B7142D">
        <w:t xml:space="preserve">for use by </w:t>
      </w:r>
      <w:r>
        <w:t xml:space="preserve">white space devices and </w:t>
      </w:r>
      <w:r w:rsidR="008B5040" w:rsidRPr="00B7142D">
        <w:t xml:space="preserve">wireless microphones </w:t>
      </w:r>
      <w:r w:rsidR="005C66C7" w:rsidRPr="00B7142D">
        <w:t xml:space="preserve">will ensure that the public </w:t>
      </w:r>
      <w:r w:rsidR="008B5040" w:rsidRPr="00B7142D">
        <w:t xml:space="preserve">continues to </w:t>
      </w:r>
      <w:r w:rsidR="005C66C7" w:rsidRPr="00B7142D">
        <w:t>ha</w:t>
      </w:r>
      <w:r w:rsidR="008B5040" w:rsidRPr="00B7142D">
        <w:t>ve</w:t>
      </w:r>
      <w:r w:rsidR="005C66C7" w:rsidRPr="00B7142D">
        <w:t xml:space="preserve"> access </w:t>
      </w:r>
      <w:r w:rsidR="00B5517C">
        <w:t xml:space="preserve">across the nation </w:t>
      </w:r>
      <w:r w:rsidR="005C66C7" w:rsidRPr="00B7142D">
        <w:t xml:space="preserve">to the </w:t>
      </w:r>
      <w:r w:rsidR="00782B2B" w:rsidRPr="00B7142D">
        <w:t xml:space="preserve">significant </w:t>
      </w:r>
      <w:r w:rsidR="005C66C7" w:rsidRPr="00B7142D">
        <w:t>benefits</w:t>
      </w:r>
      <w:r w:rsidR="005E543B">
        <w:t xml:space="preserve"> described above</w:t>
      </w:r>
      <w:r w:rsidR="00131146">
        <w:t xml:space="preserve">, consistent with </w:t>
      </w:r>
      <w:r w:rsidR="004F1338">
        <w:t>o</w:t>
      </w:r>
      <w:r w:rsidR="008F1866" w:rsidRPr="00B7142D">
        <w:t xml:space="preserve">ur </w:t>
      </w:r>
      <w:r w:rsidR="004F1338">
        <w:t xml:space="preserve">intent </w:t>
      </w:r>
      <w:r w:rsidR="008F1866" w:rsidRPr="00B7142D" w:rsidDel="000D47DD">
        <w:t>to strike “a balance between the interests of all users of the television bands, including secondary broadcast stations as well as [white space] devices and wireless microphones, for access to the UHF TV spectrum.”</w:t>
      </w:r>
      <w:r w:rsidR="00ED609B">
        <w:rPr>
          <w:rStyle w:val="FootnoteReference"/>
        </w:rPr>
        <w:footnoteReference w:id="30"/>
      </w:r>
      <w:r w:rsidR="00C41D2C">
        <w:t xml:space="preserve">  </w:t>
      </w:r>
      <w:r w:rsidR="00C41D2C" w:rsidRPr="00E37493">
        <w:rPr>
          <w:bCs/>
        </w:rPr>
        <w:t xml:space="preserve">In the </w:t>
      </w:r>
      <w:r w:rsidR="00C41D2C" w:rsidRPr="00E37493">
        <w:rPr>
          <w:bCs/>
          <w:i/>
        </w:rPr>
        <w:t>Part 15 NPRM</w:t>
      </w:r>
      <w:r w:rsidR="00C41D2C" w:rsidRPr="00E37493">
        <w:rPr>
          <w:bCs/>
        </w:rPr>
        <w:t>, we also stated that “[</w:t>
      </w:r>
      <w:proofErr w:type="gramStart"/>
      <w:r w:rsidR="00C41D2C" w:rsidRPr="00E37493">
        <w:rPr>
          <w:bCs/>
        </w:rPr>
        <w:t>s]</w:t>
      </w:r>
      <w:proofErr w:type="spellStart"/>
      <w:r w:rsidR="00C41D2C" w:rsidRPr="00E37493">
        <w:rPr>
          <w:bCs/>
        </w:rPr>
        <w:t>uch</w:t>
      </w:r>
      <w:proofErr w:type="spellEnd"/>
      <w:proofErr w:type="gramEnd"/>
      <w:r w:rsidR="00C41D2C" w:rsidRPr="00E37493">
        <w:rPr>
          <w:bCs/>
        </w:rPr>
        <w:t xml:space="preserve"> a channel would simply appear in the white spaces database as vacant and would therefore be available for white space devices under the existing rules as well as any new or modified rules we adopt in [the Part 15] proceeding.”</w:t>
      </w:r>
      <w:r w:rsidR="00C41D2C" w:rsidRPr="00005E93">
        <w:rPr>
          <w:rStyle w:val="FootnoteReference"/>
          <w:bCs/>
        </w:rPr>
        <w:footnoteReference w:id="31"/>
      </w:r>
    </w:p>
    <w:p w14:paraId="0FCE4B67" w14:textId="77777777" w:rsidR="006C66B0" w:rsidRPr="00154A67" w:rsidRDefault="006C66B0" w:rsidP="00A15456">
      <w:pPr>
        <w:pStyle w:val="ParaNum"/>
        <w:rPr>
          <w:highlight w:val="yellow"/>
        </w:rPr>
      </w:pPr>
      <w:r w:rsidRPr="00B7142D">
        <w:t xml:space="preserve">We </w:t>
      </w:r>
      <w:r>
        <w:t>believe</w:t>
      </w:r>
      <w:r w:rsidRPr="00B7142D">
        <w:t xml:space="preserve"> that our proposal</w:t>
      </w:r>
      <w:r>
        <w:t>, implemented as proposed below,</w:t>
      </w:r>
      <w:r w:rsidRPr="00B7142D">
        <w:t xml:space="preserve"> will not significantly burden broadcast </w:t>
      </w:r>
      <w:r>
        <w:t xml:space="preserve">applicants </w:t>
      </w:r>
      <w:r w:rsidRPr="00B7142D">
        <w:t xml:space="preserve">in terms of </w:t>
      </w:r>
      <w:r>
        <w:t xml:space="preserve">either </w:t>
      </w:r>
      <w:r w:rsidRPr="00B7142D">
        <w:t xml:space="preserve">the continued availability of channels in all </w:t>
      </w:r>
      <w:r w:rsidR="00643CD0">
        <w:t>areas</w:t>
      </w:r>
      <w:r>
        <w:t xml:space="preserve"> or the administrative burdens of compliance.  After the final channel assignments are made following the </w:t>
      </w:r>
      <w:r w:rsidR="00005E93">
        <w:t>i</w:t>
      </w:r>
      <w:r>
        <w:t xml:space="preserve">ncentive </w:t>
      </w:r>
      <w:r w:rsidR="00005E93">
        <w:t>a</w:t>
      </w:r>
      <w:r>
        <w:t xml:space="preserve">uction, multiple </w:t>
      </w:r>
      <w:r w:rsidRPr="00B7142D">
        <w:t xml:space="preserve">vacant channels will exist </w:t>
      </w:r>
      <w:r>
        <w:t xml:space="preserve">in most </w:t>
      </w:r>
      <w:r w:rsidR="000F56B3">
        <w:t xml:space="preserve">areas </w:t>
      </w:r>
      <w:r w:rsidR="009357C3">
        <w:t>as a result of the co- and adjacent-channel separation requirements necessary to protect primary broadcast stations from interference from each other</w:t>
      </w:r>
      <w:r>
        <w:t xml:space="preserve">. </w:t>
      </w:r>
      <w:r w:rsidRPr="00B7142D">
        <w:t xml:space="preserve"> </w:t>
      </w:r>
      <w:r>
        <w:t>The 100 repacking simulation results previously published by Commission staff</w:t>
      </w:r>
      <w:r>
        <w:rPr>
          <w:rStyle w:val="FootnoteReference"/>
        </w:rPr>
        <w:footnoteReference w:id="32"/>
      </w:r>
      <w:r>
        <w:t xml:space="preserve"> show that the areas encompassing the vast majority of population across the country would have at least two vacant channels available.</w:t>
      </w:r>
      <w:r>
        <w:rPr>
          <w:rStyle w:val="FootnoteReference"/>
        </w:rPr>
        <w:footnoteReference w:id="33"/>
      </w:r>
      <w:r>
        <w:t xml:space="preserve"> </w:t>
      </w:r>
      <w:r w:rsidR="00356C07">
        <w:t xml:space="preserve"> </w:t>
      </w:r>
      <w:r w:rsidR="00405724">
        <w:t>In any event,</w:t>
      </w:r>
      <w:r w:rsidR="00D56882">
        <w:t xml:space="preserve"> the effect of</w:t>
      </w:r>
      <w:r w:rsidR="00405724">
        <w:t xml:space="preserve"> </w:t>
      </w:r>
      <w:r w:rsidR="00D56882">
        <w:t>our proposal would</w:t>
      </w:r>
      <w:r w:rsidR="00A51768">
        <w:t xml:space="preserve"> b</w:t>
      </w:r>
      <w:r w:rsidR="00D56882">
        <w:t>e to r</w:t>
      </w:r>
      <w:r w:rsidR="00405724">
        <w:t>educe by</w:t>
      </w:r>
      <w:r w:rsidR="001B645E">
        <w:t xml:space="preserve"> only</w:t>
      </w:r>
      <w:r w:rsidR="00405724">
        <w:t xml:space="preserve"> one the</w:t>
      </w:r>
      <w:r w:rsidR="00211F78">
        <w:t xml:space="preserve"> total</w:t>
      </w:r>
      <w:r w:rsidR="00405724">
        <w:t xml:space="preserve"> number of vacant channels that would otherwise be available in an area.  </w:t>
      </w:r>
      <w:r w:rsidR="00787ACA">
        <w:t xml:space="preserve">Therefore, </w:t>
      </w:r>
      <w:r w:rsidR="00787ACA" w:rsidRPr="00787ACA">
        <w:t xml:space="preserve">the impact on broadcast applicants, </w:t>
      </w:r>
      <w:r w:rsidR="006C2461">
        <w:t xml:space="preserve">including LPTV and </w:t>
      </w:r>
      <w:r w:rsidR="00005E93">
        <w:t xml:space="preserve">TV </w:t>
      </w:r>
      <w:r w:rsidR="006C2461">
        <w:t xml:space="preserve">translator stations, </w:t>
      </w:r>
      <w:r w:rsidR="00787ACA" w:rsidRPr="00787ACA">
        <w:t xml:space="preserve">in terms of the availability of channels for future use, will be limited because multiple vacant channels will </w:t>
      </w:r>
      <w:r w:rsidR="00D56882">
        <w:t xml:space="preserve">still </w:t>
      </w:r>
      <w:r w:rsidR="00787ACA" w:rsidRPr="00787ACA">
        <w:t xml:space="preserve">exist in all or most markets as a consequence of the need to avoid interference between primary broadcast stations in the </w:t>
      </w:r>
      <w:r w:rsidR="00005E93">
        <w:t>i</w:t>
      </w:r>
      <w:r w:rsidR="00787ACA" w:rsidRPr="00787ACA">
        <w:t xml:space="preserve">ncentive </w:t>
      </w:r>
      <w:r w:rsidR="00005E93">
        <w:t>a</w:t>
      </w:r>
      <w:r w:rsidR="00787ACA" w:rsidRPr="00787ACA">
        <w:t>uction final channel assignment process.</w:t>
      </w:r>
      <w:r w:rsidR="00F55775">
        <w:rPr>
          <w:rStyle w:val="FootnoteReference"/>
        </w:rPr>
        <w:footnoteReference w:id="34"/>
      </w:r>
      <w:r w:rsidR="00787ACA">
        <w:t xml:space="preserve">  </w:t>
      </w:r>
      <w:r w:rsidR="002E1CC4">
        <w:t>In addition, o</w:t>
      </w:r>
      <w:r w:rsidRPr="00B7142D">
        <w:t>ur proposed plan involve</w:t>
      </w:r>
      <w:r>
        <w:t>s</w:t>
      </w:r>
      <w:r w:rsidRPr="00B7142D">
        <w:t xml:space="preserve"> a streamlined method for </w:t>
      </w:r>
      <w:r w:rsidRPr="00B7142D">
        <w:lastRenderedPageBreak/>
        <w:t>broadcast</w:t>
      </w:r>
      <w:r>
        <w:t xml:space="preserve"> applicants </w:t>
      </w:r>
      <w:r w:rsidRPr="00B7142D">
        <w:t xml:space="preserve">to determine quickly the impact that facilities they </w:t>
      </w:r>
      <w:r>
        <w:t>intend to propose</w:t>
      </w:r>
      <w:r w:rsidRPr="00B7142D">
        <w:t xml:space="preserve"> will have on the continued availability of vacant channels.  </w:t>
      </w:r>
      <w:r>
        <w:t>As discussed in more detail below in Section III. C. 2., b</w:t>
      </w:r>
      <w:r w:rsidRPr="00B7142D">
        <w:t>roadcast</w:t>
      </w:r>
      <w:r>
        <w:t xml:space="preserve"> applicants</w:t>
      </w:r>
      <w:r w:rsidRPr="00B7142D">
        <w:t xml:space="preserve"> </w:t>
      </w:r>
      <w:r w:rsidR="00122326">
        <w:t xml:space="preserve">may </w:t>
      </w:r>
      <w:r w:rsidRPr="00B7142D">
        <w:t xml:space="preserve">contact </w:t>
      </w:r>
      <w:r>
        <w:t>one of the existing databases used to identify available channels for Part 15 white space devices (“white spaces database”)</w:t>
      </w:r>
      <w:r w:rsidRPr="00B7142D">
        <w:t xml:space="preserve"> to determine compliance with our </w:t>
      </w:r>
      <w:r>
        <w:t xml:space="preserve">proposed </w:t>
      </w:r>
      <w:r w:rsidRPr="00B7142D">
        <w:t>rules</w:t>
      </w:r>
      <w:r>
        <w:t>, and thus</w:t>
      </w:r>
      <w:r w:rsidRPr="00B7142D">
        <w:t xml:space="preserve"> the vacant channel demonstration </w:t>
      </w:r>
      <w:r>
        <w:t xml:space="preserve">would not </w:t>
      </w:r>
      <w:r w:rsidRPr="00B7142D">
        <w:t xml:space="preserve">impose a significant burden.  </w:t>
      </w:r>
      <w:r w:rsidRPr="00154A67">
        <w:rPr>
          <w:highlight w:val="yellow"/>
        </w:rPr>
        <w:t xml:space="preserve">We </w:t>
      </w:r>
      <w:r w:rsidRPr="00154A67">
        <w:rPr>
          <w:highlight w:val="green"/>
        </w:rPr>
        <w:t xml:space="preserve">seek comment </w:t>
      </w:r>
      <w:r w:rsidRPr="00154A67">
        <w:rPr>
          <w:highlight w:val="yellow"/>
        </w:rPr>
        <w:t xml:space="preserve">on the cost of complying with the proposed requirement to make a vacant channel demonstration and how it may affect broadcast applicants’ future service or technical plans.  </w:t>
      </w:r>
    </w:p>
    <w:p w14:paraId="782F5EE5" w14:textId="77777777" w:rsidR="006D0FB0" w:rsidRPr="00B7142D" w:rsidRDefault="00354DC6" w:rsidP="00C24DDE">
      <w:pPr>
        <w:pStyle w:val="Heading2"/>
      </w:pPr>
      <w:bookmarkStart w:id="44" w:name="_Toc409784115"/>
      <w:r w:rsidRPr="00B7142D">
        <w:t>Applicants Required to Make a Vacant Channel Demonstration</w:t>
      </w:r>
      <w:bookmarkEnd w:id="44"/>
      <w:r w:rsidRPr="00B7142D">
        <w:t xml:space="preserve"> </w:t>
      </w:r>
      <w:r w:rsidR="006D0FB0" w:rsidRPr="00B7142D">
        <w:t xml:space="preserve">    </w:t>
      </w:r>
    </w:p>
    <w:p w14:paraId="4C586509" w14:textId="77777777" w:rsidR="006D30D9" w:rsidRPr="00B7142D" w:rsidRDefault="000D7D63" w:rsidP="00014C1C">
      <w:pPr>
        <w:pStyle w:val="ParaNum"/>
      </w:pPr>
      <w:r w:rsidRPr="00154A67">
        <w:rPr>
          <w:highlight w:val="yellow"/>
        </w:rPr>
        <w:t xml:space="preserve">In this section, </w:t>
      </w:r>
      <w:r w:rsidRPr="00154A67">
        <w:rPr>
          <w:highlight w:val="green"/>
        </w:rPr>
        <w:t xml:space="preserve">we seek comment </w:t>
      </w:r>
      <w:r w:rsidRPr="00154A67">
        <w:rPr>
          <w:highlight w:val="yellow"/>
        </w:rPr>
        <w:t xml:space="preserve">on which </w:t>
      </w:r>
      <w:r w:rsidR="00AD3E24" w:rsidRPr="00154A67">
        <w:rPr>
          <w:highlight w:val="yellow"/>
        </w:rPr>
        <w:t xml:space="preserve">broadcast </w:t>
      </w:r>
      <w:r w:rsidRPr="00154A67">
        <w:rPr>
          <w:highlight w:val="yellow"/>
        </w:rPr>
        <w:t xml:space="preserve">applicants proposing operations in the repacked UHF television band should be required to make a </w:t>
      </w:r>
      <w:r w:rsidR="00354DC6" w:rsidRPr="00154A67">
        <w:rPr>
          <w:highlight w:val="yellow"/>
        </w:rPr>
        <w:t xml:space="preserve">demonstration </w:t>
      </w:r>
      <w:r w:rsidRPr="00154A67">
        <w:rPr>
          <w:highlight w:val="yellow"/>
        </w:rPr>
        <w:t xml:space="preserve">that their proposed </w:t>
      </w:r>
      <w:r w:rsidR="00001020" w:rsidRPr="00154A67">
        <w:rPr>
          <w:highlight w:val="yellow"/>
        </w:rPr>
        <w:t>new</w:t>
      </w:r>
      <w:r w:rsidR="009D433E" w:rsidRPr="00154A67">
        <w:rPr>
          <w:highlight w:val="yellow"/>
        </w:rPr>
        <w:t>, displacement,</w:t>
      </w:r>
      <w:r w:rsidR="00001020" w:rsidRPr="00154A67">
        <w:rPr>
          <w:highlight w:val="yellow"/>
        </w:rPr>
        <w:t xml:space="preserve"> or modified facility </w:t>
      </w:r>
      <w:r w:rsidRPr="00154A67">
        <w:rPr>
          <w:highlight w:val="yellow"/>
        </w:rPr>
        <w:t>will not eliminate the last available vacant UHF channel in an area for use</w:t>
      </w:r>
      <w:r w:rsidR="0013398B" w:rsidRPr="00154A67">
        <w:rPr>
          <w:highlight w:val="yellow"/>
        </w:rPr>
        <w:t xml:space="preserve"> by </w:t>
      </w:r>
      <w:r w:rsidR="000B3C75" w:rsidRPr="00154A67">
        <w:rPr>
          <w:highlight w:val="yellow"/>
        </w:rPr>
        <w:t xml:space="preserve">white space devices and </w:t>
      </w:r>
      <w:r w:rsidR="0013398B" w:rsidRPr="00154A67">
        <w:rPr>
          <w:highlight w:val="yellow"/>
        </w:rPr>
        <w:t>wireless microphones</w:t>
      </w:r>
      <w:r w:rsidR="00237B1D" w:rsidRPr="00154A67">
        <w:rPr>
          <w:highlight w:val="yellow"/>
        </w:rPr>
        <w:t>.</w:t>
      </w:r>
      <w:r w:rsidR="00014C1C">
        <w:t xml:space="preserve">  Specifically we (1) tentatively conclude that </w:t>
      </w:r>
      <w:r w:rsidR="00014C1C" w:rsidRPr="00014C1C">
        <w:t>applicants for LPTV, TV translator, and BAS facilities should be required to</w:t>
      </w:r>
      <w:r w:rsidR="00014C1C">
        <w:t xml:space="preserve"> make the demonstration</w:t>
      </w:r>
      <w:r w:rsidR="005A2A0F">
        <w:t xml:space="preserve"> commencing with the post-auction displacement filing window for operating LPTV and TV translator stations</w:t>
      </w:r>
      <w:r w:rsidR="00014C1C">
        <w:t>; (</w:t>
      </w:r>
      <w:r w:rsidR="00520549">
        <w:t>2</w:t>
      </w:r>
      <w:r w:rsidR="00014C1C">
        <w:t xml:space="preserve">) </w:t>
      </w:r>
      <w:r w:rsidR="00014C1C" w:rsidRPr="00154A67">
        <w:rPr>
          <w:highlight w:val="yellow"/>
        </w:rPr>
        <w:t>tentatively conclude that the vacant channel demonstration requirement should not apply to applications for modification of Class A television stations filed during the 39-month Post-Auction Transition Period, but that it should apply to such applications filed after the end of this period;</w:t>
      </w:r>
      <w:r w:rsidR="00520549" w:rsidRPr="00154A67">
        <w:rPr>
          <w:highlight w:val="yellow"/>
        </w:rPr>
        <w:t xml:space="preserve"> and</w:t>
      </w:r>
      <w:r w:rsidR="00014C1C" w:rsidRPr="00154A67">
        <w:rPr>
          <w:highlight w:val="yellow"/>
        </w:rPr>
        <w:t xml:space="preserve"> (</w:t>
      </w:r>
      <w:r w:rsidR="00520549" w:rsidRPr="00154A67">
        <w:rPr>
          <w:highlight w:val="yellow"/>
        </w:rPr>
        <w:t>3</w:t>
      </w:r>
      <w:r w:rsidR="00014C1C" w:rsidRPr="00154A67">
        <w:rPr>
          <w:highlight w:val="yellow"/>
        </w:rPr>
        <w:t>) tentatively conclude that the vacant channel demonstration should not apply to applications for modified full power television station licenses filed during the 39-month Post-Auction Transition Period</w:t>
      </w:r>
      <w:r w:rsidR="000E2373" w:rsidRPr="00154A67">
        <w:rPr>
          <w:highlight w:val="yellow"/>
        </w:rPr>
        <w:t xml:space="preserve"> and</w:t>
      </w:r>
      <w:r w:rsidR="00014C1C" w:rsidRPr="00154A67">
        <w:rPr>
          <w:highlight w:val="yellow"/>
        </w:rPr>
        <w:t xml:space="preserve"> </w:t>
      </w:r>
      <w:r w:rsidR="00014C1C" w:rsidRPr="00154A67">
        <w:rPr>
          <w:highlight w:val="green"/>
        </w:rPr>
        <w:t>seek comment</w:t>
      </w:r>
      <w:r w:rsidR="00014C1C" w:rsidRPr="00154A67">
        <w:rPr>
          <w:highlight w:val="yellow"/>
        </w:rPr>
        <w:t xml:space="preserve"> on whether it should apply to full power modification applications filed after the end of this period and </w:t>
      </w:r>
      <w:r w:rsidR="004341DE" w:rsidRPr="00154A67">
        <w:rPr>
          <w:highlight w:val="yellow"/>
        </w:rPr>
        <w:t>in</w:t>
      </w:r>
      <w:r w:rsidR="00014C1C" w:rsidRPr="00154A67">
        <w:rPr>
          <w:highlight w:val="yellow"/>
        </w:rPr>
        <w:t xml:space="preserve"> full power allotment proceedings.</w:t>
      </w:r>
      <w:r w:rsidR="00014C1C" w:rsidRPr="00014C1C">
        <w:t xml:space="preserve">  </w:t>
      </w:r>
    </w:p>
    <w:p w14:paraId="7628EF32" w14:textId="77777777" w:rsidR="006D30D9" w:rsidRPr="00B7142D" w:rsidRDefault="00237B1D" w:rsidP="006C5F06">
      <w:pPr>
        <w:pStyle w:val="Heading3"/>
      </w:pPr>
      <w:r w:rsidRPr="00B7142D">
        <w:t xml:space="preserve">  </w:t>
      </w:r>
      <w:bookmarkStart w:id="45" w:name="_Toc409784116"/>
      <w:r w:rsidR="006D30D9" w:rsidRPr="00B7142D">
        <w:t>LPTV, TV Translators, and BAS</w:t>
      </w:r>
      <w:bookmarkEnd w:id="45"/>
      <w:r w:rsidR="006D30D9" w:rsidRPr="00B7142D">
        <w:t xml:space="preserve">  </w:t>
      </w:r>
    </w:p>
    <w:p w14:paraId="1B6D44B5" w14:textId="77777777" w:rsidR="00D46DE6" w:rsidRDefault="006D30D9" w:rsidP="006C5F06">
      <w:pPr>
        <w:pStyle w:val="ParaNum"/>
      </w:pPr>
      <w:r w:rsidRPr="00B7142D">
        <w:t xml:space="preserve">We tentatively conclude that </w:t>
      </w:r>
      <w:r w:rsidR="00132391">
        <w:t xml:space="preserve">applicants </w:t>
      </w:r>
      <w:r w:rsidR="009D433E">
        <w:t xml:space="preserve">for </w:t>
      </w:r>
      <w:r w:rsidRPr="00B7142D">
        <w:t xml:space="preserve">LPTV, TV translator, and BAS </w:t>
      </w:r>
      <w:r w:rsidR="00132391">
        <w:t xml:space="preserve">facilities </w:t>
      </w:r>
      <w:r w:rsidRPr="00B7142D">
        <w:t xml:space="preserve">should be required to demonstrate that </w:t>
      </w:r>
      <w:r w:rsidR="009D433E">
        <w:t>the</w:t>
      </w:r>
      <w:r w:rsidR="00A929AA">
        <w:t>ir</w:t>
      </w:r>
      <w:r w:rsidR="009D433E">
        <w:t xml:space="preserve"> </w:t>
      </w:r>
      <w:r w:rsidR="00BD3E0E">
        <w:t xml:space="preserve">proposed </w:t>
      </w:r>
      <w:r w:rsidRPr="00B7142D">
        <w:t>new, displacement, or modified facilit</w:t>
      </w:r>
      <w:r w:rsidR="00B34F69">
        <w:t>ies</w:t>
      </w:r>
      <w:r w:rsidRPr="00B7142D">
        <w:t xml:space="preserve"> would not eliminate the last available vacant television channel in an area for use</w:t>
      </w:r>
      <w:r w:rsidR="00A929AA" w:rsidRPr="00A929AA">
        <w:t xml:space="preserve"> </w:t>
      </w:r>
      <w:r w:rsidR="00A929AA" w:rsidRPr="00B7142D">
        <w:t xml:space="preserve">by </w:t>
      </w:r>
      <w:r w:rsidR="000B3C75">
        <w:t xml:space="preserve">white space devices and </w:t>
      </w:r>
      <w:r w:rsidR="00A929AA" w:rsidRPr="00B7142D">
        <w:t>wireless microphones</w:t>
      </w:r>
      <w:r w:rsidRPr="00B7142D">
        <w:t xml:space="preserve">.  </w:t>
      </w:r>
      <w:r w:rsidR="00E90146" w:rsidRPr="00B7142D">
        <w:t xml:space="preserve">In the </w:t>
      </w:r>
      <w:r w:rsidR="00E90146" w:rsidRPr="00B7142D">
        <w:rPr>
          <w:i/>
        </w:rPr>
        <w:t>Incentive Auction Report and Order</w:t>
      </w:r>
      <w:r w:rsidR="00E90146" w:rsidRPr="00B7142D">
        <w:t xml:space="preserve">, the Commission declined to extend repacking protection to the </w:t>
      </w:r>
      <w:r w:rsidRPr="00B7142D">
        <w:t>more than 5,500 licensed secondary LPTV and TV translator stations.</w:t>
      </w:r>
      <w:r w:rsidRPr="001A3028">
        <w:rPr>
          <w:rStyle w:val="FootnoteReference"/>
          <w:sz w:val="22"/>
        </w:rPr>
        <w:footnoteReference w:id="35"/>
      </w:r>
      <w:r w:rsidRPr="00B7142D">
        <w:t xml:space="preserve">  After the auction, the Media Bureau will announce a limited </w:t>
      </w:r>
      <w:proofErr w:type="gramStart"/>
      <w:r w:rsidRPr="00B7142D">
        <w:t>application filing</w:t>
      </w:r>
      <w:proofErr w:type="gramEnd"/>
      <w:r w:rsidRPr="00B7142D">
        <w:t xml:space="preserve"> window for operating LPTV and TV translator stations displaced by the repacking and reallocation of the television bands.</w:t>
      </w:r>
      <w:r w:rsidRPr="001A3028">
        <w:rPr>
          <w:rStyle w:val="FootnoteReference"/>
          <w:sz w:val="22"/>
        </w:rPr>
        <w:footnoteReference w:id="36"/>
      </w:r>
      <w:r w:rsidRPr="00B7142D">
        <w:t xml:space="preserve">  We propose that these stations will be required to demonstrate that the proposed displacement facilit</w:t>
      </w:r>
      <w:r w:rsidR="00B34F69">
        <w:t>ies</w:t>
      </w:r>
      <w:r w:rsidRPr="00B7142D">
        <w:t xml:space="preserve"> would not eliminate the last remaining vacant channel </w:t>
      </w:r>
      <w:r w:rsidR="00086122">
        <w:t>in</w:t>
      </w:r>
      <w:r w:rsidRPr="00B7142D">
        <w:t xml:space="preserve"> the repacked television band</w:t>
      </w:r>
      <w:r w:rsidR="00086122">
        <w:t xml:space="preserve"> in an area</w:t>
      </w:r>
      <w:r w:rsidRPr="00B7142D">
        <w:t xml:space="preserve">; applications that do not comply with this requirement will be dismissed.  </w:t>
      </w:r>
    </w:p>
    <w:p w14:paraId="49F18AD3" w14:textId="77777777" w:rsidR="006D30D9" w:rsidRPr="00B7142D" w:rsidRDefault="006D30D9" w:rsidP="002D2631">
      <w:pPr>
        <w:pStyle w:val="ParaNum"/>
        <w:widowControl/>
      </w:pPr>
      <w:r w:rsidRPr="00B7142D">
        <w:t>We believe it appropriate to require LPTV and TV translator stations displaced by the incentive auction and repacking to engineer their proposed replacement facilities so as not to eliminate a sole remaining vacant channel in an area for shared use</w:t>
      </w:r>
      <w:r w:rsidR="00B34F69">
        <w:t xml:space="preserve"> by </w:t>
      </w:r>
      <w:r w:rsidR="000B3C75">
        <w:t xml:space="preserve">white space devices and </w:t>
      </w:r>
      <w:r w:rsidR="00B34F69">
        <w:t>wireless microphones</w:t>
      </w:r>
      <w:r w:rsidRPr="00B7142D">
        <w:t>.</w:t>
      </w:r>
      <w:r w:rsidR="00BE70CD">
        <w:rPr>
          <w:rStyle w:val="FootnoteReference"/>
        </w:rPr>
        <w:footnoteReference w:id="37"/>
      </w:r>
      <w:r w:rsidRPr="00B7142D">
        <w:t xml:space="preserve">  Because their coverage areas are significantly smaller than a full power television station, </w:t>
      </w:r>
      <w:r w:rsidRPr="00B7142D">
        <w:lastRenderedPageBreak/>
        <w:t xml:space="preserve">these stations can engineer facilities in the unused spectrum between full power stations, and their proposals thus </w:t>
      </w:r>
      <w:r w:rsidR="003B521D" w:rsidRPr="00B7142D">
        <w:t>are more likely</w:t>
      </w:r>
      <w:r w:rsidR="00B34F69">
        <w:t xml:space="preserve"> than those of full power stations</w:t>
      </w:r>
      <w:r w:rsidR="003B521D" w:rsidRPr="00B7142D">
        <w:t xml:space="preserve"> to </w:t>
      </w:r>
      <w:r w:rsidRPr="00B7142D">
        <w:t xml:space="preserve">eliminate vacant channels.  Moreover, we anticipate that most displaced LPTV and TV translator stations will file applications in this post-auction displacement window.  Thus, were we not to require these stations to consider vacant channel availability in engineering their displacement facilities, our goal of preserving one vacant channel in all areas for shared use by </w:t>
      </w:r>
      <w:r w:rsidR="000B3C75">
        <w:t xml:space="preserve">white space devices and </w:t>
      </w:r>
      <w:r w:rsidRPr="00B7142D">
        <w:t xml:space="preserve">wireless microphones would be undermined.  For the same reason, </w:t>
      </w:r>
      <w:r w:rsidRPr="00B7142D">
        <w:rPr>
          <w:color w:val="000000" w:themeColor="text1"/>
        </w:rPr>
        <w:t>w</w:t>
      </w:r>
      <w:r w:rsidRPr="00B7142D">
        <w:t xml:space="preserve">e also propose to apply the vacant channel demonstration to all non-displacement LPTV and TV translator applications, </w:t>
      </w:r>
      <w:r w:rsidR="00014C1C">
        <w:t>i.e.</w:t>
      </w:r>
      <w:proofErr w:type="gramStart"/>
      <w:r w:rsidR="00014C1C">
        <w:t xml:space="preserve">, </w:t>
      </w:r>
      <w:r w:rsidRPr="00B7142D">
        <w:t xml:space="preserve"> applications</w:t>
      </w:r>
      <w:proofErr w:type="gramEnd"/>
      <w:r w:rsidRPr="00B7142D">
        <w:t xml:space="preserve"> for modified facilities or new channels, and any BAS applications, filed on or after the Media Bureau’s announcement of the limited application filing window for LPTV and TV translator displacement applications.</w:t>
      </w:r>
    </w:p>
    <w:p w14:paraId="5267ADE6" w14:textId="77777777" w:rsidR="006D30D9" w:rsidRPr="00B7142D" w:rsidRDefault="006D30D9" w:rsidP="002D2631">
      <w:pPr>
        <w:pStyle w:val="ParaNum"/>
        <w:widowControl/>
      </w:pPr>
      <w:r w:rsidRPr="00154A67">
        <w:rPr>
          <w:highlight w:val="yellow"/>
        </w:rPr>
        <w:t xml:space="preserve">We </w:t>
      </w:r>
      <w:r w:rsidRPr="00154A67">
        <w:rPr>
          <w:highlight w:val="green"/>
        </w:rPr>
        <w:t xml:space="preserve">seek comment </w:t>
      </w:r>
      <w:r w:rsidRPr="00154A67">
        <w:rPr>
          <w:highlight w:val="yellow"/>
        </w:rPr>
        <w:t xml:space="preserve">on whether the </w:t>
      </w:r>
      <w:r w:rsidR="004703EA" w:rsidRPr="00154A67">
        <w:rPr>
          <w:highlight w:val="yellow"/>
        </w:rPr>
        <w:t xml:space="preserve">proposed </w:t>
      </w:r>
      <w:r w:rsidRPr="00154A67">
        <w:rPr>
          <w:highlight w:val="yellow"/>
        </w:rPr>
        <w:t>vacant channel demonstration should apply to displaced digital replacement translator (</w:t>
      </w:r>
      <w:r w:rsidR="00211F78" w:rsidRPr="00154A67">
        <w:rPr>
          <w:highlight w:val="yellow"/>
        </w:rPr>
        <w:t>“</w:t>
      </w:r>
      <w:r w:rsidRPr="00154A67">
        <w:rPr>
          <w:highlight w:val="yellow"/>
        </w:rPr>
        <w:t>DRT</w:t>
      </w:r>
      <w:r w:rsidR="00211F78" w:rsidRPr="00154A67">
        <w:rPr>
          <w:highlight w:val="yellow"/>
        </w:rPr>
        <w:t>”</w:t>
      </w:r>
      <w:r w:rsidRPr="00154A67">
        <w:rPr>
          <w:highlight w:val="yellow"/>
        </w:rPr>
        <w:t>) stations.  This service was established to assist full power stations transitioning from analog to digital to restore service to portions of a station’s existing analog service area that would no longer be able to receive service after the transition.</w:t>
      </w:r>
      <w:r w:rsidRPr="00154A67">
        <w:rPr>
          <w:rStyle w:val="FootnoteReference"/>
          <w:sz w:val="22"/>
          <w:highlight w:val="yellow"/>
        </w:rPr>
        <w:footnoteReference w:id="38"/>
      </w:r>
      <w:r w:rsidRPr="00B7142D">
        <w:t xml:space="preserve">  While the Commission declined to protect DRTs in repacking, it afforded DRT displacement applications priority over other LPTV and TV translator displacement applications in cases of mutual exclusivity</w:t>
      </w:r>
      <w:r w:rsidR="000E3572" w:rsidRPr="00B7142D">
        <w:t xml:space="preserve"> in order to mitigate the potential impact of the repacking process on DRTs</w:t>
      </w:r>
      <w:r w:rsidRPr="00B7142D">
        <w:t>.</w:t>
      </w:r>
      <w:r w:rsidRPr="001A3028">
        <w:rPr>
          <w:rStyle w:val="FootnoteReference"/>
          <w:sz w:val="22"/>
        </w:rPr>
        <w:footnoteReference w:id="39"/>
      </w:r>
      <w:proofErr w:type="gramStart"/>
      <w:r w:rsidRPr="00B7142D">
        <w:t xml:space="preserve">  Should</w:t>
      </w:r>
      <w:proofErr w:type="gramEnd"/>
      <w:r w:rsidRPr="00B7142D">
        <w:t xml:space="preserve"> we similarly seek to mitigate the impact of our proposed vacant channel demonstration requirement on displaced DRTs </w:t>
      </w:r>
      <w:r w:rsidR="006A5EF2">
        <w:t xml:space="preserve">beyond the potential for a waiver </w:t>
      </w:r>
      <w:r w:rsidRPr="00B7142D">
        <w:t>and</w:t>
      </w:r>
      <w:r w:rsidR="00665A7A">
        <w:t>,</w:t>
      </w:r>
      <w:r w:rsidRPr="00B7142D">
        <w:t xml:space="preserve"> if so, how?</w:t>
      </w:r>
      <w:r w:rsidRPr="001A3028">
        <w:rPr>
          <w:rStyle w:val="FootnoteReference"/>
          <w:sz w:val="22"/>
        </w:rPr>
        <w:footnoteReference w:id="40"/>
      </w:r>
      <w:r w:rsidRPr="00B7142D">
        <w:t xml:space="preserve">  </w:t>
      </w:r>
      <w:r w:rsidR="00D46DE6">
        <w:t>What would be the effect of such an exemption on the nationwide availability of a vacant channel for wireless microphones</w:t>
      </w:r>
      <w:r w:rsidR="00122326">
        <w:t xml:space="preserve"> and unlicensed white space devices</w:t>
      </w:r>
      <w:r w:rsidR="00D46DE6">
        <w:t xml:space="preserve">?  </w:t>
      </w:r>
      <w:r w:rsidR="004703EA">
        <w:t>W</w:t>
      </w:r>
      <w:r w:rsidRPr="00B7142D">
        <w:t xml:space="preserve">e note that we have also proposed to establish a new “digital-to-digital” replacement translator service, similar to the DRT service, </w:t>
      </w:r>
      <w:r w:rsidR="00385058">
        <w:t>which</w:t>
      </w:r>
      <w:r w:rsidR="00385058" w:rsidRPr="00B7142D">
        <w:t xml:space="preserve"> </w:t>
      </w:r>
      <w:r w:rsidRPr="00B7142D">
        <w:t>will allow eligible full power stations to recover lost digital service area that may result from the reverse auction and repacking process.</w:t>
      </w:r>
      <w:r w:rsidRPr="001A3028">
        <w:rPr>
          <w:rStyle w:val="FootnoteReference"/>
          <w:sz w:val="22"/>
        </w:rPr>
        <w:footnoteReference w:id="41"/>
      </w:r>
      <w:r w:rsidRPr="00B7142D">
        <w:t xml:space="preserve">  If we establish this new translator service, we tentatively conclude to treat this service the same as DRTs for purposes of application of the vacant channel demonstration.</w:t>
      </w:r>
    </w:p>
    <w:p w14:paraId="6E8723F3" w14:textId="77777777" w:rsidR="00350547" w:rsidRPr="00B7142D" w:rsidRDefault="006D30D9" w:rsidP="006C5F06">
      <w:pPr>
        <w:pStyle w:val="ParaNum"/>
      </w:pPr>
      <w:r w:rsidRPr="00B7142D">
        <w:t xml:space="preserve">Our proposal that LPTV and TV translator stations demonstrate in their displacement applications that the proposed facility will not eliminate the last available vacant channel in any area may result in a new type of conflict that would prevent us from granting certain applications.  Under our existing rules, applications are considered mutually exclusive if they cannot be granted without causing </w:t>
      </w:r>
      <w:r w:rsidRPr="00B7142D">
        <w:lastRenderedPageBreak/>
        <w:t>interference to each other, and mutually exclusive applications generally are resolved through an auction.</w:t>
      </w:r>
      <w:r w:rsidRPr="001A3028">
        <w:rPr>
          <w:rStyle w:val="FootnoteReference"/>
          <w:sz w:val="22"/>
        </w:rPr>
        <w:footnoteReference w:id="42"/>
      </w:r>
      <w:r w:rsidRPr="00B7142D">
        <w:t xml:space="preserve">  During the displacement window,</w:t>
      </w:r>
      <w:r w:rsidRPr="001A3028">
        <w:rPr>
          <w:rStyle w:val="FootnoteReference"/>
          <w:sz w:val="22"/>
        </w:rPr>
        <w:footnoteReference w:id="43"/>
      </w:r>
      <w:r w:rsidRPr="00B7142D">
        <w:t xml:space="preserve"> it is possible that two (or more) stations operating in the same vicinity could file applications for facilities that would not cause such interference but </w:t>
      </w:r>
      <w:proofErr w:type="gramStart"/>
      <w:r w:rsidRPr="00B7142D">
        <w:t>that  nonetheless</w:t>
      </w:r>
      <w:proofErr w:type="gramEnd"/>
      <w:r w:rsidRPr="00B7142D">
        <w:t xml:space="preserve"> </w:t>
      </w:r>
      <w:r w:rsidR="00514D47">
        <w:t xml:space="preserve">cannot be granted </w:t>
      </w:r>
      <w:r w:rsidRPr="00B7142D">
        <w:t xml:space="preserve">because together they would eliminate the last available vacant channel in an area for use by </w:t>
      </w:r>
      <w:r w:rsidR="000B3C75">
        <w:t xml:space="preserve">white space devices and </w:t>
      </w:r>
      <w:r w:rsidRPr="00B7142D">
        <w:t>wireless microphones.  Under these circumstances, we tentatively conclude that these applications would be mutually exclusive under section 73.5000(a) of the rules</w:t>
      </w:r>
      <w:r w:rsidRPr="001A3028">
        <w:rPr>
          <w:rStyle w:val="FootnoteReference"/>
          <w:sz w:val="22"/>
        </w:rPr>
        <w:footnoteReference w:id="44"/>
      </w:r>
      <w:r w:rsidRPr="00B7142D">
        <w:t xml:space="preserve"> and subject to competitive bidding if the </w:t>
      </w:r>
      <w:proofErr w:type="gramStart"/>
      <w:r w:rsidRPr="00B7142D">
        <w:t>mutual exclusivity is not resolved by the applicants</w:t>
      </w:r>
      <w:proofErr w:type="gramEnd"/>
      <w:r w:rsidRPr="00B7142D">
        <w:t>.</w:t>
      </w:r>
    </w:p>
    <w:p w14:paraId="517B017C" w14:textId="77777777" w:rsidR="00350547" w:rsidRPr="00B7142D" w:rsidRDefault="00350547" w:rsidP="00231E8B">
      <w:pPr>
        <w:pStyle w:val="ParaNum"/>
      </w:pPr>
      <w:r w:rsidRPr="00154A67">
        <w:rPr>
          <w:highlight w:val="yellow"/>
        </w:rPr>
        <w:t xml:space="preserve">In addition, we </w:t>
      </w:r>
      <w:r w:rsidRPr="00154A67">
        <w:rPr>
          <w:highlight w:val="green"/>
        </w:rPr>
        <w:t xml:space="preserve">seek comment </w:t>
      </w:r>
      <w:r w:rsidRPr="00154A67">
        <w:rPr>
          <w:highlight w:val="yellow"/>
        </w:rPr>
        <w:t xml:space="preserve">on whether </w:t>
      </w:r>
      <w:r w:rsidR="00CE51BE" w:rsidRPr="00154A67">
        <w:rPr>
          <w:highlight w:val="yellow"/>
        </w:rPr>
        <w:t xml:space="preserve">LPTV and TV translator </w:t>
      </w:r>
      <w:r w:rsidRPr="00154A67">
        <w:rPr>
          <w:highlight w:val="yellow"/>
        </w:rPr>
        <w:t xml:space="preserve">displacement applications </w:t>
      </w:r>
      <w:r w:rsidR="00CE51BE" w:rsidRPr="00154A67">
        <w:rPr>
          <w:highlight w:val="yellow"/>
        </w:rPr>
        <w:t>(including those file</w:t>
      </w:r>
      <w:r w:rsidRPr="00154A67">
        <w:rPr>
          <w:highlight w:val="yellow"/>
        </w:rPr>
        <w:t xml:space="preserve">d in </w:t>
      </w:r>
      <w:r w:rsidR="00574615" w:rsidRPr="00154A67">
        <w:rPr>
          <w:highlight w:val="yellow"/>
        </w:rPr>
        <w:t xml:space="preserve">the </w:t>
      </w:r>
      <w:r w:rsidRPr="00154A67">
        <w:rPr>
          <w:highlight w:val="yellow"/>
        </w:rPr>
        <w:t>post-incentive auction displacement window</w:t>
      </w:r>
      <w:r w:rsidR="00CE51BE" w:rsidRPr="00154A67">
        <w:rPr>
          <w:highlight w:val="yellow"/>
        </w:rPr>
        <w:t>)</w:t>
      </w:r>
      <w:r w:rsidRPr="00154A67">
        <w:rPr>
          <w:highlight w:val="yellow"/>
        </w:rPr>
        <w:t xml:space="preserve"> should be allowed to </w:t>
      </w:r>
      <w:r w:rsidR="00CE51BE" w:rsidRPr="00154A67">
        <w:rPr>
          <w:highlight w:val="yellow"/>
        </w:rPr>
        <w:t xml:space="preserve">“displace” </w:t>
      </w:r>
      <w:r w:rsidRPr="00154A67">
        <w:rPr>
          <w:highlight w:val="yellow"/>
        </w:rPr>
        <w:t>pending applications for new</w:t>
      </w:r>
      <w:r w:rsidR="00574615" w:rsidRPr="00154A67">
        <w:rPr>
          <w:highlight w:val="yellow"/>
        </w:rPr>
        <w:t>,</w:t>
      </w:r>
      <w:r w:rsidRPr="00154A67">
        <w:rPr>
          <w:highlight w:val="yellow"/>
        </w:rPr>
        <w:t xml:space="preserve"> or minor change</w:t>
      </w:r>
      <w:r w:rsidR="00574615" w:rsidRPr="00154A67">
        <w:rPr>
          <w:highlight w:val="yellow"/>
        </w:rPr>
        <w:t>s</w:t>
      </w:r>
      <w:r w:rsidRPr="00154A67">
        <w:rPr>
          <w:highlight w:val="yellow"/>
        </w:rPr>
        <w:t xml:space="preserve"> to</w:t>
      </w:r>
      <w:r w:rsidR="00B3202B" w:rsidRPr="00154A67">
        <w:rPr>
          <w:highlight w:val="yellow"/>
        </w:rPr>
        <w:t>,</w:t>
      </w:r>
      <w:r w:rsidRPr="00154A67">
        <w:rPr>
          <w:highlight w:val="yellow"/>
        </w:rPr>
        <w:t xml:space="preserve"> LPTV and TV translator station</w:t>
      </w:r>
      <w:r w:rsidR="00574615" w:rsidRPr="00154A67">
        <w:rPr>
          <w:highlight w:val="yellow"/>
        </w:rPr>
        <w:t>s</w:t>
      </w:r>
      <w:r w:rsidRPr="00154A67">
        <w:rPr>
          <w:highlight w:val="yellow"/>
        </w:rPr>
        <w:t xml:space="preserve"> </w:t>
      </w:r>
      <w:r w:rsidR="00CE51BE" w:rsidRPr="00154A67">
        <w:rPr>
          <w:highlight w:val="yellow"/>
        </w:rPr>
        <w:t xml:space="preserve">for purposes of </w:t>
      </w:r>
      <w:r w:rsidR="00574615" w:rsidRPr="00154A67">
        <w:rPr>
          <w:highlight w:val="yellow"/>
        </w:rPr>
        <w:t>satisfying</w:t>
      </w:r>
      <w:r w:rsidR="00CE51BE" w:rsidRPr="00154A67">
        <w:rPr>
          <w:highlight w:val="yellow"/>
        </w:rPr>
        <w:t xml:space="preserve"> the vacant channel </w:t>
      </w:r>
      <w:r w:rsidR="00574615" w:rsidRPr="00154A67">
        <w:rPr>
          <w:highlight w:val="yellow"/>
        </w:rPr>
        <w:t>demonstration</w:t>
      </w:r>
      <w:r w:rsidR="00CE51BE" w:rsidRPr="00154A67">
        <w:rPr>
          <w:highlight w:val="yellow"/>
        </w:rPr>
        <w:t>.</w:t>
      </w:r>
      <w:r w:rsidR="00CE51BE" w:rsidRPr="00B7142D">
        <w:t xml:space="preserve">  </w:t>
      </w:r>
      <w:r w:rsidRPr="00B7142D">
        <w:t>Under our current rules, when an LPTV or TV translator displacement application is filed, it may propose causing interference to and “displace” a pending application for new or minor change to a</w:t>
      </w:r>
      <w:r w:rsidR="00756403">
        <w:t>n</w:t>
      </w:r>
      <w:r w:rsidR="00EB69E0">
        <w:t xml:space="preserve"> </w:t>
      </w:r>
      <w:r w:rsidRPr="00B7142D">
        <w:t>LPTV or TV translator station.</w:t>
      </w:r>
      <w:r w:rsidR="000B229E" w:rsidRPr="001A3028">
        <w:rPr>
          <w:rStyle w:val="FootnoteReference"/>
          <w:sz w:val="22"/>
        </w:rPr>
        <w:footnoteReference w:id="45"/>
      </w:r>
      <w:r w:rsidRPr="00B7142D">
        <w:t xml:space="preserve">  </w:t>
      </w:r>
      <w:r w:rsidR="004E7A60" w:rsidRPr="00B7142D">
        <w:t xml:space="preserve">It is possible that a </w:t>
      </w:r>
      <w:r w:rsidR="00C117AE" w:rsidRPr="00B7142D">
        <w:t xml:space="preserve">LPTV or TV translator </w:t>
      </w:r>
      <w:r w:rsidR="004E7A60">
        <w:t>displacement application</w:t>
      </w:r>
      <w:r w:rsidR="00FC596A">
        <w:t xml:space="preserve"> that is filed for a new channel but is treated as a minor change</w:t>
      </w:r>
      <w:r w:rsidR="004E7A60">
        <w:t xml:space="preserve"> would </w:t>
      </w:r>
      <w:r w:rsidR="004E7A60" w:rsidRPr="00B7142D">
        <w:t xml:space="preserve">not </w:t>
      </w:r>
      <w:r w:rsidR="004E7A60">
        <w:t xml:space="preserve">be predicted to </w:t>
      </w:r>
      <w:r w:rsidR="004E7A60" w:rsidRPr="00B7142D">
        <w:t xml:space="preserve">cause interference to a </w:t>
      </w:r>
      <w:r w:rsidR="004E7A60">
        <w:t xml:space="preserve">pending new or </w:t>
      </w:r>
      <w:r w:rsidR="004E7A60" w:rsidRPr="00B7142D">
        <w:t>minor change</w:t>
      </w:r>
      <w:r w:rsidR="004E7A60">
        <w:t xml:space="preserve"> application</w:t>
      </w:r>
      <w:r w:rsidR="004E7A60" w:rsidRPr="00B7142D">
        <w:t>, but</w:t>
      </w:r>
      <w:r w:rsidR="004E7A60">
        <w:t xml:space="preserve"> the displacement application, if granted, </w:t>
      </w:r>
      <w:r w:rsidR="004E7A60" w:rsidRPr="00B7142D">
        <w:t>would eliminate the last remaining vacant channel in an area</w:t>
      </w:r>
      <w:r w:rsidR="004E7A60">
        <w:t xml:space="preserve">. </w:t>
      </w:r>
      <w:r w:rsidR="00231E8B" w:rsidRPr="00231E8B">
        <w:t>We propose to preserve one channel in each area ev</w:t>
      </w:r>
      <w:r w:rsidR="00231E8B">
        <w:t>en in these circumstances.  In o</w:t>
      </w:r>
      <w:r w:rsidR="00231E8B" w:rsidRPr="00231E8B">
        <w:t>rder to accomplish that,</w:t>
      </w:r>
      <w:r w:rsidR="00231E8B">
        <w:t xml:space="preserve"> i</w:t>
      </w:r>
      <w:r w:rsidRPr="00B7142D">
        <w:t xml:space="preserve">n this scenario, should we allow </w:t>
      </w:r>
      <w:r w:rsidR="00CE51BE" w:rsidRPr="00B7142D">
        <w:t>the</w:t>
      </w:r>
      <w:r w:rsidRPr="00B7142D">
        <w:t xml:space="preserve"> displacement applicant to </w:t>
      </w:r>
      <w:r w:rsidR="004E7A60">
        <w:t>satisfy</w:t>
      </w:r>
      <w:r w:rsidRPr="00B7142D">
        <w:t xml:space="preserve"> the vacant channel </w:t>
      </w:r>
      <w:r w:rsidR="004E7A60">
        <w:t xml:space="preserve">demonstration </w:t>
      </w:r>
      <w:r w:rsidRPr="00B7142D">
        <w:t xml:space="preserve">by proposing </w:t>
      </w:r>
      <w:r w:rsidR="00CE51BE" w:rsidRPr="00FC596A">
        <w:t xml:space="preserve">that the channel specified in the </w:t>
      </w:r>
      <w:r w:rsidRPr="00FC596A">
        <w:t xml:space="preserve">pending </w:t>
      </w:r>
      <w:r w:rsidR="002646BF" w:rsidRPr="00FC596A">
        <w:t xml:space="preserve">new or minor change </w:t>
      </w:r>
      <w:r w:rsidRPr="00FC596A">
        <w:t xml:space="preserve">application </w:t>
      </w:r>
      <w:r w:rsidR="00C117AE" w:rsidRPr="00FC596A">
        <w:t xml:space="preserve">serve </w:t>
      </w:r>
      <w:r w:rsidR="00CE51BE" w:rsidRPr="00FC596A">
        <w:t>as the vacant channel</w:t>
      </w:r>
      <w:r w:rsidR="00CE51BE" w:rsidRPr="00B7142D">
        <w:t xml:space="preserve">?  </w:t>
      </w:r>
      <w:r w:rsidR="00CE51BE" w:rsidRPr="00154A67">
        <w:rPr>
          <w:highlight w:val="yellow"/>
        </w:rPr>
        <w:t xml:space="preserve">In other words, should the displacement applicant be allowed to “displace” the pending new or minor change </w:t>
      </w:r>
      <w:r w:rsidR="00C117AE" w:rsidRPr="00154A67">
        <w:rPr>
          <w:highlight w:val="yellow"/>
        </w:rPr>
        <w:t xml:space="preserve">application </w:t>
      </w:r>
      <w:r w:rsidR="00CE51BE" w:rsidRPr="00154A67">
        <w:rPr>
          <w:highlight w:val="yellow"/>
        </w:rPr>
        <w:t xml:space="preserve">for purposes of </w:t>
      </w:r>
      <w:r w:rsidR="00C117AE" w:rsidRPr="00154A67">
        <w:rPr>
          <w:highlight w:val="yellow"/>
        </w:rPr>
        <w:t xml:space="preserve">the </w:t>
      </w:r>
      <w:r w:rsidR="00CE51BE" w:rsidRPr="00154A67">
        <w:rPr>
          <w:highlight w:val="yellow"/>
        </w:rPr>
        <w:t>vacant channel</w:t>
      </w:r>
      <w:r w:rsidR="00C117AE" w:rsidRPr="00154A67">
        <w:rPr>
          <w:highlight w:val="yellow"/>
        </w:rPr>
        <w:t xml:space="preserve"> demonstration</w:t>
      </w:r>
      <w:r w:rsidR="00CE51BE" w:rsidRPr="00154A67">
        <w:rPr>
          <w:highlight w:val="yellow"/>
        </w:rPr>
        <w:t>?</w:t>
      </w:r>
      <w:r w:rsidR="00231E8B" w:rsidRPr="00154A67">
        <w:rPr>
          <w:rStyle w:val="FootnoteReference"/>
          <w:highlight w:val="yellow"/>
        </w:rPr>
        <w:footnoteReference w:id="46"/>
      </w:r>
      <w:r w:rsidR="00CE51BE" w:rsidRPr="00154A67">
        <w:rPr>
          <w:highlight w:val="yellow"/>
        </w:rPr>
        <w:t xml:space="preserve">  We </w:t>
      </w:r>
      <w:r w:rsidR="00CE51BE" w:rsidRPr="00154A67">
        <w:rPr>
          <w:highlight w:val="green"/>
        </w:rPr>
        <w:t xml:space="preserve">seek comment </w:t>
      </w:r>
      <w:r w:rsidR="00CE51BE" w:rsidRPr="00154A67">
        <w:rPr>
          <w:highlight w:val="yellow"/>
        </w:rPr>
        <w:t xml:space="preserve">on this </w:t>
      </w:r>
      <w:r w:rsidR="00D249AB" w:rsidRPr="00154A67">
        <w:rPr>
          <w:highlight w:val="yellow"/>
        </w:rPr>
        <w:t>issue</w:t>
      </w:r>
      <w:r w:rsidR="00CE51BE" w:rsidRPr="00154A67">
        <w:rPr>
          <w:highlight w:val="yellow"/>
        </w:rPr>
        <w:t xml:space="preserve"> as well as how to choose between applications to be displaced in the situation where there is more than one pending </w:t>
      </w:r>
      <w:r w:rsidR="00C117AE" w:rsidRPr="00154A67">
        <w:rPr>
          <w:highlight w:val="yellow"/>
        </w:rPr>
        <w:t xml:space="preserve">new or minor change </w:t>
      </w:r>
      <w:r w:rsidR="00CE51BE" w:rsidRPr="00154A67">
        <w:rPr>
          <w:highlight w:val="yellow"/>
        </w:rPr>
        <w:t xml:space="preserve">application </w:t>
      </w:r>
      <w:r w:rsidR="00C117AE" w:rsidRPr="00154A67">
        <w:rPr>
          <w:highlight w:val="yellow"/>
        </w:rPr>
        <w:t>that, if displaced, could satisfy the vacant channel demonstration</w:t>
      </w:r>
      <w:r w:rsidRPr="00154A67">
        <w:rPr>
          <w:highlight w:val="yellow"/>
        </w:rPr>
        <w:t>.</w:t>
      </w:r>
    </w:p>
    <w:p w14:paraId="76F4D493" w14:textId="77777777" w:rsidR="006D30D9" w:rsidRPr="00B7142D" w:rsidRDefault="006D30D9" w:rsidP="0008697D">
      <w:pPr>
        <w:pStyle w:val="ParaNum"/>
      </w:pPr>
      <w:r w:rsidRPr="00154A67">
        <w:rPr>
          <w:highlight w:val="yellow"/>
        </w:rPr>
        <w:t xml:space="preserve">We tentatively conclude that we have authority to adopt the proposals outlined above.  </w:t>
      </w:r>
      <w:r w:rsidR="0008697D" w:rsidRPr="00154A67">
        <w:rPr>
          <w:highlight w:val="yellow"/>
        </w:rPr>
        <w:t>As discussed above, we tentatively conclude that preserving a vacant channel in every area for use by white space devices and wireless microphones will serve the public interest by ensuring continued access across the nation to the significant benefits provided by white space devices and wireless microphones without significantly burdening broadcast applicants.</w:t>
      </w:r>
      <w:r w:rsidR="0008697D" w:rsidRPr="00154A67">
        <w:rPr>
          <w:rStyle w:val="FootnoteReference"/>
          <w:highlight w:val="yellow"/>
        </w:rPr>
        <w:footnoteReference w:id="47"/>
      </w:r>
      <w:r w:rsidR="0008697D" w:rsidRPr="00154A67">
        <w:rPr>
          <w:highlight w:val="yellow"/>
        </w:rPr>
        <w:t xml:space="preserve">  Moreover, because the proposed new, displacement, or modified facilities of LPTV, TV translator and BAS applicants are more likely than those of full power stations to eliminate vacant channels, requiring such applicants to demonstrate that their proposed facilities would not eliminate the last available vacant channel in an area will advance our goal of preserving a vacant channel in all areas for shared use by white space devices and wireless microphones.  We </w:t>
      </w:r>
      <w:r w:rsidR="0008697D" w:rsidRPr="00154A67">
        <w:rPr>
          <w:highlight w:val="green"/>
        </w:rPr>
        <w:t xml:space="preserve">seek comment </w:t>
      </w:r>
      <w:r w:rsidR="0008697D" w:rsidRPr="00154A67">
        <w:rPr>
          <w:highlight w:val="yellow"/>
        </w:rPr>
        <w:t>on this tentative conclusion.</w:t>
      </w:r>
      <w:r w:rsidR="0008697D">
        <w:t xml:space="preserve">  In addition, </w:t>
      </w:r>
      <w:r w:rsidRPr="00B7142D">
        <w:t xml:space="preserve">Title III of the Communications Act of 1934, </w:t>
      </w:r>
      <w:r w:rsidRPr="00B7142D">
        <w:lastRenderedPageBreak/>
        <w:t>as amended,</w:t>
      </w:r>
      <w:r w:rsidR="00D249AB">
        <w:rPr>
          <w:rStyle w:val="FootnoteReference"/>
        </w:rPr>
        <w:footnoteReference w:id="48"/>
      </w:r>
      <w:r w:rsidRPr="00B7142D">
        <w:t xml:space="preserve"> “endow[s] the Commission with expansive powers,” including “broad authority to manage spectrum . . . in the public interest.”</w:t>
      </w:r>
      <w:r w:rsidRPr="001A3028">
        <w:rPr>
          <w:rStyle w:val="FootnoteReference"/>
          <w:sz w:val="22"/>
        </w:rPr>
        <w:footnoteReference w:id="49"/>
      </w:r>
      <w:r w:rsidRPr="00B7142D">
        <w:t xml:space="preserve"> </w:t>
      </w:r>
      <w:r w:rsidR="00D249AB">
        <w:t xml:space="preserve"> </w:t>
      </w:r>
      <w:r w:rsidRPr="00B7142D">
        <w:t xml:space="preserve">We also tentatively conclude that our proposal to preserve a vacant channel for use by </w:t>
      </w:r>
      <w:r w:rsidR="000B3C75">
        <w:t xml:space="preserve">white space devices and </w:t>
      </w:r>
      <w:r w:rsidRPr="00B7142D">
        <w:t xml:space="preserve">wireless microphones in all areas is consistent with, and not in contravention of, section 6403(b) of the Spectrum Act, which </w:t>
      </w:r>
      <w:r w:rsidR="00D249AB">
        <w:rPr>
          <w:color w:val="000000"/>
        </w:rPr>
        <w:t>provid</w:t>
      </w:r>
      <w:r w:rsidRPr="00B7142D">
        <w:rPr>
          <w:color w:val="000000"/>
        </w:rPr>
        <w:t>es</w:t>
      </w:r>
      <w:r w:rsidR="00D249AB">
        <w:rPr>
          <w:color w:val="000000"/>
        </w:rPr>
        <w:t xml:space="preserve"> for</w:t>
      </w:r>
      <w:r w:rsidRPr="00B7142D">
        <w:rPr>
          <w:color w:val="000000"/>
        </w:rPr>
        <w:t xml:space="preserve"> the UHF band reorganization</w:t>
      </w:r>
      <w:r w:rsidRPr="00B7142D">
        <w:t xml:space="preserve">.  </w:t>
      </w:r>
      <w:r w:rsidR="002A198B">
        <w:t xml:space="preserve">We recognize that </w:t>
      </w:r>
      <w:r w:rsidR="009257E7">
        <w:t>s</w:t>
      </w:r>
      <w:r w:rsidRPr="00B7142D">
        <w:t xml:space="preserve">ection </w:t>
      </w:r>
      <w:r w:rsidRPr="00B7142D">
        <w:rPr>
          <w:color w:val="000000"/>
        </w:rPr>
        <w:t xml:space="preserve">6403(b)(5) </w:t>
      </w:r>
      <w:r w:rsidR="009257E7">
        <w:rPr>
          <w:color w:val="000000"/>
        </w:rPr>
        <w:t xml:space="preserve">of the Spectrum Act </w:t>
      </w:r>
      <w:r w:rsidRPr="00B7142D">
        <w:rPr>
          <w:color w:val="000000"/>
        </w:rPr>
        <w:t>provides that “[</w:t>
      </w:r>
      <w:proofErr w:type="gramStart"/>
      <w:r w:rsidRPr="00B7142D">
        <w:rPr>
          <w:color w:val="000000"/>
        </w:rPr>
        <w:t>n]</w:t>
      </w:r>
      <w:proofErr w:type="spellStart"/>
      <w:r w:rsidRPr="00B7142D">
        <w:rPr>
          <w:color w:val="000000"/>
        </w:rPr>
        <w:t>othing</w:t>
      </w:r>
      <w:proofErr w:type="spellEnd"/>
      <w:proofErr w:type="gramEnd"/>
      <w:r w:rsidRPr="00B7142D">
        <w:rPr>
          <w:color w:val="000000"/>
        </w:rPr>
        <w:t xml:space="preserve"> in [section 6403(b)] shall be construed to alter the spectrum usage rights of low-power television stations</w:t>
      </w:r>
      <w:r w:rsidR="00B2703B">
        <w:rPr>
          <w:color w:val="000000"/>
        </w:rPr>
        <w:t>,</w:t>
      </w:r>
      <w:r w:rsidRPr="00B7142D">
        <w:rPr>
          <w:color w:val="000000"/>
        </w:rPr>
        <w:t>”</w:t>
      </w:r>
      <w:r w:rsidRPr="001A3028">
        <w:rPr>
          <w:rStyle w:val="FootnoteReference"/>
          <w:sz w:val="22"/>
        </w:rPr>
        <w:footnoteReference w:id="50"/>
      </w:r>
      <w:r w:rsidRPr="00B7142D">
        <w:rPr>
          <w:color w:val="000000"/>
        </w:rPr>
        <w:t xml:space="preserve"> </w:t>
      </w:r>
      <w:r w:rsidR="00B2703B">
        <w:rPr>
          <w:color w:val="000000"/>
        </w:rPr>
        <w:t>but</w:t>
      </w:r>
      <w:r w:rsidRPr="00B7142D">
        <w:rPr>
          <w:color w:val="000000"/>
        </w:rPr>
        <w:t xml:space="preserve"> </w:t>
      </w:r>
      <w:r w:rsidR="00B2703B">
        <w:t>s</w:t>
      </w:r>
      <w:r w:rsidR="00B2703B" w:rsidRPr="00B7142D">
        <w:t xml:space="preserve">ection </w:t>
      </w:r>
      <w:r w:rsidR="00B2703B" w:rsidRPr="00B7142D">
        <w:rPr>
          <w:color w:val="000000"/>
        </w:rPr>
        <w:t xml:space="preserve">6403(b)(5) does not </w:t>
      </w:r>
      <w:r w:rsidR="00B2703B">
        <w:rPr>
          <w:color w:val="000000"/>
        </w:rPr>
        <w:t>affect</w:t>
      </w:r>
      <w:r w:rsidR="00B2703B" w:rsidRPr="00B7142D">
        <w:rPr>
          <w:color w:val="000000"/>
        </w:rPr>
        <w:t xml:space="preserve"> the </w:t>
      </w:r>
      <w:r w:rsidR="00B2703B" w:rsidRPr="00B7142D">
        <w:t xml:space="preserve">Commission’s broad authority </w:t>
      </w:r>
      <w:r w:rsidR="00B2703B">
        <w:t xml:space="preserve">outside of section 6403(b) </w:t>
      </w:r>
      <w:r w:rsidR="00B2703B" w:rsidRPr="00B7142D">
        <w:t>to manage spectrum in the public interest,</w:t>
      </w:r>
      <w:r w:rsidR="00B2703B" w:rsidRPr="001A3028">
        <w:rPr>
          <w:rStyle w:val="FootnoteReference"/>
          <w:sz w:val="22"/>
        </w:rPr>
        <w:footnoteReference w:id="51"/>
      </w:r>
      <w:r w:rsidR="00B2703B" w:rsidRPr="00B7142D">
        <w:t xml:space="preserve"> </w:t>
      </w:r>
      <w:r w:rsidR="00B2703B">
        <w:t xml:space="preserve">which provides the legal basis for </w:t>
      </w:r>
      <w:r w:rsidR="00B2703B" w:rsidRPr="00B7142D">
        <w:t>the actions we propose in this Notice.</w:t>
      </w:r>
      <w:r w:rsidR="00B2703B">
        <w:t xml:space="preserve">  To the contrary, s</w:t>
      </w:r>
      <w:r w:rsidR="00B2703B" w:rsidRPr="00B7142D">
        <w:rPr>
          <w:color w:val="000000"/>
        </w:rPr>
        <w:t>ection 6403(</w:t>
      </w:r>
      <w:proofErr w:type="spellStart"/>
      <w:r w:rsidR="00B2703B" w:rsidRPr="00B7142D">
        <w:rPr>
          <w:color w:val="000000"/>
        </w:rPr>
        <w:t>i</w:t>
      </w:r>
      <w:proofErr w:type="spellEnd"/>
      <w:r w:rsidR="00B2703B" w:rsidRPr="00B7142D">
        <w:rPr>
          <w:color w:val="000000"/>
        </w:rPr>
        <w:t xml:space="preserve">)(1) </w:t>
      </w:r>
      <w:r w:rsidR="00B2703B">
        <w:rPr>
          <w:color w:val="000000"/>
        </w:rPr>
        <w:t xml:space="preserve">preserves that authority by </w:t>
      </w:r>
      <w:r w:rsidR="00B2703B" w:rsidRPr="00B7142D">
        <w:rPr>
          <w:color w:val="000000"/>
        </w:rPr>
        <w:t>stat</w:t>
      </w:r>
      <w:r w:rsidR="00B2703B">
        <w:rPr>
          <w:color w:val="000000"/>
        </w:rPr>
        <w:t>ing</w:t>
      </w:r>
      <w:r w:rsidR="00B2703B" w:rsidRPr="00B7142D">
        <w:rPr>
          <w:color w:val="000000"/>
        </w:rPr>
        <w:t xml:space="preserve"> that nothing in section 6403(b) “shall be construed to . . . expand or contract </w:t>
      </w:r>
      <w:r w:rsidR="00B2703B" w:rsidRPr="00B7142D">
        <w:t>the authority of the Commission, except as otherwise expressly provided</w:t>
      </w:r>
      <w:r w:rsidR="00B2703B">
        <w:t>.</w:t>
      </w:r>
      <w:r w:rsidR="00B2703B" w:rsidRPr="00B7142D">
        <w:t>”</w:t>
      </w:r>
      <w:r w:rsidR="00B2703B" w:rsidRPr="001A3028">
        <w:rPr>
          <w:rStyle w:val="FootnoteReference"/>
          <w:sz w:val="22"/>
        </w:rPr>
        <w:footnoteReference w:id="52"/>
      </w:r>
      <w:r w:rsidR="00B2703B">
        <w:t xml:space="preserve">  </w:t>
      </w:r>
      <w:r w:rsidR="000F1850">
        <w:rPr>
          <w:color w:val="000000"/>
        </w:rPr>
        <w:t xml:space="preserve">There is no express provision in section 6403(b) prohibiting the Commission from </w:t>
      </w:r>
      <w:r w:rsidR="00D249AB">
        <w:rPr>
          <w:color w:val="000000"/>
        </w:rPr>
        <w:t>requir</w:t>
      </w:r>
      <w:r w:rsidR="000F1850">
        <w:rPr>
          <w:color w:val="000000"/>
        </w:rPr>
        <w:t>ing</w:t>
      </w:r>
      <w:r w:rsidR="00D249AB">
        <w:rPr>
          <w:color w:val="000000"/>
        </w:rPr>
        <w:t xml:space="preserve"> </w:t>
      </w:r>
      <w:r w:rsidRPr="00B7142D">
        <w:rPr>
          <w:color w:val="000000"/>
        </w:rPr>
        <w:t>L</w:t>
      </w:r>
      <w:r w:rsidRPr="00B7142D">
        <w:t>PTV and TV translator stations to consider how their proposed new</w:t>
      </w:r>
      <w:r w:rsidR="009D433E">
        <w:t>, displacement,</w:t>
      </w:r>
      <w:r w:rsidRPr="00B7142D">
        <w:t xml:space="preserve"> or modified facilities will impact the availability of vacant channels for </w:t>
      </w:r>
      <w:r w:rsidR="000B3C75">
        <w:t xml:space="preserve">white space devices and </w:t>
      </w:r>
      <w:r w:rsidRPr="00B7142D">
        <w:t>wireless microphones</w:t>
      </w:r>
      <w:r w:rsidR="000F1850">
        <w:t>.</w:t>
      </w:r>
      <w:r w:rsidRPr="00B7142D">
        <w:t xml:space="preserve">  Moreover, section 6403(</w:t>
      </w:r>
      <w:proofErr w:type="spellStart"/>
      <w:r w:rsidRPr="00B7142D">
        <w:t>i</w:t>
      </w:r>
      <w:proofErr w:type="spellEnd"/>
      <w:r w:rsidRPr="00B7142D">
        <w:t xml:space="preserve">)(2) </w:t>
      </w:r>
      <w:r w:rsidRPr="00B7142D">
        <w:rPr>
          <w:color w:val="000000"/>
        </w:rPr>
        <w:t>states that nothing in section 6403(b) “shall be construed to .</w:t>
      </w:r>
      <w:r w:rsidR="00E41226">
        <w:rPr>
          <w:color w:val="000000"/>
        </w:rPr>
        <w:t> </w:t>
      </w:r>
      <w:r w:rsidRPr="00B7142D">
        <w:rPr>
          <w:color w:val="000000"/>
        </w:rPr>
        <w:t>.</w:t>
      </w:r>
      <w:r w:rsidR="00E41226">
        <w:rPr>
          <w:color w:val="000000"/>
        </w:rPr>
        <w:t> </w:t>
      </w:r>
      <w:r w:rsidRPr="00B7142D">
        <w:rPr>
          <w:color w:val="000000"/>
        </w:rPr>
        <w:t>. prevent the implementation of the Commission’s ‘White Spaces’ Second Report and Order . . . in the spectrum that remains allocated for broadcast television use after the reorganization required by” section 6403(b).</w:t>
      </w:r>
      <w:r w:rsidRPr="00B7142D">
        <w:rPr>
          <w:vertAlign w:val="superscript"/>
        </w:rPr>
        <w:footnoteReference w:id="53"/>
      </w:r>
      <w:r w:rsidR="003E0610">
        <w:rPr>
          <w:color w:val="000000"/>
        </w:rPr>
        <w:t xml:space="preserve">  Our pro</w:t>
      </w:r>
      <w:r w:rsidR="005A6773">
        <w:rPr>
          <w:color w:val="000000"/>
        </w:rPr>
        <w:t>posals in this Notice will ensure that</w:t>
      </w:r>
      <w:r w:rsidR="005A6773" w:rsidRPr="005A6773">
        <w:t xml:space="preserve"> </w:t>
      </w:r>
      <w:r w:rsidR="000B3C75">
        <w:t xml:space="preserve">white space devices and </w:t>
      </w:r>
      <w:r w:rsidR="005A6773">
        <w:t xml:space="preserve">wireless microphones continue to have </w:t>
      </w:r>
      <w:r w:rsidR="005A6773" w:rsidRPr="00B7142D">
        <w:t>access to unused TV bands channels</w:t>
      </w:r>
      <w:r w:rsidR="005A6773">
        <w:t xml:space="preserve">, consistent with the </w:t>
      </w:r>
      <w:r w:rsidR="00C53E89" w:rsidRPr="00F14118">
        <w:rPr>
          <w:i/>
        </w:rPr>
        <w:t>TV White Spaces Second Report and Order</w:t>
      </w:r>
      <w:r w:rsidR="005A6773">
        <w:t>.</w:t>
      </w:r>
      <w:r w:rsidR="005A6773" w:rsidRPr="001A3028">
        <w:rPr>
          <w:rStyle w:val="FootnoteReference"/>
          <w:sz w:val="22"/>
        </w:rPr>
        <w:footnoteReference w:id="54"/>
      </w:r>
      <w:r w:rsidR="005A6773" w:rsidRPr="00B7142D">
        <w:t xml:space="preserve">  </w:t>
      </w:r>
    </w:p>
    <w:p w14:paraId="298C0623" w14:textId="77777777" w:rsidR="006D0FB0" w:rsidRPr="00354689" w:rsidRDefault="006D30D9" w:rsidP="006C5F06">
      <w:pPr>
        <w:pStyle w:val="ParaNum"/>
        <w:rPr>
          <w:highlight w:val="yellow"/>
        </w:rPr>
      </w:pPr>
      <w:r w:rsidRPr="00B7142D">
        <w:t xml:space="preserve">We acknowledge that our proposal to require LPTV and TV translator stations to demonstrate that their proposed operations will not eliminate the last remaining vacant channel diverges </w:t>
      </w:r>
      <w:r w:rsidR="000D7683">
        <w:t xml:space="preserve">to a limited extent </w:t>
      </w:r>
      <w:r w:rsidRPr="00B7142D">
        <w:t xml:space="preserve">from prior Commission decisions </w:t>
      </w:r>
      <w:r w:rsidR="00152127">
        <w:t xml:space="preserve">stating </w:t>
      </w:r>
      <w:r w:rsidRPr="00B7142D">
        <w:t xml:space="preserve">that </w:t>
      </w:r>
      <w:r w:rsidRPr="00B7142D">
        <w:rPr>
          <w:color w:val="000000"/>
        </w:rPr>
        <w:t xml:space="preserve">future use of the TV bands by primary and secondary </w:t>
      </w:r>
      <w:r w:rsidR="00D45BCA">
        <w:rPr>
          <w:color w:val="000000"/>
        </w:rPr>
        <w:t xml:space="preserve">broadcast </w:t>
      </w:r>
      <w:r w:rsidRPr="00B7142D">
        <w:rPr>
          <w:color w:val="000000"/>
        </w:rPr>
        <w:t xml:space="preserve">users has priority over </w:t>
      </w:r>
      <w:r w:rsidR="00D45BCA">
        <w:rPr>
          <w:color w:val="000000"/>
        </w:rPr>
        <w:t xml:space="preserve">wireless microphones and </w:t>
      </w:r>
      <w:r w:rsidRPr="00B7142D">
        <w:rPr>
          <w:color w:val="000000"/>
        </w:rPr>
        <w:t>white space devices.</w:t>
      </w:r>
      <w:r w:rsidRPr="001A3028">
        <w:rPr>
          <w:rStyle w:val="FootnoteReference"/>
          <w:sz w:val="22"/>
        </w:rPr>
        <w:footnoteReference w:id="55"/>
      </w:r>
      <w:r w:rsidRPr="00B7142D">
        <w:rPr>
          <w:color w:val="000000"/>
        </w:rPr>
        <w:t xml:space="preserve">  </w:t>
      </w:r>
      <w:r w:rsidRPr="00B7142D">
        <w:t xml:space="preserve">As discussed above, however, there will be fewer unused television channels for </w:t>
      </w:r>
      <w:r w:rsidR="00A32D71">
        <w:t xml:space="preserve">white space devices and </w:t>
      </w:r>
      <w:r w:rsidRPr="00B7142D">
        <w:lastRenderedPageBreak/>
        <w:t>wireless microphones after the incentive auction and repacking of the television band</w:t>
      </w:r>
      <w:r w:rsidR="000D7683">
        <w:t xml:space="preserve">, </w:t>
      </w:r>
      <w:r w:rsidR="000D7683" w:rsidRPr="00354689">
        <w:rPr>
          <w:highlight w:val="yellow"/>
        </w:rPr>
        <w:t>and we seek to ensure that the public does not lose access to the significant benefits of wireless microphones and white space devices</w:t>
      </w:r>
      <w:r w:rsidRPr="00354689">
        <w:rPr>
          <w:highlight w:val="yellow"/>
        </w:rPr>
        <w:t>.</w:t>
      </w:r>
      <w:r w:rsidRPr="00354689">
        <w:rPr>
          <w:rStyle w:val="FootnoteReference"/>
          <w:sz w:val="22"/>
          <w:highlight w:val="yellow"/>
        </w:rPr>
        <w:footnoteReference w:id="56"/>
      </w:r>
      <w:r w:rsidRPr="00354689">
        <w:rPr>
          <w:highlight w:val="yellow"/>
        </w:rPr>
        <w:t xml:space="preserve">  </w:t>
      </w:r>
      <w:r w:rsidR="000D7683" w:rsidRPr="00354689">
        <w:rPr>
          <w:highlight w:val="yellow"/>
        </w:rPr>
        <w:t>Moreover, we believe that the impact of our proposal on LPTV and TV translator stations will be limited in terms of both the availability of channels for future use and the administrative burdens involved.</w:t>
      </w:r>
      <w:r w:rsidRPr="00354689">
        <w:rPr>
          <w:rStyle w:val="FootnoteReference"/>
          <w:sz w:val="22"/>
          <w:highlight w:val="yellow"/>
        </w:rPr>
        <w:footnoteReference w:id="57"/>
      </w:r>
      <w:r w:rsidRPr="00354689">
        <w:rPr>
          <w:highlight w:val="yellow"/>
        </w:rPr>
        <w:t xml:space="preserve">  </w:t>
      </w:r>
      <w:r w:rsidR="000D7683" w:rsidRPr="00354689">
        <w:rPr>
          <w:highlight w:val="yellow"/>
        </w:rPr>
        <w:t xml:space="preserve">Accordingly, we tentatively conclude that a limited departure is warranted </w:t>
      </w:r>
      <w:r w:rsidR="000830CF" w:rsidRPr="00354689">
        <w:rPr>
          <w:highlight w:val="yellow"/>
        </w:rPr>
        <w:t>from prior FCC</w:t>
      </w:r>
      <w:r w:rsidR="000D7683" w:rsidRPr="00354689">
        <w:rPr>
          <w:highlight w:val="yellow"/>
        </w:rPr>
        <w:t xml:space="preserve"> decisions granting secondary </w:t>
      </w:r>
      <w:r w:rsidR="00D45BCA" w:rsidRPr="00354689">
        <w:rPr>
          <w:highlight w:val="yellow"/>
        </w:rPr>
        <w:t xml:space="preserve">LPTV and TV translator station </w:t>
      </w:r>
      <w:r w:rsidR="000D7683" w:rsidRPr="00354689">
        <w:rPr>
          <w:highlight w:val="yellow"/>
        </w:rPr>
        <w:t xml:space="preserve">users priority to use of the TV bands over </w:t>
      </w:r>
      <w:r w:rsidR="00A32D71" w:rsidRPr="00354689">
        <w:rPr>
          <w:highlight w:val="yellow"/>
        </w:rPr>
        <w:t xml:space="preserve">white space devices and </w:t>
      </w:r>
      <w:r w:rsidR="00D45BCA" w:rsidRPr="00354689">
        <w:rPr>
          <w:highlight w:val="yellow"/>
        </w:rPr>
        <w:t>wireless microphone user</w:t>
      </w:r>
      <w:r w:rsidR="000D7683" w:rsidRPr="00354689">
        <w:rPr>
          <w:highlight w:val="yellow"/>
        </w:rPr>
        <w:t xml:space="preserve">s in all circumstances.  </w:t>
      </w:r>
      <w:r w:rsidRPr="00354689">
        <w:rPr>
          <w:highlight w:val="green"/>
        </w:rPr>
        <w:t xml:space="preserve">We seek comment </w:t>
      </w:r>
      <w:r w:rsidRPr="00354689">
        <w:rPr>
          <w:highlight w:val="yellow"/>
        </w:rPr>
        <w:t>on this analysis.</w:t>
      </w:r>
    </w:p>
    <w:p w14:paraId="7BD43491" w14:textId="77777777" w:rsidR="006D0FB0" w:rsidRPr="00B7142D" w:rsidRDefault="00C24016" w:rsidP="006C5F06">
      <w:pPr>
        <w:pStyle w:val="Heading3"/>
      </w:pPr>
      <w:bookmarkStart w:id="46" w:name="_Toc409784117"/>
      <w:r w:rsidRPr="00B7142D">
        <w:t xml:space="preserve">Modifications of </w:t>
      </w:r>
      <w:r w:rsidR="006D0FB0" w:rsidRPr="00B7142D">
        <w:t>Class A Television Stations</w:t>
      </w:r>
      <w:bookmarkEnd w:id="46"/>
    </w:p>
    <w:p w14:paraId="16F1A64D" w14:textId="77777777" w:rsidR="00DC2511" w:rsidRPr="00B7142D" w:rsidRDefault="006D0FB0" w:rsidP="00FE1A9C">
      <w:pPr>
        <w:pStyle w:val="ParaNum"/>
        <w:widowControl/>
      </w:pPr>
      <w:r w:rsidRPr="00B7142D">
        <w:t xml:space="preserve">  </w:t>
      </w:r>
      <w:r w:rsidR="00515755" w:rsidRPr="00B7142D">
        <w:t xml:space="preserve">We tentatively conclude that the vacant channel demonstration </w:t>
      </w:r>
      <w:r w:rsidR="00826242">
        <w:t xml:space="preserve">requirement </w:t>
      </w:r>
      <w:r w:rsidR="00515755" w:rsidRPr="00B7142D">
        <w:t xml:space="preserve">should not apply to applications for modification of Class </w:t>
      </w:r>
      <w:proofErr w:type="gramStart"/>
      <w:r w:rsidR="00515755" w:rsidRPr="00B7142D">
        <w:t>A</w:t>
      </w:r>
      <w:proofErr w:type="gramEnd"/>
      <w:r w:rsidR="00515755" w:rsidRPr="00B7142D">
        <w:t xml:space="preserve"> television stations filed during the 39-month Post-Auction Transition Period</w:t>
      </w:r>
      <w:r w:rsidR="009B3229">
        <w:t>,</w:t>
      </w:r>
      <w:r w:rsidR="00826242">
        <w:t xml:space="preserve"> </w:t>
      </w:r>
      <w:r w:rsidR="004245E2" w:rsidRPr="00B7142D">
        <w:t>but that it should apply to such applications filed after the end of this period.</w:t>
      </w:r>
      <w:r w:rsidR="00DC2511" w:rsidRPr="00B7142D">
        <w:t xml:space="preserve"> </w:t>
      </w:r>
      <w:r w:rsidR="00B3202B">
        <w:t xml:space="preserve"> </w:t>
      </w:r>
      <w:r w:rsidR="001A42FB">
        <w:t>Exempting</w:t>
      </w:r>
      <w:r w:rsidR="00B05C23" w:rsidRPr="00B7142D">
        <w:t xml:space="preserve"> Class </w:t>
      </w:r>
      <w:proofErr w:type="gramStart"/>
      <w:r w:rsidR="00B05C23" w:rsidRPr="00B7142D">
        <w:t>A</w:t>
      </w:r>
      <w:proofErr w:type="gramEnd"/>
      <w:r w:rsidR="00B05C23" w:rsidRPr="00B7142D">
        <w:t xml:space="preserve"> stations </w:t>
      </w:r>
      <w:r w:rsidR="001A42FB">
        <w:t xml:space="preserve">from </w:t>
      </w:r>
      <w:r w:rsidR="00B05C23" w:rsidRPr="00B7142D">
        <w:t xml:space="preserve">the vacant channel demonstration during the transition period </w:t>
      </w:r>
      <w:r w:rsidR="009B3229">
        <w:t>will facilitate a rapid, non-disruptive transition by maximizing Class A television stations’ flexibility to propose expanded facilities and alternative channels</w:t>
      </w:r>
      <w:r w:rsidR="00B05C23" w:rsidRPr="00B7142D">
        <w:t>.</w:t>
      </w:r>
      <w:r w:rsidR="001A42FB">
        <w:rPr>
          <w:rStyle w:val="FootnoteReference"/>
        </w:rPr>
        <w:footnoteReference w:id="58"/>
      </w:r>
      <w:r w:rsidR="00AC0A0F" w:rsidRPr="00B7142D">
        <w:t xml:space="preserve">  </w:t>
      </w:r>
      <w:r w:rsidR="00CD57A7">
        <w:t>A</w:t>
      </w:r>
      <w:r w:rsidR="00DC2511" w:rsidRPr="00B7142D">
        <w:t xml:space="preserve">s a practical matter, </w:t>
      </w:r>
      <w:r w:rsidR="00526FFE">
        <w:t>moreover,</w:t>
      </w:r>
      <w:r w:rsidR="00FC596A">
        <w:t xml:space="preserve"> Class A stations that are reassigned in the incentive auction</w:t>
      </w:r>
      <w:r w:rsidR="00F27A54" w:rsidRPr="00B7142D">
        <w:t xml:space="preserve"> </w:t>
      </w:r>
      <w:r w:rsidR="00CD57A7">
        <w:t xml:space="preserve">will not be able to </w:t>
      </w:r>
      <w:r w:rsidR="00F27A54" w:rsidRPr="00B7142D">
        <w:t>determin</w:t>
      </w:r>
      <w:r w:rsidR="00CD57A7">
        <w:t>e</w:t>
      </w:r>
      <w:r w:rsidR="00F27A54" w:rsidRPr="00B7142D">
        <w:t xml:space="preserve"> the availability of </w:t>
      </w:r>
      <w:r w:rsidR="00DC2511" w:rsidRPr="00B7142D">
        <w:t xml:space="preserve">vacant channels for purposes of </w:t>
      </w:r>
      <w:r w:rsidR="00C9617D" w:rsidRPr="00B7142D">
        <w:t>the vacant channel demonstration</w:t>
      </w:r>
      <w:r w:rsidR="00DC2511" w:rsidRPr="00B7142D">
        <w:t xml:space="preserve"> until full power and Class A stations assigned to new channels are able to obtain their initial authorizations.  </w:t>
      </w:r>
      <w:r w:rsidR="00FC596A">
        <w:t xml:space="preserve">In addition, </w:t>
      </w:r>
      <w:r w:rsidR="00CD57A7">
        <w:t xml:space="preserve">imposing the requirement would </w:t>
      </w:r>
      <w:r w:rsidR="0090278C">
        <w:t>d</w:t>
      </w:r>
      <w:r w:rsidR="00690788" w:rsidRPr="00B7142D">
        <w:t xml:space="preserve">elay the filing of applications for alternate channels and expanded facilities by Class A television stations until final data on vacant channels </w:t>
      </w:r>
      <w:r w:rsidR="00F634F5">
        <w:t>are</w:t>
      </w:r>
      <w:r w:rsidR="00690788" w:rsidRPr="00B7142D">
        <w:t xml:space="preserve"> available</w:t>
      </w:r>
      <w:r w:rsidR="0090278C">
        <w:t xml:space="preserve">, </w:t>
      </w:r>
      <w:r w:rsidR="00690788" w:rsidRPr="00B7142D">
        <w:t>thereby impeding the goal of a rapid and non-disruptive 600 MHz band transition</w:t>
      </w:r>
      <w:r w:rsidR="0090278C">
        <w:t xml:space="preserve"> for these stations</w:t>
      </w:r>
      <w:r w:rsidR="00690788" w:rsidRPr="00B7142D">
        <w:t xml:space="preserve">, and </w:t>
      </w:r>
      <w:r w:rsidR="00A312AA" w:rsidRPr="00B7142D">
        <w:t>u</w:t>
      </w:r>
      <w:r w:rsidR="00690788" w:rsidRPr="00B7142D">
        <w:t>ndermin</w:t>
      </w:r>
      <w:r w:rsidR="00C9617D" w:rsidRPr="00B7142D">
        <w:t>ing</w:t>
      </w:r>
      <w:r w:rsidR="00690788" w:rsidRPr="00B7142D">
        <w:t xml:space="preserve"> their ability to obtain reimbursement of eligible costs within the </w:t>
      </w:r>
      <w:r w:rsidR="0090278C">
        <w:t xml:space="preserve">statutory </w:t>
      </w:r>
      <w:r w:rsidR="00690788" w:rsidRPr="00B7142D">
        <w:t>three-year reimbursement period.</w:t>
      </w:r>
      <w:r w:rsidR="00690788" w:rsidRPr="001A3028">
        <w:rPr>
          <w:rStyle w:val="FootnoteReference"/>
          <w:sz w:val="22"/>
        </w:rPr>
        <w:footnoteReference w:id="59"/>
      </w:r>
    </w:p>
    <w:p w14:paraId="4F8582C2" w14:textId="77777777" w:rsidR="00234394" w:rsidRPr="00B7142D" w:rsidRDefault="00F634F5" w:rsidP="006C5F06">
      <w:pPr>
        <w:pStyle w:val="ParaNum"/>
      </w:pPr>
      <w:r>
        <w:t xml:space="preserve">In addition to exempting Class </w:t>
      </w:r>
      <w:proofErr w:type="gramStart"/>
      <w:r>
        <w:t>A</w:t>
      </w:r>
      <w:proofErr w:type="gramEnd"/>
      <w:r>
        <w:t xml:space="preserve"> stations that were a</w:t>
      </w:r>
      <w:r w:rsidRPr="00B7142D">
        <w:t>ssigned a new channel in the reverse auction or repacking process</w:t>
      </w:r>
      <w:r>
        <w:t>, w</w:t>
      </w:r>
      <w:r w:rsidR="00234394" w:rsidRPr="00B7142D">
        <w:t xml:space="preserve">e also tentatively conclude that the vacant channel demonstration </w:t>
      </w:r>
      <w:r w:rsidR="002024B6">
        <w:t xml:space="preserve">requirement </w:t>
      </w:r>
      <w:r w:rsidR="00234394" w:rsidRPr="00B7142D">
        <w:t xml:space="preserve">should not apply to applications for modification filed during the 39-month Post-Auction Transition Period by Class A stations that were </w:t>
      </w:r>
      <w:r w:rsidR="00234394" w:rsidRPr="00F634F5">
        <w:rPr>
          <w:i/>
        </w:rPr>
        <w:t>not</w:t>
      </w:r>
      <w:r w:rsidR="00234394" w:rsidRPr="00B7142D">
        <w:t xml:space="preserve"> assigned a new channel</w:t>
      </w:r>
      <w:r w:rsidR="008149EF" w:rsidRPr="00B7142D">
        <w:t>.</w:t>
      </w:r>
      <w:r w:rsidR="00234394" w:rsidRPr="00B7142D">
        <w:t xml:space="preserve"> </w:t>
      </w:r>
      <w:r>
        <w:t xml:space="preserve"> </w:t>
      </w:r>
      <w:r w:rsidR="008149EF" w:rsidRPr="00B7142D">
        <w:t>We anticipate that</w:t>
      </w:r>
      <w:r>
        <w:t>,</w:t>
      </w:r>
      <w:r w:rsidR="008149EF" w:rsidRPr="00B7142D">
        <w:t xml:space="preserve"> in some markets, a number of stations will coordinate modifications to their facilities to improve service to the public</w:t>
      </w:r>
      <w:r>
        <w:t>,</w:t>
      </w:r>
      <w:r w:rsidR="008149EF" w:rsidRPr="00B7142D">
        <w:t xml:space="preserve"> and/or facilitate the transition, and that not all stations participat</w:t>
      </w:r>
      <w:r w:rsidR="00F063E9">
        <w:t>ing</w:t>
      </w:r>
      <w:r w:rsidR="008149EF" w:rsidRPr="00B7142D">
        <w:t xml:space="preserve"> in the coordinated effort w</w:t>
      </w:r>
      <w:r w:rsidR="002024B6">
        <w:t>ill</w:t>
      </w:r>
      <w:r w:rsidR="008149EF" w:rsidRPr="00B7142D">
        <w:t xml:space="preserve"> have been assigned new channels.  </w:t>
      </w:r>
      <w:r w:rsidR="002024B6">
        <w:t>Thus, r</w:t>
      </w:r>
      <w:r w:rsidR="008149EF" w:rsidRPr="00B7142D">
        <w:t xml:space="preserve">equiring </w:t>
      </w:r>
      <w:r>
        <w:t>non-reassigned</w:t>
      </w:r>
      <w:r w:rsidR="008149EF" w:rsidRPr="00B7142D">
        <w:t xml:space="preserve"> stations to make a vacant channel demonstration </w:t>
      </w:r>
      <w:r w:rsidR="00F063E9">
        <w:t xml:space="preserve">during the Post-Auction Transition Period </w:t>
      </w:r>
      <w:r w:rsidR="002024B6">
        <w:t>likewise c</w:t>
      </w:r>
      <w:r w:rsidR="008149EF" w:rsidRPr="00B7142D">
        <w:t>ould undermine the</w:t>
      </w:r>
      <w:r>
        <w:t xml:space="preserve"> </w:t>
      </w:r>
      <w:r w:rsidR="008149EF" w:rsidRPr="00B7142D">
        <w:t>flexibility</w:t>
      </w:r>
      <w:r w:rsidR="00234394" w:rsidRPr="00B7142D">
        <w:t xml:space="preserve"> </w:t>
      </w:r>
      <w:r>
        <w:t>needed for a rapid, non-disruptive</w:t>
      </w:r>
      <w:r w:rsidR="00234394" w:rsidRPr="00B7142D">
        <w:t xml:space="preserve"> transition.</w:t>
      </w:r>
    </w:p>
    <w:p w14:paraId="4FF61B73" w14:textId="77777777" w:rsidR="008149EF" w:rsidRPr="00B7142D" w:rsidRDefault="002024B6" w:rsidP="006C5F06">
      <w:pPr>
        <w:pStyle w:val="ParaNum"/>
      </w:pPr>
      <w:r w:rsidRPr="00354689">
        <w:rPr>
          <w:highlight w:val="yellow"/>
        </w:rPr>
        <w:t xml:space="preserve">We </w:t>
      </w:r>
      <w:r w:rsidRPr="00354689">
        <w:rPr>
          <w:highlight w:val="green"/>
        </w:rPr>
        <w:t xml:space="preserve">seek comment </w:t>
      </w:r>
      <w:r w:rsidRPr="00354689">
        <w:rPr>
          <w:highlight w:val="yellow"/>
        </w:rPr>
        <w:t xml:space="preserve">on whether out-of-core Class A-eligible LPTV stations that did not file for a Class </w:t>
      </w:r>
      <w:proofErr w:type="gramStart"/>
      <w:r w:rsidRPr="00354689">
        <w:rPr>
          <w:highlight w:val="yellow"/>
        </w:rPr>
        <w:t>A</w:t>
      </w:r>
      <w:proofErr w:type="gramEnd"/>
      <w:r w:rsidRPr="00354689">
        <w:rPr>
          <w:highlight w:val="yellow"/>
        </w:rPr>
        <w:t xml:space="preserve"> license until after February 22, 2012 should be subject to the vacant channel demonstration requirement.</w:t>
      </w:r>
      <w:r>
        <w:t xml:space="preserve">  </w:t>
      </w:r>
      <w:r w:rsidR="008149EF" w:rsidRPr="00B7142D">
        <w:t xml:space="preserve">In the </w:t>
      </w:r>
      <w:r w:rsidR="008149EF" w:rsidRPr="00B7142D">
        <w:rPr>
          <w:i/>
        </w:rPr>
        <w:t>Incentive Auction Report and Order</w:t>
      </w:r>
      <w:r w:rsidR="008149EF" w:rsidRPr="00B7142D">
        <w:t>, the Commission declined to protect</w:t>
      </w:r>
      <w:r>
        <w:t xml:space="preserve"> such stations</w:t>
      </w:r>
      <w:r w:rsidR="008149EF" w:rsidRPr="00B7142D">
        <w:t xml:space="preserve"> </w:t>
      </w:r>
      <w:r>
        <w:t>in the repacking</w:t>
      </w:r>
      <w:r w:rsidR="00A144E8">
        <w:t xml:space="preserve"> process</w:t>
      </w:r>
      <w:r w:rsidR="008149EF" w:rsidRPr="00B7142D">
        <w:t>, even if the</w:t>
      </w:r>
      <w:r>
        <w:t xml:space="preserve">ir Class </w:t>
      </w:r>
      <w:proofErr w:type="gramStart"/>
      <w:r>
        <w:t>A</w:t>
      </w:r>
      <w:proofErr w:type="gramEnd"/>
      <w:r w:rsidR="008149EF" w:rsidRPr="00B7142D">
        <w:t xml:space="preserve"> </w:t>
      </w:r>
      <w:r>
        <w:t xml:space="preserve">license </w:t>
      </w:r>
      <w:r w:rsidR="008149EF" w:rsidRPr="00B7142D">
        <w:t>application</w:t>
      </w:r>
      <w:r>
        <w:t>s are</w:t>
      </w:r>
      <w:r w:rsidR="008149EF" w:rsidRPr="00B7142D">
        <w:t xml:space="preserve"> granted before the auction.</w:t>
      </w:r>
      <w:r w:rsidR="008149EF" w:rsidRPr="001A3028">
        <w:rPr>
          <w:rStyle w:val="FootnoteReference"/>
          <w:sz w:val="22"/>
        </w:rPr>
        <w:footnoteReference w:id="60"/>
      </w:r>
      <w:r w:rsidR="00862A08" w:rsidRPr="00B7142D">
        <w:t xml:space="preserve">  Although these stations would not be protected in the repacking process, the Commission stated that </w:t>
      </w:r>
      <w:r w:rsidR="00325E9C">
        <w:t xml:space="preserve">these stations, </w:t>
      </w:r>
      <w:r w:rsidR="00862A08" w:rsidRPr="00B7142D">
        <w:t xml:space="preserve">if displaced, would be permitted to file a displacement application for a new channel during one of the filing opportunities for reassigned full power and Class </w:t>
      </w:r>
      <w:proofErr w:type="gramStart"/>
      <w:r w:rsidR="00862A08" w:rsidRPr="00B7142D">
        <w:t>A</w:t>
      </w:r>
      <w:proofErr w:type="gramEnd"/>
      <w:r w:rsidR="00862A08" w:rsidRPr="00B7142D">
        <w:t xml:space="preserve"> stations to file for </w:t>
      </w:r>
      <w:r w:rsidR="00862A08" w:rsidRPr="00B7142D">
        <w:lastRenderedPageBreak/>
        <w:t>alternate channels.</w:t>
      </w:r>
      <w:r w:rsidR="00862A08" w:rsidRPr="001A3028">
        <w:rPr>
          <w:rStyle w:val="FootnoteReference"/>
          <w:sz w:val="22"/>
        </w:rPr>
        <w:footnoteReference w:id="61"/>
      </w:r>
    </w:p>
    <w:p w14:paraId="2F87F5DA" w14:textId="77777777" w:rsidR="00B96626" w:rsidRPr="00354689" w:rsidRDefault="00B96626" w:rsidP="0008697D">
      <w:pPr>
        <w:pStyle w:val="ParaNum"/>
        <w:rPr>
          <w:highlight w:val="yellow"/>
        </w:rPr>
      </w:pPr>
      <w:r w:rsidRPr="00B7142D">
        <w:t xml:space="preserve">We tentatively conclude that the vacant channel demonstration </w:t>
      </w:r>
      <w:r w:rsidR="002024B6">
        <w:t xml:space="preserve">requirement </w:t>
      </w:r>
      <w:r w:rsidRPr="00B7142D">
        <w:t xml:space="preserve">should apply to Class </w:t>
      </w:r>
      <w:proofErr w:type="gramStart"/>
      <w:r w:rsidRPr="00B7142D">
        <w:t>A</w:t>
      </w:r>
      <w:proofErr w:type="gramEnd"/>
      <w:r w:rsidRPr="00B7142D">
        <w:t xml:space="preserve"> television station modification applications filed after the end of the Post-Auction Transition Period.  </w:t>
      </w:r>
      <w:r w:rsidR="002024B6">
        <w:t>T</w:t>
      </w:r>
      <w:r w:rsidRPr="00B7142D">
        <w:t xml:space="preserve">he transition-related concerns noted above should no longer be an obstacle after the end of the transition.  </w:t>
      </w:r>
      <w:r w:rsidR="002024B6">
        <w:t>Moreover</w:t>
      </w:r>
      <w:r w:rsidRPr="00B7142D">
        <w:t xml:space="preserve">, </w:t>
      </w:r>
      <w:r w:rsidR="005B49E2">
        <w:t>a</w:t>
      </w:r>
      <w:r w:rsidR="005B49E2" w:rsidRPr="00B7142D">
        <w:t>s compared to full power stations, a proposed modification of a Class A station has increased potential to impact the availability of the last remaining vacant channel in an area.</w:t>
      </w:r>
      <w:r w:rsidR="00F4564E">
        <w:rPr>
          <w:rStyle w:val="FootnoteReference"/>
        </w:rPr>
        <w:footnoteReference w:id="62"/>
      </w:r>
      <w:r w:rsidR="005B49E2" w:rsidRPr="00B7142D">
        <w:t xml:space="preserve">  While full power stations may radiate up to 1000 kilowatts power, Class A stations may radiate only at a maximum operating power of 15 kilowatts, the same as for LPTV and TV translator stations.</w:t>
      </w:r>
      <w:r w:rsidR="00F4564E">
        <w:rPr>
          <w:rStyle w:val="FootnoteReference"/>
        </w:rPr>
        <w:footnoteReference w:id="63"/>
      </w:r>
      <w:r w:rsidR="005B49E2" w:rsidRPr="00B7142D">
        <w:t xml:space="preserve">  Because their coverage areas, like those of LPTV and TV translator stations, are significantly smaller than those of full power television stations, these low power stations can engineer facilities in the unused spectrum between full power stations.</w:t>
      </w:r>
      <w:r w:rsidRPr="00B7142D">
        <w:t xml:space="preserve">  Thus, </w:t>
      </w:r>
      <w:r w:rsidR="00A55A9A" w:rsidRPr="00B7142D">
        <w:t xml:space="preserve">we believe that </w:t>
      </w:r>
      <w:r w:rsidRPr="00B7142D">
        <w:t xml:space="preserve">exempting post-transition Class A television station modification applications from the vacant channel demonstration </w:t>
      </w:r>
      <w:r w:rsidR="002024B6">
        <w:t xml:space="preserve">is not warranted to accomplish our post-auction transition goals and </w:t>
      </w:r>
      <w:r w:rsidRPr="00B7142D">
        <w:t>would</w:t>
      </w:r>
      <w:r w:rsidR="002024B6">
        <w:t xml:space="preserve"> unduly</w:t>
      </w:r>
      <w:r w:rsidRPr="00B7142D">
        <w:t xml:space="preserve"> </w:t>
      </w:r>
      <w:r w:rsidR="00A55A9A" w:rsidRPr="00B7142D">
        <w:t>i</w:t>
      </w:r>
      <w:r w:rsidRPr="00B7142D">
        <w:t xml:space="preserve">mpede </w:t>
      </w:r>
      <w:r w:rsidR="00A55A9A" w:rsidRPr="00B7142D">
        <w:t xml:space="preserve">our </w:t>
      </w:r>
      <w:r w:rsidRPr="00B7142D">
        <w:t xml:space="preserve">goal of preserving a vacant channel for </w:t>
      </w:r>
      <w:r w:rsidR="00A32D71">
        <w:t xml:space="preserve">white space devices and </w:t>
      </w:r>
      <w:r w:rsidRPr="00B7142D">
        <w:t>wireless microphones.</w:t>
      </w:r>
      <w:r w:rsidR="0057441B">
        <w:t xml:space="preserve"> </w:t>
      </w:r>
      <w:r w:rsidR="0008697D" w:rsidRPr="0008697D">
        <w:t xml:space="preserve">We recognize that some Class A television stations with construction deadlines at or near the end of the transition may discover after the 39-month deadline that they need to make further modifications to their repacked facilities in order to continue serving their viewers.  </w:t>
      </w:r>
      <w:r w:rsidR="0008697D" w:rsidRPr="00354689">
        <w:rPr>
          <w:highlight w:val="yellow"/>
        </w:rPr>
        <w:t xml:space="preserve">We seek </w:t>
      </w:r>
      <w:r w:rsidR="0008697D" w:rsidRPr="00354689">
        <w:rPr>
          <w:highlight w:val="green"/>
        </w:rPr>
        <w:t>comment</w:t>
      </w:r>
      <w:r w:rsidR="0008697D" w:rsidRPr="00354689">
        <w:rPr>
          <w:highlight w:val="yellow"/>
        </w:rPr>
        <w:t xml:space="preserve"> whether such stations should be allowed not to make the vacant channel demonstration if they instead make a showing that the modification is necessary to preserve their coverage area and population served and is necessitated by circumstances that were unforeseeable and outside of the stations’ control. </w:t>
      </w:r>
      <w:r w:rsidR="0008697D" w:rsidRPr="00354689">
        <w:rPr>
          <w:highlight w:val="green"/>
        </w:rPr>
        <w:t xml:space="preserve">We seek comment </w:t>
      </w:r>
      <w:r w:rsidR="0008697D" w:rsidRPr="00354689">
        <w:rPr>
          <w:highlight w:val="yellow"/>
        </w:rPr>
        <w:t>on other alternatives as well.</w:t>
      </w:r>
    </w:p>
    <w:p w14:paraId="0DEF7554" w14:textId="77777777" w:rsidR="00A312AA" w:rsidRPr="00354689" w:rsidRDefault="00A312AA" w:rsidP="0008697D">
      <w:pPr>
        <w:pStyle w:val="ParaNum"/>
        <w:rPr>
          <w:highlight w:val="yellow"/>
        </w:rPr>
      </w:pPr>
      <w:r w:rsidRPr="00354689">
        <w:rPr>
          <w:highlight w:val="yellow"/>
        </w:rPr>
        <w:t xml:space="preserve">We tentatively conclude that we have authority to adopt the </w:t>
      </w:r>
      <w:r w:rsidR="00E11B01" w:rsidRPr="00354689">
        <w:rPr>
          <w:highlight w:val="yellow"/>
        </w:rPr>
        <w:t xml:space="preserve">foregoing </w:t>
      </w:r>
      <w:r w:rsidRPr="00354689">
        <w:rPr>
          <w:highlight w:val="yellow"/>
        </w:rPr>
        <w:t xml:space="preserve">proposals </w:t>
      </w:r>
      <w:r w:rsidR="00E11B01" w:rsidRPr="00354689">
        <w:rPr>
          <w:highlight w:val="yellow"/>
        </w:rPr>
        <w:t>related</w:t>
      </w:r>
      <w:r w:rsidRPr="00354689">
        <w:rPr>
          <w:highlight w:val="yellow"/>
        </w:rPr>
        <w:t xml:space="preserve"> to Class </w:t>
      </w:r>
      <w:proofErr w:type="gramStart"/>
      <w:r w:rsidRPr="00354689">
        <w:rPr>
          <w:highlight w:val="yellow"/>
        </w:rPr>
        <w:t>A</w:t>
      </w:r>
      <w:proofErr w:type="gramEnd"/>
      <w:r w:rsidRPr="00354689">
        <w:rPr>
          <w:highlight w:val="yellow"/>
        </w:rPr>
        <w:t xml:space="preserve"> stations.  As discussed above, the Commission has broad authority to manage spectrum in the public interest, including the actions we propose in this Notice to preserve a vacant channel for </w:t>
      </w:r>
      <w:r w:rsidR="00A32D71" w:rsidRPr="00354689">
        <w:rPr>
          <w:highlight w:val="yellow"/>
        </w:rPr>
        <w:t xml:space="preserve">white space devices and </w:t>
      </w:r>
      <w:r w:rsidRPr="00354689">
        <w:rPr>
          <w:highlight w:val="yellow"/>
        </w:rPr>
        <w:t>wireless microphones.</w:t>
      </w:r>
      <w:r w:rsidRPr="00354689">
        <w:rPr>
          <w:rStyle w:val="FootnoteReference"/>
          <w:sz w:val="22"/>
          <w:highlight w:val="yellow"/>
        </w:rPr>
        <w:footnoteReference w:id="64"/>
      </w:r>
      <w:r w:rsidRPr="00354689">
        <w:rPr>
          <w:highlight w:val="yellow"/>
        </w:rPr>
        <w:t xml:space="preserve">  We also note that, unlike with LPTV and TV translators, section 6403(b)(5) has no bearing on Class </w:t>
      </w:r>
      <w:proofErr w:type="gramStart"/>
      <w:r w:rsidRPr="00354689">
        <w:rPr>
          <w:highlight w:val="yellow"/>
        </w:rPr>
        <w:t>A</w:t>
      </w:r>
      <w:proofErr w:type="gramEnd"/>
      <w:r w:rsidRPr="00354689">
        <w:rPr>
          <w:highlight w:val="yellow"/>
        </w:rPr>
        <w:t xml:space="preserve"> stations.</w:t>
      </w:r>
      <w:r w:rsidRPr="00354689">
        <w:rPr>
          <w:rStyle w:val="FootnoteReference"/>
          <w:sz w:val="22"/>
          <w:highlight w:val="yellow"/>
        </w:rPr>
        <w:footnoteReference w:id="65"/>
      </w:r>
      <w:r w:rsidR="0008697D" w:rsidRPr="00354689">
        <w:rPr>
          <w:highlight w:val="yellow"/>
        </w:rPr>
        <w:t xml:space="preserve">  We </w:t>
      </w:r>
      <w:r w:rsidR="0008697D" w:rsidRPr="00354689">
        <w:rPr>
          <w:highlight w:val="green"/>
        </w:rPr>
        <w:t xml:space="preserve">seek comment </w:t>
      </w:r>
      <w:r w:rsidR="0008697D" w:rsidRPr="00354689">
        <w:rPr>
          <w:highlight w:val="yellow"/>
        </w:rPr>
        <w:t>on this analysis.</w:t>
      </w:r>
    </w:p>
    <w:p w14:paraId="3674D5C8" w14:textId="77777777" w:rsidR="00DC2511" w:rsidRPr="00B7142D" w:rsidRDefault="00DC2511" w:rsidP="006C5F06">
      <w:pPr>
        <w:pStyle w:val="ParaNum"/>
      </w:pPr>
      <w:r w:rsidRPr="00354689">
        <w:rPr>
          <w:highlight w:val="yellow"/>
        </w:rPr>
        <w:t xml:space="preserve">We </w:t>
      </w:r>
      <w:r w:rsidR="00742B0D" w:rsidRPr="00354689">
        <w:rPr>
          <w:highlight w:val="yellow"/>
        </w:rPr>
        <w:t xml:space="preserve">also </w:t>
      </w:r>
      <w:r w:rsidRPr="00354689">
        <w:rPr>
          <w:highlight w:val="green"/>
        </w:rPr>
        <w:t xml:space="preserve">seek comment </w:t>
      </w:r>
      <w:r w:rsidRPr="00354689">
        <w:rPr>
          <w:highlight w:val="yellow"/>
        </w:rPr>
        <w:t xml:space="preserve">on whether to amend our rules </w:t>
      </w:r>
      <w:r w:rsidR="009D3D8F" w:rsidRPr="00354689">
        <w:rPr>
          <w:highlight w:val="yellow"/>
        </w:rPr>
        <w:t xml:space="preserve">to permit </w:t>
      </w:r>
      <w:r w:rsidRPr="00354689">
        <w:rPr>
          <w:highlight w:val="yellow"/>
        </w:rPr>
        <w:t xml:space="preserve">Class A television stations </w:t>
      </w:r>
      <w:r w:rsidR="009D3D8F" w:rsidRPr="00354689">
        <w:rPr>
          <w:highlight w:val="yellow"/>
        </w:rPr>
        <w:t xml:space="preserve">to </w:t>
      </w:r>
      <w:r w:rsidRPr="00354689">
        <w:rPr>
          <w:highlight w:val="yellow"/>
        </w:rPr>
        <w:t>displace previously authorized or proposed LPTV and TV translator stations</w:t>
      </w:r>
      <w:r w:rsidR="009D3D8F" w:rsidRPr="00354689">
        <w:rPr>
          <w:highlight w:val="yellow"/>
        </w:rPr>
        <w:t xml:space="preserve"> where necessary to </w:t>
      </w:r>
      <w:r w:rsidR="00325E9C" w:rsidRPr="00354689">
        <w:rPr>
          <w:highlight w:val="yellow"/>
        </w:rPr>
        <w:t xml:space="preserve">satisfy the </w:t>
      </w:r>
      <w:r w:rsidR="009D3D8F" w:rsidRPr="00354689">
        <w:rPr>
          <w:highlight w:val="yellow"/>
        </w:rPr>
        <w:t xml:space="preserve">vacant channel </w:t>
      </w:r>
      <w:r w:rsidR="00325E9C" w:rsidRPr="00354689">
        <w:rPr>
          <w:highlight w:val="yellow"/>
        </w:rPr>
        <w:t>demonstration</w:t>
      </w:r>
      <w:r w:rsidR="00E11B01" w:rsidRPr="00354689">
        <w:rPr>
          <w:highlight w:val="yellow"/>
        </w:rPr>
        <w:t xml:space="preserve"> requirement</w:t>
      </w:r>
      <w:r w:rsidRPr="00354689">
        <w:rPr>
          <w:highlight w:val="yellow"/>
        </w:rPr>
        <w:t xml:space="preserve">.  </w:t>
      </w:r>
      <w:r w:rsidR="008A544D" w:rsidRPr="00354689">
        <w:rPr>
          <w:highlight w:val="yellow"/>
        </w:rPr>
        <w:t xml:space="preserve">Section 336(f)(7)(B) of the </w:t>
      </w:r>
      <w:r w:rsidR="008B48B0" w:rsidRPr="00354689">
        <w:rPr>
          <w:highlight w:val="yellow"/>
        </w:rPr>
        <w:t xml:space="preserve">Communications Act </w:t>
      </w:r>
      <w:r w:rsidR="00973350" w:rsidRPr="00354689">
        <w:rPr>
          <w:highlight w:val="yellow"/>
        </w:rPr>
        <w:t>provide</w:t>
      </w:r>
      <w:r w:rsidR="005728A6" w:rsidRPr="00354689">
        <w:rPr>
          <w:highlight w:val="yellow"/>
        </w:rPr>
        <w:t>s</w:t>
      </w:r>
      <w:r w:rsidR="00973350" w:rsidRPr="00354689">
        <w:rPr>
          <w:highlight w:val="yellow"/>
        </w:rPr>
        <w:t xml:space="preserve"> that a Class A station may not cause “</w:t>
      </w:r>
      <w:r w:rsidR="00BB114D" w:rsidRPr="00354689">
        <w:rPr>
          <w:highlight w:val="yellow"/>
        </w:rPr>
        <w:t>interference</w:t>
      </w:r>
      <w:r w:rsidR="00973350" w:rsidRPr="00354689">
        <w:rPr>
          <w:highlight w:val="yellow"/>
        </w:rPr>
        <w:t>” to a previously authorized or proposed LPTV or TV translator station</w:t>
      </w:r>
      <w:r w:rsidR="00BB114D" w:rsidRPr="00354689">
        <w:rPr>
          <w:highlight w:val="yellow"/>
        </w:rPr>
        <w:t>.</w:t>
      </w:r>
      <w:r w:rsidRPr="00354689">
        <w:rPr>
          <w:rStyle w:val="FootnoteReference"/>
          <w:sz w:val="22"/>
          <w:highlight w:val="yellow"/>
        </w:rPr>
        <w:footnoteReference w:id="66"/>
      </w:r>
      <w:r w:rsidRPr="00B7142D">
        <w:t xml:space="preserve">  </w:t>
      </w:r>
      <w:r w:rsidR="008A544D" w:rsidRPr="00B7142D">
        <w:t>I</w:t>
      </w:r>
      <w:r w:rsidRPr="00B7142D">
        <w:t>t is possible that a proposed Class A modification would comply with th</w:t>
      </w:r>
      <w:r w:rsidR="008A544D" w:rsidRPr="00B7142D">
        <w:t xml:space="preserve">is requirement because it </w:t>
      </w:r>
      <w:r w:rsidR="00E11B01">
        <w:t>would</w:t>
      </w:r>
      <w:r w:rsidR="008A544D" w:rsidRPr="00B7142D">
        <w:t xml:space="preserve"> not cause “interference” to </w:t>
      </w:r>
      <w:r w:rsidRPr="00B7142D">
        <w:t xml:space="preserve">a </w:t>
      </w:r>
      <w:r w:rsidR="008A544D" w:rsidRPr="00B7142D">
        <w:t xml:space="preserve">previously authorized or proposed </w:t>
      </w:r>
      <w:r w:rsidRPr="00B7142D">
        <w:t xml:space="preserve">LPTV </w:t>
      </w:r>
      <w:r w:rsidRPr="00B7142D">
        <w:lastRenderedPageBreak/>
        <w:t>or TV translator facility</w:t>
      </w:r>
      <w:r w:rsidR="008A544D" w:rsidRPr="00B7142D">
        <w:t>,</w:t>
      </w:r>
      <w:r w:rsidR="003A138C" w:rsidRPr="00B7142D">
        <w:t xml:space="preserve"> but </w:t>
      </w:r>
      <w:r w:rsidR="008A544D" w:rsidRPr="00B7142D">
        <w:t xml:space="preserve">it would eliminate </w:t>
      </w:r>
      <w:r w:rsidR="003A138C" w:rsidRPr="00B7142D">
        <w:t>the last remaining vacant channel in an area</w:t>
      </w:r>
      <w:r w:rsidR="005409EC" w:rsidRPr="00B7142D">
        <w:t>.</w:t>
      </w:r>
      <w:r w:rsidR="00AB17D8" w:rsidRPr="00B7142D">
        <w:t xml:space="preserve">  </w:t>
      </w:r>
      <w:r w:rsidR="00E11B01">
        <w:t>Under such circumstances</w:t>
      </w:r>
      <w:r w:rsidR="00BB114D" w:rsidRPr="00B7142D">
        <w:t xml:space="preserve">, should </w:t>
      </w:r>
      <w:r w:rsidR="00E11B01">
        <w:t xml:space="preserve">we </w:t>
      </w:r>
      <w:r w:rsidR="00BB114D" w:rsidRPr="00B7142D">
        <w:t xml:space="preserve">amend our rules to </w:t>
      </w:r>
      <w:r w:rsidR="00E11B01">
        <w:t xml:space="preserve">allow a Class </w:t>
      </w:r>
      <w:proofErr w:type="gramStart"/>
      <w:r w:rsidR="00E11B01">
        <w:t>A</w:t>
      </w:r>
      <w:proofErr w:type="gramEnd"/>
      <w:r w:rsidR="00E11B01">
        <w:t xml:space="preserve"> modification proposal to displace</w:t>
      </w:r>
      <w:r w:rsidRPr="00B7142D">
        <w:t xml:space="preserve"> an LPTV or TV translator station </w:t>
      </w:r>
      <w:r w:rsidR="001D1FA0" w:rsidRPr="00B7142D">
        <w:t>in order to preserve a vacant channel in an area</w:t>
      </w:r>
      <w:r w:rsidR="00962D42" w:rsidRPr="00B7142D">
        <w:t xml:space="preserve"> for use by </w:t>
      </w:r>
      <w:r w:rsidR="00A32D71">
        <w:t xml:space="preserve">white space devices and </w:t>
      </w:r>
      <w:r w:rsidR="00962D42" w:rsidRPr="00B7142D">
        <w:t>wireless microphones</w:t>
      </w:r>
      <w:r w:rsidR="00E11B01">
        <w:t>?</w:t>
      </w:r>
      <w:r w:rsidR="008A1302" w:rsidRPr="00B7142D">
        <w:t xml:space="preserve">  </w:t>
      </w:r>
      <w:r w:rsidR="00325E9C" w:rsidRPr="00354689">
        <w:rPr>
          <w:highlight w:val="yellow"/>
        </w:rPr>
        <w:t xml:space="preserve">We also </w:t>
      </w:r>
      <w:r w:rsidR="00325E9C" w:rsidRPr="00354689">
        <w:rPr>
          <w:highlight w:val="green"/>
        </w:rPr>
        <w:t xml:space="preserve">seek comment </w:t>
      </w:r>
      <w:r w:rsidR="00325E9C" w:rsidRPr="00354689">
        <w:rPr>
          <w:highlight w:val="yellow"/>
        </w:rPr>
        <w:t xml:space="preserve">on how to choose between </w:t>
      </w:r>
      <w:r w:rsidR="00DF0D5E" w:rsidRPr="00354689">
        <w:rPr>
          <w:highlight w:val="yellow"/>
        </w:rPr>
        <w:t xml:space="preserve">LPTV </w:t>
      </w:r>
      <w:proofErr w:type="gramStart"/>
      <w:r w:rsidR="00DF0D5E" w:rsidRPr="00354689">
        <w:rPr>
          <w:highlight w:val="yellow"/>
        </w:rPr>
        <w:t>or</w:t>
      </w:r>
      <w:proofErr w:type="gramEnd"/>
      <w:r w:rsidR="00DF0D5E" w:rsidRPr="00354689">
        <w:rPr>
          <w:highlight w:val="yellow"/>
        </w:rPr>
        <w:t xml:space="preserve"> TV translator stations</w:t>
      </w:r>
      <w:r w:rsidR="00325E9C" w:rsidRPr="00354689">
        <w:rPr>
          <w:highlight w:val="yellow"/>
        </w:rPr>
        <w:t xml:space="preserve"> to be displaced in </w:t>
      </w:r>
      <w:r w:rsidR="009A70C4" w:rsidRPr="00354689">
        <w:rPr>
          <w:highlight w:val="yellow"/>
        </w:rPr>
        <w:t>a</w:t>
      </w:r>
      <w:r w:rsidR="00325E9C" w:rsidRPr="00354689">
        <w:rPr>
          <w:highlight w:val="yellow"/>
        </w:rPr>
        <w:t xml:space="preserve"> situation where there is more than one </w:t>
      </w:r>
      <w:r w:rsidR="00DF0D5E" w:rsidRPr="00354689">
        <w:rPr>
          <w:highlight w:val="yellow"/>
        </w:rPr>
        <w:t>LPTV or TV translator station</w:t>
      </w:r>
      <w:r w:rsidR="00325E9C" w:rsidRPr="00354689">
        <w:rPr>
          <w:highlight w:val="yellow"/>
        </w:rPr>
        <w:t xml:space="preserve"> that, if displaced, </w:t>
      </w:r>
      <w:r w:rsidR="009A70C4" w:rsidRPr="00354689">
        <w:rPr>
          <w:highlight w:val="yellow"/>
        </w:rPr>
        <w:t>w</w:t>
      </w:r>
      <w:r w:rsidR="00325E9C" w:rsidRPr="00354689">
        <w:rPr>
          <w:highlight w:val="yellow"/>
        </w:rPr>
        <w:t>ould satisfy the vacant channel demonstration</w:t>
      </w:r>
      <w:r w:rsidR="00DF0D5E" w:rsidRPr="00354689">
        <w:rPr>
          <w:highlight w:val="yellow"/>
        </w:rPr>
        <w:t>.</w:t>
      </w:r>
    </w:p>
    <w:p w14:paraId="3B3A3153" w14:textId="77777777" w:rsidR="006D30D9" w:rsidRPr="00B7142D" w:rsidRDefault="006D30D9" w:rsidP="006C5F06">
      <w:pPr>
        <w:pStyle w:val="Heading3"/>
      </w:pPr>
      <w:bookmarkStart w:id="47" w:name="_Toc409784118"/>
      <w:r w:rsidRPr="00B7142D">
        <w:t>Full Power Television Stations</w:t>
      </w:r>
      <w:bookmarkEnd w:id="47"/>
      <w:r w:rsidRPr="00B7142D">
        <w:t xml:space="preserve">  </w:t>
      </w:r>
    </w:p>
    <w:p w14:paraId="4283048F" w14:textId="77777777" w:rsidR="006D30D9" w:rsidRPr="00354689" w:rsidRDefault="006D30D9" w:rsidP="006C5F06">
      <w:pPr>
        <w:pStyle w:val="ParaNum"/>
        <w:rPr>
          <w:highlight w:val="yellow"/>
        </w:rPr>
      </w:pPr>
      <w:r w:rsidRPr="00354689">
        <w:rPr>
          <w:highlight w:val="yellow"/>
        </w:rPr>
        <w:t xml:space="preserve">We tentatively conclude that the vacant channel demonstration should not apply to applications for modified full power television station licenses filed during the 39-month Post-Auction Transition Period, but seek comment on whether it should apply to full power modification applications filed after the end of this period.  We also </w:t>
      </w:r>
      <w:r w:rsidRPr="00354689">
        <w:rPr>
          <w:highlight w:val="green"/>
        </w:rPr>
        <w:t xml:space="preserve">seek comment </w:t>
      </w:r>
      <w:r w:rsidRPr="00354689">
        <w:rPr>
          <w:highlight w:val="yellow"/>
        </w:rPr>
        <w:t>on whether the vacant channel demonstration should apply to full power allotment proceedings</w:t>
      </w:r>
      <w:r w:rsidR="00FE4ED2" w:rsidRPr="00354689">
        <w:rPr>
          <w:highlight w:val="yellow"/>
        </w:rPr>
        <w:t>.</w:t>
      </w:r>
      <w:r w:rsidRPr="00354689" w:rsidDel="00AC3C38">
        <w:rPr>
          <w:highlight w:val="yellow"/>
        </w:rPr>
        <w:t xml:space="preserve"> </w:t>
      </w:r>
    </w:p>
    <w:p w14:paraId="3752BFC3" w14:textId="77777777" w:rsidR="006D30D9" w:rsidRPr="00B7142D" w:rsidRDefault="006D30D9" w:rsidP="006C5F06">
      <w:pPr>
        <w:pStyle w:val="Heading4"/>
      </w:pPr>
      <w:bookmarkStart w:id="48" w:name="_Toc409784119"/>
      <w:r w:rsidRPr="00B7142D">
        <w:t>Modifications</w:t>
      </w:r>
      <w:bookmarkEnd w:id="48"/>
    </w:p>
    <w:p w14:paraId="7C935F32" w14:textId="77777777" w:rsidR="006D30D9" w:rsidRPr="00B7142D" w:rsidRDefault="006D30D9" w:rsidP="006C5F06">
      <w:pPr>
        <w:pStyle w:val="ParaNum"/>
      </w:pPr>
      <w:r w:rsidRPr="00B7142D">
        <w:t>We believe that there is only a small likelihood that a proposal by a full power licensee to modify its facilities that complies with our technical rules would eliminate the last remaining vacant channel in an area.</w:t>
      </w:r>
      <w:r w:rsidRPr="001A3028">
        <w:rPr>
          <w:rStyle w:val="FootnoteReference"/>
          <w:sz w:val="22"/>
        </w:rPr>
        <w:footnoteReference w:id="67"/>
      </w:r>
      <w:r w:rsidRPr="00B7142D">
        <w:t xml:space="preserve">  In order to avoid interference to co- and adjacent channel stations, full power stations must comply with certain technical </w:t>
      </w:r>
      <w:proofErr w:type="gramStart"/>
      <w:r w:rsidRPr="00B7142D">
        <w:t>provisions which</w:t>
      </w:r>
      <w:proofErr w:type="gramEnd"/>
      <w:r w:rsidRPr="00B7142D">
        <w:t xml:space="preserve"> </w:t>
      </w:r>
      <w:r w:rsidR="0062021A">
        <w:t>prevent</w:t>
      </w:r>
      <w:r w:rsidRPr="00B7142D">
        <w:t xml:space="preserve"> the operation of a full power television station on certain channels </w:t>
      </w:r>
      <w:r w:rsidR="0062021A">
        <w:t>in geographic areas</w:t>
      </w:r>
      <w:r w:rsidRPr="00B7142D">
        <w:t>.</w:t>
      </w:r>
      <w:r w:rsidRPr="001A3028">
        <w:rPr>
          <w:rStyle w:val="FootnoteReference"/>
          <w:sz w:val="22"/>
        </w:rPr>
        <w:footnoteReference w:id="68"/>
      </w:r>
      <w:r w:rsidRPr="00B7142D">
        <w:t xml:space="preserve">  Because the Spectrum Act requires the Commission in reorganizing the television bands to “make all reasonable efforts to preserve, as of [February 22, 2012], the coverage area and population served of” full power television stations,</w:t>
      </w:r>
      <w:r w:rsidRPr="001A3028">
        <w:rPr>
          <w:rStyle w:val="FootnoteReference"/>
          <w:sz w:val="22"/>
        </w:rPr>
        <w:footnoteReference w:id="69"/>
      </w:r>
      <w:r w:rsidRPr="00B7142D">
        <w:t xml:space="preserve"> these vacant channels will continue to be necessary after repacking to avoid interference between full power television stations.</w:t>
      </w:r>
      <w:r w:rsidRPr="00B7142D" w:rsidDel="0062021A">
        <w:t xml:space="preserve">  Moreover, in many areas of the country, channels that were technically available for television use were never allotted to communities for such use</w:t>
      </w:r>
      <w:r w:rsidR="00E13129">
        <w:t xml:space="preserve"> and are thus vacant</w:t>
      </w:r>
      <w:r w:rsidRPr="00B7142D" w:rsidDel="0062021A">
        <w:t xml:space="preserve">.  </w:t>
      </w:r>
    </w:p>
    <w:p w14:paraId="3CB80CAE" w14:textId="77777777" w:rsidR="006D30D9" w:rsidRPr="00B7142D" w:rsidRDefault="006D30D9" w:rsidP="002D2631">
      <w:pPr>
        <w:pStyle w:val="ParaNum"/>
        <w:widowControl/>
      </w:pPr>
      <w:r w:rsidRPr="00B7142D">
        <w:t xml:space="preserve">We tentatively conclude that the vacant channel demonstration </w:t>
      </w:r>
      <w:r w:rsidR="0062021A">
        <w:t xml:space="preserve">requirement </w:t>
      </w:r>
      <w:r w:rsidRPr="00B7142D">
        <w:t xml:space="preserve">should not apply to applications for modified full power television station licenses filed during the 39-month Post-Auction Transition Period, including modification applications filed by stations that were not assigned a new channel in the reverse auction or repacking process.  As discussed above in connection with Class A stations, </w:t>
      </w:r>
      <w:r w:rsidR="009B3229">
        <w:t>exempting</w:t>
      </w:r>
      <w:r w:rsidR="009B3229" w:rsidRPr="00B7142D">
        <w:t xml:space="preserve"> </w:t>
      </w:r>
      <w:r w:rsidR="009B3229">
        <w:t xml:space="preserve">full power </w:t>
      </w:r>
      <w:r w:rsidR="009B3229" w:rsidRPr="00B7142D">
        <w:t xml:space="preserve">stations </w:t>
      </w:r>
      <w:r w:rsidR="009B3229">
        <w:t xml:space="preserve">from </w:t>
      </w:r>
      <w:r w:rsidR="009B3229" w:rsidRPr="00B7142D">
        <w:t xml:space="preserve">the vacant channel demonstration during the transition period </w:t>
      </w:r>
      <w:r w:rsidR="009B3229">
        <w:t xml:space="preserve">will </w:t>
      </w:r>
      <w:r w:rsidRPr="00B7142D">
        <w:t>facilitate a rapid, non-disruptive transition</w:t>
      </w:r>
      <w:r w:rsidR="00E13129">
        <w:t xml:space="preserve"> by </w:t>
      </w:r>
      <w:r w:rsidR="009B3229">
        <w:t>maximizing stations’ flexibility to propose expanded facilities and alternative channels, as well as by</w:t>
      </w:r>
      <w:r w:rsidR="009B3229" w:rsidRPr="00B7142D">
        <w:t xml:space="preserve"> </w:t>
      </w:r>
      <w:r w:rsidR="00E13129">
        <w:t xml:space="preserve">permitting stations to coordinate </w:t>
      </w:r>
      <w:r w:rsidR="00E77F2E">
        <w:t>modification of facilities</w:t>
      </w:r>
      <w:r w:rsidRPr="00B7142D">
        <w:t>.</w:t>
      </w:r>
      <w:r w:rsidRPr="001A3028">
        <w:rPr>
          <w:rStyle w:val="FootnoteReference"/>
          <w:sz w:val="22"/>
        </w:rPr>
        <w:footnoteReference w:id="70"/>
      </w:r>
      <w:r w:rsidRPr="00B7142D">
        <w:t xml:space="preserve">  </w:t>
      </w:r>
      <w:r w:rsidR="00CA4862">
        <w:t>In addition, a</w:t>
      </w:r>
      <w:r w:rsidRPr="00B7142D">
        <w:t xml:space="preserve">s with Class A stations, </w:t>
      </w:r>
      <w:r w:rsidR="0062021A">
        <w:t xml:space="preserve">applying the proposed requirement to full power stations would </w:t>
      </w:r>
      <w:r w:rsidRPr="00B7142D">
        <w:t>delay the</w:t>
      </w:r>
      <w:r w:rsidR="0062021A">
        <w:t>ir</w:t>
      </w:r>
      <w:r w:rsidRPr="00B7142D">
        <w:t xml:space="preserve"> filing of applications for alternate channels and expanded facilities until final data on vacant channels is available</w:t>
      </w:r>
      <w:r w:rsidR="0062021A">
        <w:t>,</w:t>
      </w:r>
      <w:r w:rsidRPr="00B7142D">
        <w:t xml:space="preserve"> thereby impeding the goal of a rapid and non-disruptive 600 MHz band transition, and undermining their ability to obtain reimbursement of eligible costs within the</w:t>
      </w:r>
      <w:r w:rsidR="0062021A">
        <w:t xml:space="preserve"> statutory</w:t>
      </w:r>
      <w:r w:rsidRPr="00B7142D">
        <w:t xml:space="preserve"> three-year reimbursement period.</w:t>
      </w:r>
      <w:r w:rsidRPr="001A3028">
        <w:rPr>
          <w:rStyle w:val="FootnoteReference"/>
          <w:sz w:val="22"/>
        </w:rPr>
        <w:footnoteReference w:id="71"/>
      </w:r>
    </w:p>
    <w:p w14:paraId="7BCB5170" w14:textId="77777777" w:rsidR="006D30D9" w:rsidRPr="00344672" w:rsidRDefault="006D30D9" w:rsidP="0008697D">
      <w:pPr>
        <w:pStyle w:val="ParaNum"/>
        <w:rPr>
          <w:highlight w:val="yellow"/>
        </w:rPr>
      </w:pPr>
      <w:r w:rsidRPr="00354689">
        <w:rPr>
          <w:highlight w:val="yellow"/>
        </w:rPr>
        <w:t xml:space="preserve">We </w:t>
      </w:r>
      <w:r w:rsidRPr="00354689">
        <w:rPr>
          <w:highlight w:val="green"/>
        </w:rPr>
        <w:t xml:space="preserve">seek comment </w:t>
      </w:r>
      <w:r w:rsidRPr="00354689">
        <w:rPr>
          <w:highlight w:val="yellow"/>
        </w:rPr>
        <w:t xml:space="preserve">on whether the vacant channel demonstration should apply to full power television station modification applications filed after the end of the Post-Auction Transition Period.  On one hand, the transition-related concerns noted above </w:t>
      </w:r>
      <w:r w:rsidR="0062021A" w:rsidRPr="00354689">
        <w:rPr>
          <w:highlight w:val="yellow"/>
        </w:rPr>
        <w:t>will</w:t>
      </w:r>
      <w:r w:rsidRPr="00354689">
        <w:rPr>
          <w:highlight w:val="yellow"/>
        </w:rPr>
        <w:t xml:space="preserve"> no longer </w:t>
      </w:r>
      <w:r w:rsidR="0062021A" w:rsidRPr="00354689">
        <w:rPr>
          <w:highlight w:val="yellow"/>
        </w:rPr>
        <w:t>apply</w:t>
      </w:r>
      <w:r w:rsidRPr="00354689">
        <w:rPr>
          <w:highlight w:val="yellow"/>
        </w:rPr>
        <w:t>.</w:t>
      </w:r>
      <w:r w:rsidRPr="00B7142D">
        <w:t xml:space="preserve">  On the other hand, </w:t>
      </w:r>
      <w:r w:rsidR="00227BAE">
        <w:t xml:space="preserve">we recognize </w:t>
      </w:r>
      <w:r w:rsidR="005038F7">
        <w:t xml:space="preserve">full power television </w:t>
      </w:r>
      <w:r w:rsidR="00227BAE">
        <w:t xml:space="preserve">may need to modify their facilities from time to time in order to </w:t>
      </w:r>
      <w:r w:rsidR="00AA0DFE">
        <w:lastRenderedPageBreak/>
        <w:t>continue to serve their viewers</w:t>
      </w:r>
      <w:r w:rsidR="00227BAE">
        <w:t xml:space="preserve">.  </w:t>
      </w:r>
      <w:r w:rsidR="00227BAE" w:rsidRPr="00354689">
        <w:rPr>
          <w:highlight w:val="yellow"/>
        </w:rPr>
        <w:t xml:space="preserve">Additionally, </w:t>
      </w:r>
      <w:r w:rsidRPr="00354689">
        <w:rPr>
          <w:highlight w:val="yellow"/>
        </w:rPr>
        <w:t>unlike with Class A stations, there appears to be only a small likelihood that a full power television station modification would eliminate the last remaining vacant channel in an area, calling into question the need for the vacant channel demonstration with respect to full power modifications.</w:t>
      </w:r>
      <w:r w:rsidRPr="00354689">
        <w:rPr>
          <w:rStyle w:val="FootnoteReference"/>
          <w:sz w:val="22"/>
          <w:highlight w:val="yellow"/>
        </w:rPr>
        <w:footnoteReference w:id="72"/>
      </w:r>
      <w:r w:rsidRPr="00354689">
        <w:rPr>
          <w:highlight w:val="yellow"/>
        </w:rPr>
        <w:t xml:space="preserve">  Accordingly, we </w:t>
      </w:r>
      <w:r w:rsidRPr="00354689">
        <w:rPr>
          <w:highlight w:val="green"/>
        </w:rPr>
        <w:t xml:space="preserve">seek comment </w:t>
      </w:r>
      <w:r w:rsidRPr="00354689">
        <w:rPr>
          <w:highlight w:val="yellow"/>
        </w:rPr>
        <w:t>on the benefits of applying the required demonstration to post-transition full power television station modification applications and whether these benefits outweigh the burdens.</w:t>
      </w:r>
      <w:r w:rsidRPr="00B7142D">
        <w:t xml:space="preserve"> </w:t>
      </w:r>
      <w:r w:rsidR="0008697D">
        <w:t xml:space="preserve"> We recognize that some full power television stations with construction deadlines at or near the end of the transition may discover after the 39-month deadline that they need to make further modifications to their repacked facilities in order to continue serving their viewers.  </w:t>
      </w:r>
      <w:r w:rsidR="0008697D" w:rsidRPr="00344672">
        <w:rPr>
          <w:highlight w:val="yellow"/>
        </w:rPr>
        <w:t xml:space="preserve">We </w:t>
      </w:r>
      <w:r w:rsidR="0008697D" w:rsidRPr="00344672">
        <w:rPr>
          <w:highlight w:val="green"/>
        </w:rPr>
        <w:t xml:space="preserve">seek comment </w:t>
      </w:r>
      <w:r w:rsidR="0008697D" w:rsidRPr="00344672">
        <w:rPr>
          <w:highlight w:val="yellow"/>
        </w:rPr>
        <w:t>whether such stations should be allowed not to make the vacant channel demonstration if they instead make a showing that the modification is necessary to preserve their coverage area and population served and is necessitated by circumstances that were unforeseeable and outside of the stations’ control.</w:t>
      </w:r>
      <w:r w:rsidR="0008697D">
        <w:t xml:space="preserve"> </w:t>
      </w:r>
      <w:r w:rsidR="0008697D" w:rsidRPr="00344672">
        <w:rPr>
          <w:highlight w:val="yellow"/>
        </w:rPr>
        <w:t xml:space="preserve">We </w:t>
      </w:r>
      <w:r w:rsidR="0008697D" w:rsidRPr="00344672">
        <w:rPr>
          <w:highlight w:val="green"/>
        </w:rPr>
        <w:t xml:space="preserve">seek comment </w:t>
      </w:r>
      <w:r w:rsidR="0008697D" w:rsidRPr="00344672">
        <w:rPr>
          <w:highlight w:val="yellow"/>
        </w:rPr>
        <w:t>on other alternatives as well</w:t>
      </w:r>
      <w:r w:rsidR="0008697D">
        <w:t xml:space="preserve">.  </w:t>
      </w:r>
      <w:r w:rsidR="0008697D" w:rsidRPr="00344672">
        <w:rPr>
          <w:highlight w:val="yellow"/>
        </w:rPr>
        <w:t xml:space="preserve">We also </w:t>
      </w:r>
      <w:r w:rsidR="0008697D" w:rsidRPr="00344672">
        <w:rPr>
          <w:highlight w:val="green"/>
        </w:rPr>
        <w:t xml:space="preserve">seek comment </w:t>
      </w:r>
      <w:r w:rsidR="0008697D" w:rsidRPr="00344672">
        <w:rPr>
          <w:highlight w:val="yellow"/>
        </w:rPr>
        <w:t>on whether the Commission’s broad Title III spectrum management authority encompasses the discretion to apply the vacant channel demonstration requirement to full power television station modification applications filed after the end of the Post-Auction Transition Period.</w:t>
      </w:r>
      <w:r w:rsidR="0008697D" w:rsidRPr="00344672">
        <w:rPr>
          <w:rStyle w:val="FootnoteReference"/>
          <w:highlight w:val="yellow"/>
        </w:rPr>
        <w:footnoteReference w:id="73"/>
      </w:r>
    </w:p>
    <w:p w14:paraId="42003AE9" w14:textId="77777777" w:rsidR="006D30D9" w:rsidRPr="00B7142D" w:rsidRDefault="006D30D9" w:rsidP="006C5F06">
      <w:pPr>
        <w:pStyle w:val="Heading4"/>
      </w:pPr>
      <w:bookmarkStart w:id="49" w:name="_Toc409784120"/>
      <w:r w:rsidRPr="00B7142D">
        <w:t>Allotment Proceedings</w:t>
      </w:r>
      <w:bookmarkEnd w:id="49"/>
    </w:p>
    <w:p w14:paraId="1DE0D4FD" w14:textId="77777777" w:rsidR="00B81877" w:rsidRDefault="006D30D9" w:rsidP="002D2631">
      <w:pPr>
        <w:pStyle w:val="ParaNum"/>
        <w:widowControl/>
      </w:pPr>
      <w:r w:rsidRPr="00344672">
        <w:rPr>
          <w:highlight w:val="yellow"/>
        </w:rPr>
        <w:t xml:space="preserve">We </w:t>
      </w:r>
      <w:r w:rsidRPr="00344672">
        <w:rPr>
          <w:highlight w:val="green"/>
        </w:rPr>
        <w:t xml:space="preserve">seek comment </w:t>
      </w:r>
      <w:r w:rsidRPr="00344672">
        <w:rPr>
          <w:highlight w:val="yellow"/>
        </w:rPr>
        <w:t>on whether</w:t>
      </w:r>
      <w:r w:rsidR="00B81877" w:rsidRPr="00344672">
        <w:rPr>
          <w:highlight w:val="yellow"/>
        </w:rPr>
        <w:t>, with the exception discussed below,</w:t>
      </w:r>
      <w:r w:rsidRPr="00344672">
        <w:rPr>
          <w:highlight w:val="yellow"/>
        </w:rPr>
        <w:t xml:space="preserve"> t</w:t>
      </w:r>
      <w:r w:rsidR="00097FEC" w:rsidRPr="00344672">
        <w:rPr>
          <w:highlight w:val="yellow"/>
        </w:rPr>
        <w:t>o require the</w:t>
      </w:r>
      <w:r w:rsidRPr="00344672">
        <w:rPr>
          <w:highlight w:val="yellow"/>
        </w:rPr>
        <w:t xml:space="preserve"> vacant channel demonstration </w:t>
      </w:r>
      <w:r w:rsidR="00097FEC" w:rsidRPr="00344672">
        <w:rPr>
          <w:highlight w:val="yellow"/>
        </w:rPr>
        <w:t>for</w:t>
      </w:r>
      <w:r w:rsidRPr="00344672">
        <w:rPr>
          <w:highlight w:val="yellow"/>
        </w:rPr>
        <w:t xml:space="preserve"> full power allotment proceedings.</w:t>
      </w:r>
      <w:r w:rsidRPr="00B7142D">
        <w:t xml:space="preserve">  There is presently a freeze on the filing of rulemaking petitions to change channels within the DTV Table of Allotments, to drop</w:t>
      </w:r>
      <w:r w:rsidR="00097FEC">
        <w:t xml:space="preserve"> </w:t>
      </w:r>
      <w:r w:rsidRPr="00B7142D">
        <w:t>in new allotments, to swap channels among two or more licensees, or to change communities of license.</w:t>
      </w:r>
      <w:r w:rsidRPr="001A3028">
        <w:rPr>
          <w:rStyle w:val="FootnoteReference"/>
          <w:sz w:val="22"/>
        </w:rPr>
        <w:footnoteReference w:id="74"/>
      </w:r>
      <w:r w:rsidRPr="00B7142D">
        <w:t xml:space="preserve">  We anticipate that, after repacking, the Media Bureau will lift filing freezes that are now in place.</w:t>
      </w:r>
      <w:r w:rsidRPr="001A3028">
        <w:rPr>
          <w:rStyle w:val="FootnoteReference"/>
          <w:sz w:val="22"/>
        </w:rPr>
        <w:footnoteReference w:id="75"/>
      </w:r>
      <w:r w:rsidRPr="00B7142D">
        <w:t xml:space="preserve">  </w:t>
      </w:r>
      <w:r w:rsidR="00097FEC">
        <w:t>Future</w:t>
      </w:r>
      <w:r w:rsidRPr="00B7142D">
        <w:t xml:space="preserve"> allotment proceedings would propose a primary use in the television bands.  Unlike proposed full power modifications, however, there is a reasonable likelihood that some of these proposed allotments could have a significant impact on vacant channel availability.  For example, a proposal to drop</w:t>
      </w:r>
      <w:r w:rsidR="00097FEC">
        <w:t xml:space="preserve"> </w:t>
      </w:r>
      <w:r w:rsidRPr="00B7142D">
        <w:t xml:space="preserve">in a new full power television channel </w:t>
      </w:r>
      <w:r w:rsidR="00B81877">
        <w:t>c</w:t>
      </w:r>
      <w:r w:rsidRPr="00B7142D">
        <w:t xml:space="preserve">ould eliminate </w:t>
      </w:r>
      <w:r w:rsidR="0008235E">
        <w:t xml:space="preserve">at least one </w:t>
      </w:r>
      <w:r w:rsidRPr="00B7142D">
        <w:t>vacant channel</w:t>
      </w:r>
      <w:r w:rsidR="00CD561C">
        <w:t xml:space="preserve"> </w:t>
      </w:r>
      <w:r w:rsidRPr="00B7142D">
        <w:t>in a large geographic area.  Similarly, a change of community of license could permit the licensee to move its transmission facilities in such a way as to significantly change its coverage contour.</w:t>
      </w:r>
      <w:r w:rsidR="008E7E2D">
        <w:t xml:space="preserve">  Channel changes and channel swaps appear to present less potential to </w:t>
      </w:r>
      <w:r w:rsidR="00AA0DFE">
        <w:t xml:space="preserve">affect </w:t>
      </w:r>
      <w:r w:rsidR="008E7E2D">
        <w:t>vacant channel availability.</w:t>
      </w:r>
      <w:r w:rsidRPr="001A3028">
        <w:rPr>
          <w:rStyle w:val="FootnoteReference"/>
          <w:sz w:val="22"/>
        </w:rPr>
        <w:footnoteReference w:id="76"/>
      </w:r>
      <w:r w:rsidRPr="00B7142D">
        <w:t xml:space="preserve"> </w:t>
      </w:r>
      <w:r w:rsidR="008E7E2D">
        <w:t xml:space="preserve"> </w:t>
      </w:r>
      <w:r w:rsidR="00105DC8" w:rsidRPr="00344672">
        <w:rPr>
          <w:highlight w:val="yellow"/>
        </w:rPr>
        <w:t>W</w:t>
      </w:r>
      <w:r w:rsidR="004054A7" w:rsidRPr="00344672">
        <w:rPr>
          <w:highlight w:val="yellow"/>
        </w:rPr>
        <w:t xml:space="preserve">e </w:t>
      </w:r>
      <w:r w:rsidR="004054A7" w:rsidRPr="00344672">
        <w:rPr>
          <w:highlight w:val="green"/>
        </w:rPr>
        <w:t xml:space="preserve">seek comment </w:t>
      </w:r>
      <w:r w:rsidR="004054A7" w:rsidRPr="00344672">
        <w:rPr>
          <w:highlight w:val="yellow"/>
        </w:rPr>
        <w:t xml:space="preserve">on whether the petitioner </w:t>
      </w:r>
      <w:r w:rsidR="00B92DDD" w:rsidRPr="00344672">
        <w:rPr>
          <w:highlight w:val="yellow"/>
        </w:rPr>
        <w:t xml:space="preserve">should </w:t>
      </w:r>
      <w:r w:rsidR="00E677C9" w:rsidRPr="00344672">
        <w:rPr>
          <w:highlight w:val="yellow"/>
        </w:rPr>
        <w:t xml:space="preserve">be required to </w:t>
      </w:r>
      <w:r w:rsidR="004054A7" w:rsidRPr="00344672">
        <w:rPr>
          <w:highlight w:val="yellow"/>
        </w:rPr>
        <w:t xml:space="preserve">demonstrate </w:t>
      </w:r>
      <w:r w:rsidR="00B92DDD" w:rsidRPr="00344672">
        <w:rPr>
          <w:highlight w:val="yellow"/>
        </w:rPr>
        <w:t xml:space="preserve">that </w:t>
      </w:r>
      <w:r w:rsidR="004054A7" w:rsidRPr="00344672">
        <w:rPr>
          <w:highlight w:val="yellow"/>
        </w:rPr>
        <w:t>the</w:t>
      </w:r>
      <w:r w:rsidR="00E677C9" w:rsidRPr="00344672">
        <w:rPr>
          <w:highlight w:val="yellow"/>
        </w:rPr>
        <w:t xml:space="preserve"> any of these</w:t>
      </w:r>
      <w:r w:rsidR="004054A7" w:rsidRPr="00344672">
        <w:rPr>
          <w:highlight w:val="yellow"/>
        </w:rPr>
        <w:t xml:space="preserve"> allotment proposal</w:t>
      </w:r>
      <w:r w:rsidR="00E677C9" w:rsidRPr="00344672">
        <w:rPr>
          <w:highlight w:val="yellow"/>
        </w:rPr>
        <w:t>s</w:t>
      </w:r>
      <w:r w:rsidR="004054A7" w:rsidRPr="00344672">
        <w:rPr>
          <w:highlight w:val="yellow"/>
        </w:rPr>
        <w:t xml:space="preserve"> would </w:t>
      </w:r>
      <w:r w:rsidR="00B92DDD" w:rsidRPr="00344672">
        <w:rPr>
          <w:highlight w:val="yellow"/>
        </w:rPr>
        <w:t xml:space="preserve">not </w:t>
      </w:r>
      <w:r w:rsidR="004054A7" w:rsidRPr="00344672">
        <w:rPr>
          <w:highlight w:val="yellow"/>
        </w:rPr>
        <w:t>eliminate the last remaining vacant channel.</w:t>
      </w:r>
    </w:p>
    <w:p w14:paraId="5557A74E" w14:textId="77777777" w:rsidR="006D30D9" w:rsidRPr="00B7142D" w:rsidRDefault="006B5761" w:rsidP="006C5F06">
      <w:pPr>
        <w:pStyle w:val="ParaNum"/>
      </w:pPr>
      <w:r>
        <w:t xml:space="preserve">At the same time, we recognize that there could be allotment proposals that are a direct result of certain discontinuances of service after the auction.  For example, although we believe it unlikely, there may be limited circumstances in which a community or area loses broadcast service from all of its noncommercial educational stations. </w:t>
      </w:r>
      <w:r w:rsidR="00421F94">
        <w:t>We stated previously that we would consider appropriate actions to address service losses after the auction.</w:t>
      </w:r>
      <w:r w:rsidR="00421F94">
        <w:rPr>
          <w:rStyle w:val="FootnoteReference"/>
        </w:rPr>
        <w:footnoteReference w:id="77"/>
      </w:r>
      <w:r w:rsidR="00421F94">
        <w:t xml:space="preserve">  </w:t>
      </w:r>
      <w:r w:rsidRPr="00344672">
        <w:rPr>
          <w:highlight w:val="yellow"/>
        </w:rPr>
        <w:t xml:space="preserve">If we decide to require the vacant channel </w:t>
      </w:r>
      <w:r w:rsidRPr="00344672">
        <w:rPr>
          <w:highlight w:val="yellow"/>
        </w:rPr>
        <w:lastRenderedPageBreak/>
        <w:t>demonstration for full power allotment proceedings generally, it may be appropriate to make an exception for rulemaking proceedings to allot a reserved noncommercial educational channel to a community that has lost all noncommercial educational full power television service as a result of the auction.</w:t>
      </w:r>
      <w:r w:rsidR="005D01BC" w:rsidRPr="00344672">
        <w:rPr>
          <w:rStyle w:val="FootnoteReference"/>
          <w:highlight w:val="yellow"/>
        </w:rPr>
        <w:footnoteReference w:id="78"/>
      </w:r>
      <w:r w:rsidRPr="00344672">
        <w:rPr>
          <w:highlight w:val="yellow"/>
        </w:rPr>
        <w:t xml:space="preserve">  We </w:t>
      </w:r>
      <w:r w:rsidRPr="00344672">
        <w:rPr>
          <w:highlight w:val="green"/>
        </w:rPr>
        <w:t xml:space="preserve">seek comment </w:t>
      </w:r>
      <w:r w:rsidRPr="00344672">
        <w:rPr>
          <w:highlight w:val="yellow"/>
        </w:rPr>
        <w:t>on th</w:t>
      </w:r>
      <w:r w:rsidR="005D01BC" w:rsidRPr="00344672">
        <w:rPr>
          <w:highlight w:val="yellow"/>
        </w:rPr>
        <w:t>i</w:t>
      </w:r>
      <w:r w:rsidRPr="00344672">
        <w:rPr>
          <w:highlight w:val="yellow"/>
        </w:rPr>
        <w:t>s issue.</w:t>
      </w:r>
      <w:r w:rsidRPr="00333F72">
        <w:t xml:space="preserve">  </w:t>
      </w:r>
      <w:r w:rsidR="00B81877" w:rsidRPr="00333F72">
        <w:t xml:space="preserve">  </w:t>
      </w:r>
      <w:r w:rsidR="004054A7" w:rsidRPr="00B7142D">
        <w:t xml:space="preserve">  </w:t>
      </w:r>
    </w:p>
    <w:p w14:paraId="1EBA3A6C" w14:textId="77777777" w:rsidR="00845A75" w:rsidRPr="00B7142D" w:rsidRDefault="00845A75" w:rsidP="00C24DDE">
      <w:pPr>
        <w:pStyle w:val="Heading2"/>
      </w:pPr>
      <w:bookmarkStart w:id="50" w:name="_Toc409784121"/>
      <w:r w:rsidRPr="00B7142D">
        <w:t xml:space="preserve">Procedures for Identifying Channels Available for Use by </w:t>
      </w:r>
      <w:r w:rsidR="00A32D71">
        <w:t xml:space="preserve">White Space Devices and </w:t>
      </w:r>
      <w:r w:rsidRPr="00B7142D">
        <w:t>Wireless Microphones</w:t>
      </w:r>
      <w:bookmarkEnd w:id="50"/>
    </w:p>
    <w:p w14:paraId="696007F7" w14:textId="77777777" w:rsidR="00882FF0" w:rsidRPr="00B7142D" w:rsidRDefault="005409EC" w:rsidP="006C5F06">
      <w:pPr>
        <w:pStyle w:val="ParaNum"/>
      </w:pPr>
      <w:r w:rsidRPr="00344672">
        <w:rPr>
          <w:highlight w:val="yellow"/>
        </w:rPr>
        <w:t xml:space="preserve">We </w:t>
      </w:r>
      <w:r w:rsidRPr="00344672">
        <w:rPr>
          <w:highlight w:val="green"/>
        </w:rPr>
        <w:t xml:space="preserve">seek comment </w:t>
      </w:r>
      <w:r w:rsidR="00941F7E" w:rsidRPr="00344672">
        <w:rPr>
          <w:highlight w:val="yellow"/>
        </w:rPr>
        <w:t xml:space="preserve">below </w:t>
      </w:r>
      <w:r w:rsidRPr="00344672">
        <w:rPr>
          <w:highlight w:val="yellow"/>
        </w:rPr>
        <w:t xml:space="preserve">on procedures for identifying which channels and which specific areas we will use for ensuring the availability of at least one vacant channel for </w:t>
      </w:r>
      <w:r w:rsidR="00882FF0" w:rsidRPr="00344672">
        <w:rPr>
          <w:highlight w:val="yellow"/>
        </w:rPr>
        <w:t xml:space="preserve">use by </w:t>
      </w:r>
      <w:r w:rsidR="00A32D71" w:rsidRPr="00344672">
        <w:rPr>
          <w:highlight w:val="yellow"/>
        </w:rPr>
        <w:t xml:space="preserve">white space devices and </w:t>
      </w:r>
      <w:r w:rsidR="00882FF0" w:rsidRPr="00344672">
        <w:rPr>
          <w:highlight w:val="yellow"/>
        </w:rPr>
        <w:t>wireless microphones</w:t>
      </w:r>
      <w:r w:rsidRPr="00344672">
        <w:rPr>
          <w:highlight w:val="yellow"/>
        </w:rPr>
        <w:t>.</w:t>
      </w:r>
    </w:p>
    <w:p w14:paraId="241E7A8E" w14:textId="77777777" w:rsidR="00882FF0" w:rsidRPr="00B7142D" w:rsidRDefault="00882FF0" w:rsidP="006C5F06">
      <w:pPr>
        <w:pStyle w:val="Heading3"/>
      </w:pPr>
      <w:bookmarkStart w:id="51" w:name="_Toc409784122"/>
      <w:r w:rsidRPr="00B7142D">
        <w:t>Suitable Channels for Preservation</w:t>
      </w:r>
      <w:bookmarkEnd w:id="51"/>
    </w:p>
    <w:p w14:paraId="40505BAC" w14:textId="77777777" w:rsidR="003F669F" w:rsidRDefault="001D47DF" w:rsidP="006C5F06">
      <w:pPr>
        <w:pStyle w:val="ParaNum"/>
      </w:pPr>
      <w:r w:rsidRPr="00B7142D">
        <w:t>W</w:t>
      </w:r>
      <w:r w:rsidR="00882FF0" w:rsidRPr="00B7142D">
        <w:t xml:space="preserve">e propose to preserve the availability of UHF channels in the range of </w:t>
      </w:r>
      <w:r w:rsidR="00C86A83">
        <w:t xml:space="preserve">Channel </w:t>
      </w:r>
      <w:r w:rsidR="00882FF0" w:rsidRPr="00B7142D">
        <w:t>21 and above</w:t>
      </w:r>
      <w:r w:rsidRPr="00B7142D">
        <w:t xml:space="preserve"> for use by </w:t>
      </w:r>
      <w:r w:rsidR="00A32D71">
        <w:t xml:space="preserve">white space devices and </w:t>
      </w:r>
      <w:r w:rsidRPr="00B7142D">
        <w:t>wireless microphones</w:t>
      </w:r>
      <w:r w:rsidR="00882FF0" w:rsidRPr="00B7142D">
        <w:t>.</w:t>
      </w:r>
      <w:r w:rsidR="00A20804">
        <w:rPr>
          <w:rStyle w:val="FootnoteReference"/>
        </w:rPr>
        <w:footnoteReference w:id="79"/>
      </w:r>
      <w:r w:rsidR="00882FF0" w:rsidRPr="00B7142D">
        <w:t xml:space="preserve">  </w:t>
      </w:r>
      <w:r w:rsidR="0011110C">
        <w:t>Under our proposal,</w:t>
      </w:r>
      <w:r w:rsidR="00DF471C" w:rsidRPr="00B7142D">
        <w:t xml:space="preserve"> the channel preserved would not be the same nationwide</w:t>
      </w:r>
      <w:r w:rsidR="003678BA">
        <w:t xml:space="preserve"> or even through a DMA</w:t>
      </w:r>
      <w:r w:rsidR="00DF471C" w:rsidRPr="00B7142D">
        <w:t xml:space="preserve">, but instead would vary depending on the repacked television operations in the </w:t>
      </w:r>
      <w:r w:rsidR="0011110C">
        <w:t xml:space="preserve">UHF </w:t>
      </w:r>
      <w:r w:rsidR="00DF471C" w:rsidRPr="00B7142D">
        <w:t>band in each area</w:t>
      </w:r>
      <w:r w:rsidR="00E93155">
        <w:t>.</w:t>
      </w:r>
      <w:r w:rsidR="00DF471C" w:rsidRPr="00B7142D">
        <w:t xml:space="preserve">  In particular, we are not proposing to designate a particular TV channel in each area for shared use after repacking</w:t>
      </w:r>
      <w:r w:rsidR="0011110C">
        <w:t>.  Rather</w:t>
      </w:r>
      <w:r w:rsidR="00DF471C" w:rsidRPr="00B7142D">
        <w:t xml:space="preserve">, </w:t>
      </w:r>
      <w:r w:rsidR="0011110C">
        <w:t>the</w:t>
      </w:r>
      <w:r w:rsidR="00DF471C" w:rsidRPr="00B7142D">
        <w:t xml:space="preserve"> procedures </w:t>
      </w:r>
      <w:r w:rsidR="0011110C">
        <w:t>we propose</w:t>
      </w:r>
      <w:r w:rsidR="00DF471C" w:rsidRPr="00B7142D">
        <w:t xml:space="preserve"> will ensure that at least one TV channel in each area remains unused by broadcast or BAS licensees, and thereby is preserved and available for shared use by </w:t>
      </w:r>
      <w:r w:rsidR="00A32D71">
        <w:t xml:space="preserve">white space devices and </w:t>
      </w:r>
      <w:r w:rsidR="00DF471C" w:rsidRPr="00B7142D">
        <w:t xml:space="preserve">wireless microphones.  </w:t>
      </w:r>
    </w:p>
    <w:p w14:paraId="65D9B744" w14:textId="77777777" w:rsidR="00882FF0" w:rsidRPr="00706162" w:rsidRDefault="00A32D71" w:rsidP="006C5F06">
      <w:pPr>
        <w:pStyle w:val="ParaNum"/>
        <w:rPr>
          <w:highlight w:val="yellow"/>
        </w:rPr>
      </w:pPr>
      <w:r w:rsidRPr="00706162">
        <w:rPr>
          <w:highlight w:val="yellow"/>
        </w:rPr>
        <w:t xml:space="preserve">Although white space devices and </w:t>
      </w:r>
      <w:r w:rsidR="00882FF0" w:rsidRPr="00706162">
        <w:rPr>
          <w:highlight w:val="yellow"/>
        </w:rPr>
        <w:t xml:space="preserve">wireless microphones may operate on any UHF-TV channel, under the current rules personal/portable white space devices can operate </w:t>
      </w:r>
      <w:r w:rsidR="005F132A" w:rsidRPr="00706162">
        <w:rPr>
          <w:highlight w:val="yellow"/>
        </w:rPr>
        <w:t xml:space="preserve">only </w:t>
      </w:r>
      <w:r w:rsidR="00882FF0" w:rsidRPr="00706162">
        <w:rPr>
          <w:highlight w:val="yellow"/>
        </w:rPr>
        <w:t xml:space="preserve">on </w:t>
      </w:r>
      <w:r w:rsidR="0011110C" w:rsidRPr="00706162">
        <w:rPr>
          <w:highlight w:val="yellow"/>
        </w:rPr>
        <w:t>C</w:t>
      </w:r>
      <w:r w:rsidR="00882FF0" w:rsidRPr="00706162">
        <w:rPr>
          <w:highlight w:val="yellow"/>
        </w:rPr>
        <w:t>hannels 21 and above.</w:t>
      </w:r>
      <w:r w:rsidR="00882FF0" w:rsidRPr="00706162">
        <w:rPr>
          <w:highlight w:val="yellow"/>
          <w:vertAlign w:val="superscript"/>
        </w:rPr>
        <w:footnoteReference w:id="80"/>
      </w:r>
      <w:r w:rsidR="00882FF0" w:rsidRPr="00706162">
        <w:rPr>
          <w:highlight w:val="yellow"/>
        </w:rPr>
        <w:t xml:space="preserve">  </w:t>
      </w:r>
      <w:r w:rsidR="009F461B" w:rsidRPr="00706162">
        <w:rPr>
          <w:highlight w:val="yellow"/>
        </w:rPr>
        <w:t>In addition,</w:t>
      </w:r>
      <w:r w:rsidR="00882FF0" w:rsidRPr="00706162">
        <w:rPr>
          <w:highlight w:val="yellow"/>
        </w:rPr>
        <w:t xml:space="preserve"> the current rules prohibit fixed white space device operation within the protected contour of an adjacent TV channel</w:t>
      </w:r>
      <w:r w:rsidR="00142996" w:rsidRPr="00706162">
        <w:rPr>
          <w:highlight w:val="yellow"/>
        </w:rPr>
        <w:t>.</w:t>
      </w:r>
      <w:r w:rsidR="00882FF0" w:rsidRPr="00706162">
        <w:rPr>
          <w:highlight w:val="yellow"/>
        </w:rPr>
        <w:t xml:space="preserve">  </w:t>
      </w:r>
      <w:r w:rsidR="009F461B" w:rsidRPr="00706162">
        <w:rPr>
          <w:highlight w:val="yellow"/>
        </w:rPr>
        <w:t>I</w:t>
      </w:r>
      <w:r w:rsidR="00882FF0" w:rsidRPr="00706162">
        <w:rPr>
          <w:highlight w:val="yellow"/>
        </w:rPr>
        <w:t xml:space="preserve">n the recent </w:t>
      </w:r>
      <w:r w:rsidR="00882FF0" w:rsidRPr="00706162">
        <w:rPr>
          <w:i/>
          <w:highlight w:val="yellow"/>
        </w:rPr>
        <w:t>Part 15 NPRM</w:t>
      </w:r>
      <w:r w:rsidR="009F461B" w:rsidRPr="00706162">
        <w:rPr>
          <w:highlight w:val="yellow"/>
        </w:rPr>
        <w:t>,</w:t>
      </w:r>
      <w:r w:rsidR="00882FF0" w:rsidRPr="00706162">
        <w:rPr>
          <w:highlight w:val="yellow"/>
        </w:rPr>
        <w:t xml:space="preserve"> the Commission proposed to permit personal/portable white space devices to operate on </w:t>
      </w:r>
      <w:r w:rsidR="0011110C" w:rsidRPr="00706162">
        <w:rPr>
          <w:highlight w:val="yellow"/>
        </w:rPr>
        <w:t>C</w:t>
      </w:r>
      <w:r w:rsidR="00882FF0" w:rsidRPr="00706162">
        <w:rPr>
          <w:highlight w:val="yellow"/>
        </w:rPr>
        <w:t>hannels 14-20.</w:t>
      </w:r>
      <w:r w:rsidR="00882FF0" w:rsidRPr="00706162">
        <w:rPr>
          <w:highlight w:val="yellow"/>
          <w:vertAlign w:val="superscript"/>
        </w:rPr>
        <w:footnoteReference w:id="81"/>
      </w:r>
      <w:r w:rsidR="00882FF0" w:rsidRPr="00706162">
        <w:rPr>
          <w:highlight w:val="yellow"/>
        </w:rPr>
        <w:t xml:space="preserve">  In addition, the Commission proposed to allow fixed white space devices to operate within the protected contour of an adjacent TV channel if they use an operating power of 40 </w:t>
      </w:r>
      <w:proofErr w:type="spellStart"/>
      <w:r w:rsidR="00882FF0" w:rsidRPr="00706162">
        <w:rPr>
          <w:highlight w:val="yellow"/>
        </w:rPr>
        <w:t>milliwatts</w:t>
      </w:r>
      <w:proofErr w:type="spellEnd"/>
      <w:r w:rsidR="00882FF0" w:rsidRPr="00706162">
        <w:rPr>
          <w:highlight w:val="yellow"/>
        </w:rPr>
        <w:t xml:space="preserve"> or less</w:t>
      </w:r>
      <w:r w:rsidR="00C41D2C" w:rsidRPr="00706162">
        <w:rPr>
          <w:highlight w:val="yellow"/>
        </w:rPr>
        <w:t xml:space="preserve">, thereby allowing fixed devices to operate on more channels above and below channel 21.  Should the Commission adopt the proposals in the </w:t>
      </w:r>
      <w:r w:rsidR="00C41D2C" w:rsidRPr="00706162">
        <w:rPr>
          <w:i/>
          <w:highlight w:val="yellow"/>
        </w:rPr>
        <w:t>Part 15 NPRM</w:t>
      </w:r>
      <w:r w:rsidR="00C41D2C" w:rsidRPr="00706162">
        <w:rPr>
          <w:highlight w:val="yellow"/>
        </w:rPr>
        <w:t xml:space="preserve"> to expand available frequencies for white space device operation, we would want the preservation of the last remaining channel to apply to Channels 14 and above where white space devices and wireless microphones may operate and we </w:t>
      </w:r>
      <w:r w:rsidR="00C41D2C" w:rsidRPr="00706162">
        <w:rPr>
          <w:highlight w:val="green"/>
        </w:rPr>
        <w:t xml:space="preserve">seek comment </w:t>
      </w:r>
      <w:r w:rsidR="00C41D2C" w:rsidRPr="00706162">
        <w:rPr>
          <w:highlight w:val="yellow"/>
        </w:rPr>
        <w:t>on this alternative approach</w:t>
      </w:r>
      <w:r w:rsidR="00882FF0" w:rsidRPr="00706162">
        <w:rPr>
          <w:highlight w:val="yellow"/>
        </w:rPr>
        <w:t xml:space="preserve">.  </w:t>
      </w:r>
    </w:p>
    <w:p w14:paraId="6C58871D" w14:textId="77777777" w:rsidR="00882FF0" w:rsidRPr="00B7142D" w:rsidRDefault="00882FF0" w:rsidP="006C5F06">
      <w:pPr>
        <w:pStyle w:val="Heading3"/>
      </w:pPr>
      <w:bookmarkStart w:id="52" w:name="_Toc409784123"/>
      <w:r w:rsidRPr="00B7142D">
        <w:t>Demonstration of Compliance</w:t>
      </w:r>
      <w:bookmarkEnd w:id="52"/>
      <w:r w:rsidRPr="00B7142D">
        <w:t xml:space="preserve"> </w:t>
      </w:r>
    </w:p>
    <w:p w14:paraId="1B445474" w14:textId="77777777" w:rsidR="00825EA3" w:rsidRPr="00825EA3" w:rsidRDefault="001D47DF" w:rsidP="00825EA3">
      <w:pPr>
        <w:pStyle w:val="ParaNum"/>
      </w:pPr>
      <w:r w:rsidRPr="00B7142D">
        <w:t>In this section, w</w:t>
      </w:r>
      <w:r w:rsidR="00882FF0" w:rsidRPr="00B7142D">
        <w:t xml:space="preserve">e propose </w:t>
      </w:r>
      <w:r w:rsidRPr="00B7142D">
        <w:t xml:space="preserve">the </w:t>
      </w:r>
      <w:r w:rsidR="00882FF0" w:rsidRPr="00B7142D">
        <w:t>procedures</w:t>
      </w:r>
      <w:r w:rsidRPr="00B7142D">
        <w:t xml:space="preserve"> and other details for the required </w:t>
      </w:r>
      <w:r w:rsidR="00265D5F" w:rsidRPr="00B7142D">
        <w:t xml:space="preserve">demonstration </w:t>
      </w:r>
      <w:r w:rsidRPr="00B7142D">
        <w:t xml:space="preserve">that proposed operations </w:t>
      </w:r>
      <w:r w:rsidR="00790679" w:rsidRPr="00B7142D">
        <w:t xml:space="preserve">in the repacked UHF television band </w:t>
      </w:r>
      <w:r w:rsidRPr="00B7142D">
        <w:t xml:space="preserve">will not eliminate the last </w:t>
      </w:r>
      <w:r w:rsidRPr="00B7142D">
        <w:lastRenderedPageBreak/>
        <w:t xml:space="preserve">available vacant UHF channel in an area for </w:t>
      </w:r>
      <w:r w:rsidR="0023492E" w:rsidRPr="00B7142D">
        <w:t xml:space="preserve">use by </w:t>
      </w:r>
      <w:r w:rsidR="00A32D71">
        <w:t xml:space="preserve">white space devices and </w:t>
      </w:r>
      <w:r w:rsidR="0023492E" w:rsidRPr="00B7142D">
        <w:t>wireless microphones</w:t>
      </w:r>
      <w:r w:rsidRPr="00B7142D">
        <w:t xml:space="preserve">.  </w:t>
      </w:r>
      <w:r w:rsidR="00882FF0" w:rsidRPr="00B7142D">
        <w:t xml:space="preserve"> These procedures would apply only to applications for broadcast </w:t>
      </w:r>
      <w:r w:rsidR="002D167A">
        <w:t xml:space="preserve">or BAS </w:t>
      </w:r>
      <w:r w:rsidR="00882FF0" w:rsidRPr="00B7142D">
        <w:t>stations</w:t>
      </w:r>
      <w:r w:rsidR="006A5EF2">
        <w:t xml:space="preserve"> </w:t>
      </w:r>
      <w:r w:rsidR="00CC571C">
        <w:t>for</w:t>
      </w:r>
      <w:r w:rsidRPr="00B7142D">
        <w:t xml:space="preserve"> </w:t>
      </w:r>
      <w:r w:rsidR="00882FF0" w:rsidRPr="00B7142D">
        <w:t xml:space="preserve">those channels </w:t>
      </w:r>
      <w:r w:rsidR="00CC571C">
        <w:t xml:space="preserve">to which the demonstration requirement applies </w:t>
      </w:r>
      <w:r w:rsidR="00882FF0" w:rsidRPr="00B7142D">
        <w:t xml:space="preserve">as decided by the Commission in this proceeding.  </w:t>
      </w:r>
      <w:r w:rsidR="006A5EF2">
        <w:t>In the case of applications for broadcast stations, a</w:t>
      </w:r>
      <w:r w:rsidR="00882FF0" w:rsidRPr="00B7142D">
        <w:t xml:space="preserve"> party wishing to construct a new</w:t>
      </w:r>
      <w:r w:rsidR="009D433E">
        <w:t>, displacement,</w:t>
      </w:r>
      <w:r w:rsidR="00882FF0" w:rsidRPr="00B7142D">
        <w:t xml:space="preserve"> or modified station on one of these channels would generally follow the current procedures used in planning and applying for a broadcast station.  That is, the party would perform </w:t>
      </w:r>
      <w:r w:rsidR="00F3608D">
        <w:t>a</w:t>
      </w:r>
      <w:r w:rsidR="00882FF0" w:rsidRPr="00B7142D">
        <w:t xml:space="preserve"> technical study based on the Commission’s requirements (e.g</w:t>
      </w:r>
      <w:r w:rsidR="00882FF0" w:rsidRPr="007129FA">
        <w:rPr>
          <w:i/>
        </w:rPr>
        <w:t xml:space="preserve">., </w:t>
      </w:r>
      <w:r w:rsidR="00882FF0" w:rsidRPr="00B7142D">
        <w:t xml:space="preserve">separation from TV station contours) to determine channel availability and the other operating parameters for the proposed </w:t>
      </w:r>
      <w:r w:rsidR="00CC571C">
        <w:t>facility</w:t>
      </w:r>
      <w:r w:rsidR="00882FF0" w:rsidRPr="00B7142D">
        <w:t xml:space="preserve"> (</w:t>
      </w:r>
      <w:r w:rsidR="00882FF0" w:rsidRPr="00BB4AF1">
        <w:t>e.g.,</w:t>
      </w:r>
      <w:r w:rsidR="00882FF0" w:rsidRPr="00B7142D">
        <w:t xml:space="preserve"> transmitter location, effective radiated power, antenna height and directionality).  Once the proposed channel and operating parameters are determined, the applicant would calculate the service contour for </w:t>
      </w:r>
      <w:r w:rsidR="005F132A" w:rsidRPr="00B7142D">
        <w:t xml:space="preserve">a </w:t>
      </w:r>
      <w:r w:rsidR="00882FF0" w:rsidRPr="00B7142D">
        <w:t xml:space="preserve">proposed </w:t>
      </w:r>
      <w:r w:rsidR="005F132A" w:rsidRPr="00B7142D">
        <w:t xml:space="preserve">TV or LPTV </w:t>
      </w:r>
      <w:r w:rsidR="00882FF0" w:rsidRPr="00B7142D">
        <w:t>station</w:t>
      </w:r>
      <w:r w:rsidR="00CC571C">
        <w:t xml:space="preserve"> facility</w:t>
      </w:r>
      <w:r w:rsidR="00882FF0" w:rsidRPr="00B7142D">
        <w:t xml:space="preserve"> based on these parameters</w:t>
      </w:r>
      <w:r w:rsidR="00B27D6F">
        <w:t>.</w:t>
      </w:r>
      <w:r w:rsidR="00882FF0" w:rsidRPr="00B7142D">
        <w:t xml:space="preserve"> </w:t>
      </w:r>
      <w:r w:rsidR="006A5EF2">
        <w:t xml:space="preserve"> </w:t>
      </w:r>
      <w:r w:rsidR="005F132A" w:rsidRPr="00B7142D">
        <w:t xml:space="preserve">In the case of BAS stations, the applicant would determine </w:t>
      </w:r>
      <w:r w:rsidR="00F047BD">
        <w:t>its</w:t>
      </w:r>
      <w:r w:rsidR="005F132A" w:rsidRPr="00B7142D">
        <w:t xml:space="preserve"> protected area in accordance with the requirements of Section 15.712(c)</w:t>
      </w:r>
      <w:r w:rsidR="00F047BD">
        <w:t>,</w:t>
      </w:r>
      <w:r w:rsidR="005F132A" w:rsidRPr="00B7142D">
        <w:t xml:space="preserve"> instead of a service contour</w:t>
      </w:r>
      <w:r w:rsidR="00BE3759">
        <w:t>.</w:t>
      </w:r>
      <w:r w:rsidR="005F132A" w:rsidRPr="001A3028">
        <w:rPr>
          <w:rStyle w:val="FootnoteReference"/>
          <w:sz w:val="22"/>
        </w:rPr>
        <w:footnoteReference w:id="82"/>
      </w:r>
    </w:p>
    <w:p w14:paraId="2768B5CB" w14:textId="77777777" w:rsidR="00882FF0" w:rsidRPr="00B7142D" w:rsidRDefault="00CC571C" w:rsidP="00FE1A9C">
      <w:pPr>
        <w:pStyle w:val="ParaNum"/>
        <w:widowControl/>
      </w:pPr>
      <w:r>
        <w:t xml:space="preserve">In addition to following the above-stated procedures under our current rules, </w:t>
      </w:r>
      <w:r w:rsidR="00697606">
        <w:t xml:space="preserve">we propose that </w:t>
      </w:r>
      <w:r>
        <w:t>t</w:t>
      </w:r>
      <w:r w:rsidR="00882FF0" w:rsidRPr="00B7142D">
        <w:t xml:space="preserve">he applicant perform an analysis and submit a showing with its application demonstrating that </w:t>
      </w:r>
      <w:r w:rsidR="00A32D71">
        <w:t xml:space="preserve">white space devices and </w:t>
      </w:r>
      <w:r w:rsidR="00882FF0" w:rsidRPr="00B7142D">
        <w:t xml:space="preserve">wireless microphones operating within the same area as the proposed broadcast </w:t>
      </w:r>
      <w:r w:rsidR="00F047BD">
        <w:t xml:space="preserve">or BAS </w:t>
      </w:r>
      <w:r w:rsidR="00882FF0" w:rsidRPr="00B7142D">
        <w:t>station will have access to at least one channel</w:t>
      </w:r>
      <w:r w:rsidR="00697606">
        <w:t xml:space="preserve"> throughout the applicant’s proposed protected service area</w:t>
      </w:r>
      <w:r w:rsidR="00882FF0" w:rsidRPr="00B7142D">
        <w:t xml:space="preserve">, </w:t>
      </w:r>
      <w:r w:rsidR="00697606">
        <w:t xml:space="preserve">as described in more detail below, </w:t>
      </w:r>
      <w:r w:rsidR="00882FF0" w:rsidRPr="00B7142D">
        <w:t>although it need not be the same channel in all locations</w:t>
      </w:r>
      <w:r w:rsidR="00697606">
        <w:t xml:space="preserve"> within that area</w:t>
      </w:r>
      <w:r w:rsidR="00882FF0" w:rsidRPr="00B7142D">
        <w:t xml:space="preserve">. </w:t>
      </w:r>
      <w:r w:rsidR="0023492E" w:rsidRPr="00B7142D">
        <w:t xml:space="preserve"> </w:t>
      </w:r>
      <w:r w:rsidR="00882FF0" w:rsidRPr="00B7142D" w:rsidDel="0023492E">
        <w:t xml:space="preserve">Under current rules, </w:t>
      </w:r>
      <w:r w:rsidR="00A32D71">
        <w:t xml:space="preserve">white space devices and </w:t>
      </w:r>
      <w:r w:rsidR="00882FF0" w:rsidRPr="00B7142D" w:rsidDel="0023492E">
        <w:t>wireless microphones must meet certain criteria to protect broadcast stations, other authorized services, and certain receive sites in the TV bands, and application of these rules defines the vacant channels in their operating area that are available for their use.  These rules form the foundation of the proposed methodology we describe in more detail below that the applicant would use for making th</w:t>
      </w:r>
      <w:r w:rsidR="00F047BD">
        <w:t>e</w:t>
      </w:r>
      <w:r w:rsidR="00882FF0" w:rsidRPr="00B7142D" w:rsidDel="0023492E">
        <w:t xml:space="preserve"> </w:t>
      </w:r>
      <w:r w:rsidR="00F047BD">
        <w:t xml:space="preserve">vacant channel </w:t>
      </w:r>
      <w:r w:rsidR="00882FF0" w:rsidRPr="00B7142D" w:rsidDel="0023492E">
        <w:t>determination.</w:t>
      </w:r>
    </w:p>
    <w:p w14:paraId="7712E371" w14:textId="77777777" w:rsidR="00882FF0" w:rsidRPr="00B7142D" w:rsidRDefault="00882FF0" w:rsidP="006C5F06">
      <w:pPr>
        <w:pStyle w:val="Heading3"/>
      </w:pPr>
      <w:bookmarkStart w:id="53" w:name="_Toc409784124"/>
      <w:r w:rsidRPr="00B7142D">
        <w:t xml:space="preserve">Criteria for Determining </w:t>
      </w:r>
      <w:r w:rsidR="00697606">
        <w:t xml:space="preserve">Vacant </w:t>
      </w:r>
      <w:r w:rsidRPr="00B7142D">
        <w:t>Channel Availability at a Given Location</w:t>
      </w:r>
      <w:bookmarkEnd w:id="53"/>
    </w:p>
    <w:p w14:paraId="2AAC56D2" w14:textId="77777777" w:rsidR="00882FF0" w:rsidRDefault="00882FF0" w:rsidP="00A32D71">
      <w:pPr>
        <w:pStyle w:val="ParaNum"/>
      </w:pPr>
      <w:r w:rsidRPr="00B7142D">
        <w:t xml:space="preserve"> We propose that </w:t>
      </w:r>
      <w:r w:rsidR="005A756B" w:rsidRPr="00B7142D">
        <w:t xml:space="preserve">vacant </w:t>
      </w:r>
      <w:r w:rsidRPr="00B7142D">
        <w:t xml:space="preserve">channel availability at a given location be determined using the same criteria currently specified in our rules for determining where wireless microphones and white space devices can operate.  Specifically, we propose that </w:t>
      </w:r>
      <w:r w:rsidR="00FF5A03" w:rsidRPr="00B7142D">
        <w:t xml:space="preserve">a channel be considered available if it can accommodate </w:t>
      </w:r>
      <w:r w:rsidRPr="00B7142D">
        <w:t xml:space="preserve">wireless microphones and 40 </w:t>
      </w:r>
      <w:proofErr w:type="spellStart"/>
      <w:r w:rsidRPr="00B7142D">
        <w:t>milliwatt</w:t>
      </w:r>
      <w:proofErr w:type="spellEnd"/>
      <w:r w:rsidRPr="00B7142D">
        <w:t xml:space="preserve"> personal/portable devices </w:t>
      </w:r>
      <w:r w:rsidR="00FF5A03" w:rsidRPr="00B7142D">
        <w:t>operating in a manner that</w:t>
      </w:r>
      <w:r w:rsidRPr="00B7142D">
        <w:t xml:space="preserve"> meet</w:t>
      </w:r>
      <w:r w:rsidR="00FF5A03" w:rsidRPr="00B7142D">
        <w:t>s</w:t>
      </w:r>
      <w:r w:rsidRPr="00B7142D">
        <w:t xml:space="preserve"> </w:t>
      </w:r>
      <w:r w:rsidR="00FF5A03" w:rsidRPr="00B7142D">
        <w:t xml:space="preserve">our </w:t>
      </w:r>
      <w:r w:rsidRPr="00B7142D">
        <w:t xml:space="preserve">existing rules </w:t>
      </w:r>
      <w:r w:rsidR="00FF5A03" w:rsidRPr="00B7142D">
        <w:t>for</w:t>
      </w:r>
      <w:r w:rsidRPr="00B7142D">
        <w:t xml:space="preserve"> protect</w:t>
      </w:r>
      <w:r w:rsidR="00FF5A03" w:rsidRPr="00B7142D">
        <w:t>ing</w:t>
      </w:r>
      <w:r w:rsidRPr="00B7142D">
        <w:t xml:space="preserve"> co-channel TV stations, other authorized services</w:t>
      </w:r>
      <w:r w:rsidR="00FF5A03" w:rsidRPr="00B7142D">
        <w:t>,</w:t>
      </w:r>
      <w:r w:rsidRPr="00B7142D">
        <w:t xml:space="preserve"> and certain receive sites in the TV bands.  Pursuant to Sections </w:t>
      </w:r>
      <w:r w:rsidR="00A32D71">
        <w:t xml:space="preserve">15.712(a)(2) and </w:t>
      </w:r>
      <w:r w:rsidRPr="00B7142D">
        <w:t xml:space="preserve">74.802(b)(1), </w:t>
      </w:r>
      <w:proofErr w:type="gramStart"/>
      <w:r w:rsidR="00A32D71">
        <w:t xml:space="preserve">40 </w:t>
      </w:r>
      <w:proofErr w:type="spellStart"/>
      <w:r w:rsidR="00A32D71">
        <w:t>milliwatt</w:t>
      </w:r>
      <w:proofErr w:type="spellEnd"/>
      <w:proofErr w:type="gramEnd"/>
      <w:r w:rsidR="00A32D71">
        <w:t xml:space="preserve"> personal/portable white space devices and </w:t>
      </w:r>
      <w:r w:rsidRPr="00B7142D">
        <w:t>wireless microphones must meet the same protection criteria with respect to protecting co-channel TV stations (</w:t>
      </w:r>
      <w:r w:rsidR="001335D7" w:rsidRPr="00B7142D">
        <w:t>four</w:t>
      </w:r>
      <w:r w:rsidRPr="00B7142D">
        <w:t xml:space="preserve"> kilometers outside of the station’s protected contours).</w:t>
      </w:r>
      <w:r w:rsidRPr="00B7142D">
        <w:rPr>
          <w:vertAlign w:val="superscript"/>
        </w:rPr>
        <w:footnoteReference w:id="83"/>
      </w:r>
      <w:r w:rsidRPr="00B7142D">
        <w:t xml:space="preserve">  Personal/portable white space devices operating at this power level can operate within the service contours of adjacent channel TV stations, thus allowing their operation at locations where there is only a single available channel.</w:t>
      </w:r>
      <w:r w:rsidRPr="00B7142D">
        <w:rPr>
          <w:vertAlign w:val="superscript"/>
        </w:rPr>
        <w:footnoteReference w:id="84"/>
      </w:r>
      <w:r w:rsidRPr="00B7142D">
        <w:t xml:space="preserve">  Specifically, we propose that broadcast applicants </w:t>
      </w:r>
      <w:r w:rsidR="001335D7" w:rsidRPr="00B7142D">
        <w:t xml:space="preserve">required to make </w:t>
      </w:r>
      <w:r w:rsidR="00F54D18" w:rsidRPr="00B7142D">
        <w:t xml:space="preserve">a </w:t>
      </w:r>
      <w:r w:rsidR="00F54D18" w:rsidRPr="00B7142D">
        <w:lastRenderedPageBreak/>
        <w:t xml:space="preserve">vacant channel demonstration </w:t>
      </w:r>
      <w:r w:rsidR="006B15DE" w:rsidRPr="00B7142D">
        <w:t xml:space="preserve">must </w:t>
      </w:r>
      <w:r w:rsidR="00CE3941" w:rsidRPr="00B7142D">
        <w:t>show</w:t>
      </w:r>
      <w:r w:rsidRPr="00B7142D">
        <w:t xml:space="preserve"> that, at a minimum, 40 </w:t>
      </w:r>
      <w:proofErr w:type="spellStart"/>
      <w:r w:rsidRPr="00B7142D">
        <w:t>milliwatt</w:t>
      </w:r>
      <w:proofErr w:type="spellEnd"/>
      <w:r w:rsidRPr="00B7142D">
        <w:t xml:space="preserve"> personal/portable white space devices </w:t>
      </w:r>
      <w:r w:rsidR="00A32D71">
        <w:t xml:space="preserve">and </w:t>
      </w:r>
      <w:r w:rsidR="00A32D71" w:rsidRPr="00A32D71">
        <w:t xml:space="preserve">wireless microphones </w:t>
      </w:r>
      <w:r w:rsidRPr="00B7142D">
        <w:t xml:space="preserve">could operate anywhere within </w:t>
      </w:r>
      <w:r w:rsidR="001335D7" w:rsidRPr="00B7142D">
        <w:t xml:space="preserve">the </w:t>
      </w:r>
      <w:r w:rsidR="00D374B6">
        <w:t>applicant</w:t>
      </w:r>
      <w:r w:rsidR="001335D7" w:rsidRPr="00B7142D">
        <w:t xml:space="preserve">’s </w:t>
      </w:r>
      <w:r w:rsidRPr="00B7142D">
        <w:t xml:space="preserve">proposed </w:t>
      </w:r>
      <w:r w:rsidR="00497754" w:rsidRPr="00B7142D">
        <w:t>protected</w:t>
      </w:r>
      <w:r w:rsidRPr="00B7142D">
        <w:t xml:space="preserve"> </w:t>
      </w:r>
      <w:r w:rsidRPr="00AA0DFE">
        <w:t>area (</w:t>
      </w:r>
      <w:r w:rsidRPr="00BB4AF1">
        <w:t>i.e</w:t>
      </w:r>
      <w:r w:rsidRPr="00AA0DFE">
        <w:t>., after</w:t>
      </w:r>
      <w:r w:rsidRPr="00B7142D">
        <w:t xml:space="preserve"> accounting for the proposed </w:t>
      </w:r>
      <w:r w:rsidR="00CE3AB5" w:rsidRPr="00B7142D">
        <w:t xml:space="preserve">broadcast </w:t>
      </w:r>
      <w:r w:rsidR="00884E17">
        <w:t xml:space="preserve">or BAS </w:t>
      </w:r>
      <w:r w:rsidR="00CE3AB5" w:rsidRPr="00B7142D">
        <w:t>operations</w:t>
      </w:r>
      <w:r w:rsidRPr="00B7142D">
        <w:t xml:space="preserve">, there is at least one channel at all locations within the broadcast </w:t>
      </w:r>
      <w:r w:rsidR="00884E17">
        <w:t xml:space="preserve">or BAS </w:t>
      </w:r>
      <w:r w:rsidRPr="00B7142D">
        <w:t>station’s proposed protected area that meets the protection criteria for co-channel TV stations, other authorized services and certain receive sites in the TV bands).</w:t>
      </w:r>
      <w:r w:rsidR="00E93155">
        <w:t xml:space="preserve">  </w:t>
      </w:r>
    </w:p>
    <w:p w14:paraId="308B7801" w14:textId="77777777" w:rsidR="00BE3759" w:rsidRPr="00706162" w:rsidRDefault="00BE3759" w:rsidP="00BE3759">
      <w:pPr>
        <w:pStyle w:val="ParaNum"/>
        <w:rPr>
          <w:highlight w:val="yellow"/>
        </w:rPr>
      </w:pPr>
      <w:r w:rsidRPr="00706162">
        <w:rPr>
          <w:highlight w:val="yellow"/>
        </w:rPr>
        <w:t xml:space="preserve">In the </w:t>
      </w:r>
      <w:r w:rsidRPr="00706162">
        <w:rPr>
          <w:i/>
          <w:highlight w:val="yellow"/>
        </w:rPr>
        <w:t>Part 15 NPRM</w:t>
      </w:r>
      <w:r w:rsidRPr="00706162">
        <w:rPr>
          <w:highlight w:val="yellow"/>
        </w:rPr>
        <w:t xml:space="preserve">, the Commission proposed to reduce the required separation distance between </w:t>
      </w:r>
      <w:proofErr w:type="gramStart"/>
      <w:r w:rsidRPr="00706162">
        <w:rPr>
          <w:highlight w:val="yellow"/>
        </w:rPr>
        <w:t xml:space="preserve">40 </w:t>
      </w:r>
      <w:proofErr w:type="spellStart"/>
      <w:r w:rsidRPr="00706162">
        <w:rPr>
          <w:highlight w:val="yellow"/>
        </w:rPr>
        <w:t>milliwatt</w:t>
      </w:r>
      <w:proofErr w:type="spellEnd"/>
      <w:proofErr w:type="gramEnd"/>
      <w:r w:rsidRPr="00706162">
        <w:rPr>
          <w:highlight w:val="yellow"/>
        </w:rPr>
        <w:t xml:space="preserve"> personal/portable devices and co-channel TV service contours from four kilometers to 1.3 kilometers.</w:t>
      </w:r>
      <w:r w:rsidRPr="00706162">
        <w:rPr>
          <w:rStyle w:val="FootnoteReference"/>
          <w:highlight w:val="yellow"/>
        </w:rPr>
        <w:footnoteReference w:id="85"/>
      </w:r>
      <w:r w:rsidRPr="00706162">
        <w:rPr>
          <w:highlight w:val="yellow"/>
        </w:rPr>
        <w:t xml:space="preserve">  It also sought comment on whether the Commission should reduce the separation distance between wireless microphones and co-channel TV service contours from four kilometers to 1.3 kilometers.</w:t>
      </w:r>
      <w:r w:rsidRPr="00706162">
        <w:rPr>
          <w:rStyle w:val="FootnoteReference"/>
          <w:highlight w:val="yellow"/>
        </w:rPr>
        <w:footnoteReference w:id="86"/>
      </w:r>
      <w:r w:rsidRPr="00706162">
        <w:rPr>
          <w:highlight w:val="yellow"/>
        </w:rPr>
        <w:t xml:space="preserve">  Should the Commission adopt these proposals, we </w:t>
      </w:r>
      <w:r w:rsidRPr="00706162">
        <w:rPr>
          <w:highlight w:val="green"/>
        </w:rPr>
        <w:t xml:space="preserve">seek comment </w:t>
      </w:r>
      <w:r w:rsidRPr="00706162">
        <w:rPr>
          <w:highlight w:val="yellow"/>
        </w:rPr>
        <w:t xml:space="preserve">on whether we should also reduce the size of the protection zone for co-channel TV stations by the same amount when performing a </w:t>
      </w:r>
      <w:r w:rsidR="008947EE" w:rsidRPr="00706162">
        <w:rPr>
          <w:highlight w:val="yellow"/>
        </w:rPr>
        <w:t xml:space="preserve">vacant </w:t>
      </w:r>
      <w:r w:rsidRPr="00706162">
        <w:rPr>
          <w:highlight w:val="yellow"/>
        </w:rPr>
        <w:t xml:space="preserve">channel </w:t>
      </w:r>
      <w:r w:rsidR="008947EE" w:rsidRPr="00706162">
        <w:rPr>
          <w:highlight w:val="yellow"/>
        </w:rPr>
        <w:t>demonstration</w:t>
      </w:r>
      <w:r w:rsidRPr="00706162">
        <w:rPr>
          <w:highlight w:val="yellow"/>
        </w:rPr>
        <w:t>.</w:t>
      </w:r>
    </w:p>
    <w:p w14:paraId="71877D4D" w14:textId="77777777" w:rsidR="00882FF0" w:rsidRPr="00FD2D58" w:rsidRDefault="00882FF0" w:rsidP="00FE1A9C">
      <w:pPr>
        <w:pStyle w:val="ParaNum"/>
        <w:widowControl/>
        <w:rPr>
          <w:highlight w:val="yellow"/>
        </w:rPr>
      </w:pPr>
      <w:r w:rsidRPr="00FD2D58">
        <w:rPr>
          <w:highlight w:val="yellow"/>
        </w:rPr>
        <w:t>In addition to protecting TV service, the Part 15 rules require that white space devices protect certain other services in the TV bands, including the PLMRS/CMRS, MVPD and low power TV receive sites, fixed BAS links, and wireless microphone operations at specified times/locations when registered in the databases.</w:t>
      </w:r>
      <w:r w:rsidRPr="00FD2D58">
        <w:rPr>
          <w:highlight w:val="yellow"/>
          <w:vertAlign w:val="superscript"/>
        </w:rPr>
        <w:footnoteReference w:id="87"/>
      </w:r>
      <w:r w:rsidRPr="00FD2D58">
        <w:rPr>
          <w:highlight w:val="yellow"/>
        </w:rPr>
        <w:t xml:space="preserve">  Because wireless microphones and temporary BAS operations operate only for limited periods of time at any given location, we believe that it is appropriate to exclude those stations registered in the white spaces database from the </w:t>
      </w:r>
      <w:r w:rsidR="004A7F21" w:rsidRPr="00FD2D58">
        <w:rPr>
          <w:highlight w:val="yellow"/>
        </w:rPr>
        <w:t>vacant</w:t>
      </w:r>
      <w:r w:rsidRPr="00FD2D58">
        <w:rPr>
          <w:highlight w:val="yellow"/>
        </w:rPr>
        <w:t xml:space="preserve"> channel analysis.  Thus, we propose that broadcast applicants need not consider wireless microphone operations or temporary BAS stations registered in the white spaces database when determining if their proposed operations preserve a channel for wireless microphone and white space devices.  </w:t>
      </w:r>
      <w:r w:rsidR="00027EE4" w:rsidRPr="00FD2D58">
        <w:rPr>
          <w:highlight w:val="yellow"/>
        </w:rPr>
        <w:t xml:space="preserve"> </w:t>
      </w:r>
    </w:p>
    <w:p w14:paraId="75DEE2FD" w14:textId="77777777" w:rsidR="00882FF0" w:rsidRPr="00B7142D" w:rsidRDefault="00882FF0" w:rsidP="006C5F06">
      <w:pPr>
        <w:pStyle w:val="ParaNum"/>
      </w:pPr>
      <w:r w:rsidRPr="00FD2D58">
        <w:rPr>
          <w:highlight w:val="yellow"/>
        </w:rPr>
        <w:t xml:space="preserve">We also </w:t>
      </w:r>
      <w:r w:rsidRPr="00FD2D58">
        <w:rPr>
          <w:highlight w:val="green"/>
        </w:rPr>
        <w:t xml:space="preserve">seek comment </w:t>
      </w:r>
      <w:r w:rsidRPr="00FD2D58">
        <w:rPr>
          <w:highlight w:val="yellow"/>
        </w:rPr>
        <w:t xml:space="preserve">on whether we should consider white space devices </w:t>
      </w:r>
      <w:r w:rsidR="005D1D53" w:rsidRPr="00FD2D58">
        <w:rPr>
          <w:highlight w:val="yellow"/>
        </w:rPr>
        <w:t xml:space="preserve">other than </w:t>
      </w:r>
      <w:proofErr w:type="gramStart"/>
      <w:r w:rsidR="005D1D53" w:rsidRPr="00FD2D58">
        <w:rPr>
          <w:highlight w:val="yellow"/>
        </w:rPr>
        <w:t xml:space="preserve">40 </w:t>
      </w:r>
      <w:proofErr w:type="spellStart"/>
      <w:r w:rsidR="005D1D53" w:rsidRPr="00FD2D58">
        <w:rPr>
          <w:highlight w:val="yellow"/>
        </w:rPr>
        <w:t>milliwatt</w:t>
      </w:r>
      <w:proofErr w:type="spellEnd"/>
      <w:proofErr w:type="gramEnd"/>
      <w:r w:rsidR="005D1D53" w:rsidRPr="00FD2D58">
        <w:rPr>
          <w:highlight w:val="yellow"/>
        </w:rPr>
        <w:t xml:space="preserve"> personal/portable devices </w:t>
      </w:r>
      <w:r w:rsidRPr="00FD2D58">
        <w:rPr>
          <w:highlight w:val="yellow"/>
        </w:rPr>
        <w:t xml:space="preserve">in preserving a </w:t>
      </w:r>
      <w:r w:rsidR="00027EE4" w:rsidRPr="00FD2D58">
        <w:rPr>
          <w:highlight w:val="yellow"/>
        </w:rPr>
        <w:t xml:space="preserve">vacant </w:t>
      </w:r>
      <w:r w:rsidRPr="00FD2D58">
        <w:rPr>
          <w:highlight w:val="yellow"/>
        </w:rPr>
        <w:t xml:space="preserve">channel.  For example, should we base the analysis on preserving a </w:t>
      </w:r>
      <w:r w:rsidR="005D1D53" w:rsidRPr="00FD2D58">
        <w:rPr>
          <w:highlight w:val="yellow"/>
        </w:rPr>
        <w:t xml:space="preserve">vacant </w:t>
      </w:r>
      <w:r w:rsidRPr="00FD2D58">
        <w:rPr>
          <w:highlight w:val="yellow"/>
        </w:rPr>
        <w:t xml:space="preserve">channel for fixed devices or higher power (100 </w:t>
      </w:r>
      <w:proofErr w:type="spellStart"/>
      <w:r w:rsidRPr="00FD2D58">
        <w:rPr>
          <w:highlight w:val="yellow"/>
        </w:rPr>
        <w:t>milliwatt</w:t>
      </w:r>
      <w:proofErr w:type="spellEnd"/>
      <w:r w:rsidRPr="00FD2D58">
        <w:rPr>
          <w:highlight w:val="yellow"/>
        </w:rPr>
        <w:t xml:space="preserve">) personal/portable devices as well?  If so, what fixed device HAATs should we consider, and how would this affect the availability of spectrum for </w:t>
      </w:r>
      <w:r w:rsidR="00884E17" w:rsidRPr="00FD2D58">
        <w:rPr>
          <w:highlight w:val="yellow"/>
        </w:rPr>
        <w:t>broadcast</w:t>
      </w:r>
      <w:r w:rsidRPr="00FD2D58">
        <w:rPr>
          <w:highlight w:val="yellow"/>
        </w:rPr>
        <w:t xml:space="preserve"> </w:t>
      </w:r>
      <w:r w:rsidR="006C5F06" w:rsidRPr="00FD2D58">
        <w:rPr>
          <w:highlight w:val="yellow"/>
        </w:rPr>
        <w:t xml:space="preserve">and BAS </w:t>
      </w:r>
      <w:r w:rsidRPr="00FD2D58">
        <w:rPr>
          <w:highlight w:val="yellow"/>
        </w:rPr>
        <w:t>stations, since an analysis would have to consider adjacent channel spectrum use?</w:t>
      </w:r>
    </w:p>
    <w:p w14:paraId="02B6F308" w14:textId="77777777" w:rsidR="00882FF0" w:rsidRPr="00B7142D" w:rsidRDefault="00882FF0" w:rsidP="006C5F06">
      <w:pPr>
        <w:pStyle w:val="Heading3"/>
      </w:pPr>
      <w:bookmarkStart w:id="54" w:name="_Toc409784125"/>
      <w:r w:rsidRPr="00B7142D">
        <w:t xml:space="preserve">Methodology for Determining the Availability of a </w:t>
      </w:r>
      <w:r w:rsidR="00697606">
        <w:t>Vacant</w:t>
      </w:r>
      <w:r w:rsidRPr="00B7142D">
        <w:t xml:space="preserve"> Channel in a Particular Area</w:t>
      </w:r>
      <w:bookmarkEnd w:id="54"/>
    </w:p>
    <w:p w14:paraId="3F963BC5" w14:textId="77777777" w:rsidR="00C03EDB" w:rsidRDefault="00F0335B" w:rsidP="006C5F06">
      <w:pPr>
        <w:pStyle w:val="ParaNum"/>
      </w:pPr>
      <w:r w:rsidRPr="00B7142D">
        <w:rPr>
          <w:i/>
        </w:rPr>
        <w:t xml:space="preserve">New and Displaced </w:t>
      </w:r>
      <w:r w:rsidR="00E52796" w:rsidRPr="00B7142D">
        <w:rPr>
          <w:i/>
        </w:rPr>
        <w:t>Broadcast</w:t>
      </w:r>
      <w:r w:rsidRPr="00B7142D">
        <w:rPr>
          <w:i/>
        </w:rPr>
        <w:t xml:space="preserve"> Stations.  </w:t>
      </w:r>
      <w:r w:rsidRPr="00B7142D">
        <w:t>We propose that each applica</w:t>
      </w:r>
      <w:r w:rsidR="00134B7C">
        <w:t>n</w:t>
      </w:r>
      <w:r w:rsidRPr="00B7142D">
        <w:t xml:space="preserve">t for </w:t>
      </w:r>
      <w:r w:rsidR="00884E17">
        <w:t xml:space="preserve">a </w:t>
      </w:r>
      <w:r w:rsidRPr="00B7142D">
        <w:t xml:space="preserve">new or displaced TV or LPTV station </w:t>
      </w:r>
      <w:r w:rsidR="00884E17">
        <w:t xml:space="preserve">required to </w:t>
      </w:r>
      <w:r w:rsidR="0023492E" w:rsidRPr="00B7142D">
        <w:t xml:space="preserve">make </w:t>
      </w:r>
      <w:r w:rsidR="00CE3941" w:rsidRPr="00B7142D">
        <w:t xml:space="preserve">a vacant channel demonstration </w:t>
      </w:r>
      <w:r w:rsidR="00884E17">
        <w:t xml:space="preserve">must </w:t>
      </w:r>
      <w:r w:rsidR="00882FF0" w:rsidRPr="00B7142D">
        <w:t xml:space="preserve">demonstrate that, within its proposed protected area, at least one channel </w:t>
      </w:r>
      <w:r w:rsidRPr="00B7142D">
        <w:t xml:space="preserve">other </w:t>
      </w:r>
      <w:r w:rsidR="00882FF0" w:rsidRPr="00B7142D">
        <w:t xml:space="preserve">than its desired channel </w:t>
      </w:r>
      <w:r w:rsidRPr="00B7142D">
        <w:t>would be</w:t>
      </w:r>
      <w:r w:rsidR="00882FF0" w:rsidRPr="00B7142D">
        <w:t xml:space="preserve"> available for </w:t>
      </w:r>
      <w:r w:rsidR="00A32D71">
        <w:t xml:space="preserve">white space device and </w:t>
      </w:r>
      <w:r w:rsidR="00882FF0" w:rsidRPr="00B7142D">
        <w:t>wireless microphone use</w:t>
      </w:r>
      <w:r w:rsidR="009D74A5">
        <w:t>, as defined above</w:t>
      </w:r>
      <w:r w:rsidRPr="00B7142D">
        <w:t>.  T</w:t>
      </w:r>
      <w:r w:rsidR="00882FF0" w:rsidRPr="00B7142D">
        <w:t>he same channel need not be available in all locations</w:t>
      </w:r>
      <w:r w:rsidR="003C7671">
        <w:t xml:space="preserve"> </w:t>
      </w:r>
      <w:r w:rsidR="00B03B52">
        <w:t xml:space="preserve">within a station’s </w:t>
      </w:r>
      <w:r w:rsidR="007B7D26">
        <w:t xml:space="preserve">proposed </w:t>
      </w:r>
      <w:r w:rsidR="00B03B52">
        <w:t>protected area</w:t>
      </w:r>
      <w:r w:rsidR="00882FF0" w:rsidRPr="00B7142D">
        <w:t xml:space="preserve">. </w:t>
      </w:r>
      <w:r w:rsidR="0023492E" w:rsidRPr="00B7142D">
        <w:t xml:space="preserve"> </w:t>
      </w:r>
      <w:r w:rsidR="00882FF0" w:rsidRPr="00B7142D">
        <w:t xml:space="preserve">This analysis must take into account the Part 74 and Part 15 criteria </w:t>
      </w:r>
      <w:r w:rsidRPr="00B7142D">
        <w:t xml:space="preserve">that </w:t>
      </w:r>
      <w:r w:rsidR="00A32D71">
        <w:t xml:space="preserve">white space devices and </w:t>
      </w:r>
      <w:r w:rsidRPr="00B7142D">
        <w:t xml:space="preserve">wireless </w:t>
      </w:r>
      <w:proofErr w:type="gramStart"/>
      <w:r w:rsidRPr="00B7142D">
        <w:t xml:space="preserve">microphones </w:t>
      </w:r>
      <w:r w:rsidR="00882FF0" w:rsidRPr="00B7142D">
        <w:t xml:space="preserve"> must</w:t>
      </w:r>
      <w:proofErr w:type="gramEnd"/>
      <w:r w:rsidR="00882FF0" w:rsidRPr="00B7142D">
        <w:t xml:space="preserve"> meet to protect other co-channel broadcast and other services located close by, as discussed above.</w:t>
      </w:r>
    </w:p>
    <w:p w14:paraId="017FC173" w14:textId="77777777" w:rsidR="00A15D5E" w:rsidRDefault="00882FF0" w:rsidP="006C5F06">
      <w:pPr>
        <w:pStyle w:val="ParaNum"/>
      </w:pPr>
      <w:r w:rsidRPr="00B7142D">
        <w:t xml:space="preserve"> </w:t>
      </w:r>
      <w:r w:rsidR="00810F1F">
        <w:t xml:space="preserve">Under our proposed approach, </w:t>
      </w:r>
      <w:r w:rsidR="00E167D4">
        <w:t xml:space="preserve">applicants </w:t>
      </w:r>
      <w:r w:rsidR="00810F1F">
        <w:t xml:space="preserve">could </w:t>
      </w:r>
      <w:r w:rsidR="00E167D4">
        <w:t xml:space="preserve">use the white spaces databases to determine whether at least one channel would remain available for </w:t>
      </w:r>
      <w:r w:rsidR="00A32D71">
        <w:t xml:space="preserve">white space devices and </w:t>
      </w:r>
      <w:r w:rsidR="00E167D4">
        <w:t xml:space="preserve">wireless microphones within a station’s proposed protected area.  The white spaces databases are designed to </w:t>
      </w:r>
      <w:r w:rsidR="00E167D4">
        <w:lastRenderedPageBreak/>
        <w:t>provide lists of available channels that can be used by a white space device at the device’s specific geographic coordinates (</w:t>
      </w:r>
      <w:r w:rsidR="00E167D4" w:rsidRPr="00BB4AF1">
        <w:t>i.e</w:t>
      </w:r>
      <w:r w:rsidR="00E167D4" w:rsidRPr="00AA0DFE">
        <w:t>.,</w:t>
      </w:r>
      <w:r w:rsidR="00E167D4">
        <w:t xml:space="preserve"> a single point).</w:t>
      </w:r>
      <w:r w:rsidR="00E167D4">
        <w:rPr>
          <w:rStyle w:val="FootnoteReference"/>
        </w:rPr>
        <w:footnoteReference w:id="88"/>
      </w:r>
      <w:r w:rsidR="00E167D4">
        <w:t xml:space="preserve">  The co-channel television protection requirements for wireless microphones are the same as for </w:t>
      </w:r>
      <w:proofErr w:type="gramStart"/>
      <w:r w:rsidR="00E167D4">
        <w:t xml:space="preserve">40 </w:t>
      </w:r>
      <w:proofErr w:type="spellStart"/>
      <w:r w:rsidR="00E167D4">
        <w:t>milliwatt</w:t>
      </w:r>
      <w:proofErr w:type="spellEnd"/>
      <w:proofErr w:type="gramEnd"/>
      <w:r w:rsidR="00E167D4">
        <w:t xml:space="preserve"> </w:t>
      </w:r>
      <w:r w:rsidR="00AF7CB1">
        <w:t xml:space="preserve">personal/portable </w:t>
      </w:r>
      <w:r w:rsidR="00E167D4">
        <w:t xml:space="preserve">white space devices, so a channel that the white spaces database indicates as being available for 40 </w:t>
      </w:r>
      <w:proofErr w:type="spellStart"/>
      <w:r w:rsidR="00E167D4">
        <w:t>milliwatt</w:t>
      </w:r>
      <w:proofErr w:type="spellEnd"/>
      <w:r w:rsidR="00E167D4">
        <w:t xml:space="preserve"> </w:t>
      </w:r>
      <w:r w:rsidR="00AF7CB1">
        <w:t xml:space="preserve">personal/portable </w:t>
      </w:r>
      <w:r w:rsidR="00E167D4">
        <w:t>white space devices will also be available for wireless microphones.</w:t>
      </w:r>
      <w:r w:rsidR="00E167D4">
        <w:rPr>
          <w:rStyle w:val="FootnoteReference"/>
        </w:rPr>
        <w:footnoteReference w:id="89"/>
      </w:r>
      <w:r w:rsidR="00E167D4">
        <w:t xml:space="preserve">  Because the white space databases provide lists of available channels for one point at a time rather than over a defined area</w:t>
      </w:r>
      <w:r w:rsidRPr="00B7142D">
        <w:t xml:space="preserve">, we are proposing a procedure that will allow an applicant to determine channel availability over an area by using channel lists for individual points within its </w:t>
      </w:r>
      <w:r w:rsidR="00497754" w:rsidRPr="00B7142D">
        <w:t xml:space="preserve">proposed </w:t>
      </w:r>
      <w:r w:rsidRPr="00B7142D">
        <w:t>protected area</w:t>
      </w:r>
      <w:r w:rsidR="00F0335B" w:rsidRPr="00B7142D">
        <w:t xml:space="preserve"> of operations</w:t>
      </w:r>
      <w:r w:rsidRPr="00B7142D">
        <w:t xml:space="preserve">.  </w:t>
      </w:r>
    </w:p>
    <w:p w14:paraId="1D2D0AD5" w14:textId="77777777" w:rsidR="00882FF0" w:rsidRPr="00B7142D" w:rsidRDefault="00882FF0" w:rsidP="002D2631">
      <w:pPr>
        <w:pStyle w:val="ParaNum"/>
        <w:widowControl/>
      </w:pPr>
      <w:r w:rsidRPr="00B7142D">
        <w:t xml:space="preserve">Specifically, we propose that the availability of channels for white space devices </w:t>
      </w:r>
      <w:r w:rsidR="00DA2CAB">
        <w:t xml:space="preserve">and wireless microphones </w:t>
      </w:r>
      <w:r w:rsidRPr="00B7142D">
        <w:t xml:space="preserve">be determined by </w:t>
      </w:r>
      <w:r w:rsidR="00E167D4">
        <w:t>using the white spaces database</w:t>
      </w:r>
      <w:r w:rsidR="00810F1F">
        <w:t>s</w:t>
      </w:r>
      <w:r w:rsidR="00E167D4">
        <w:t xml:space="preserve"> to analyze a single point within each</w:t>
      </w:r>
      <w:r w:rsidR="00E167D4" w:rsidRPr="00B7142D">
        <w:t xml:space="preserve"> </w:t>
      </w:r>
      <w:r w:rsidRPr="00B7142D">
        <w:t>individual two</w:t>
      </w:r>
      <w:r w:rsidR="00A15D5E">
        <w:t>-</w:t>
      </w:r>
      <w:r w:rsidRPr="00B7142D">
        <w:t>by</w:t>
      </w:r>
      <w:r w:rsidR="00A15D5E">
        <w:t>-</w:t>
      </w:r>
      <w:r w:rsidRPr="00B7142D">
        <w:t>two kilometer cell of a grid that covers the entire proposed protected area</w:t>
      </w:r>
      <w:r w:rsidR="00F0335B" w:rsidRPr="00B7142D">
        <w:t xml:space="preserve"> of operations</w:t>
      </w:r>
      <w:r w:rsidRPr="00B7142D">
        <w:t>.</w:t>
      </w:r>
      <w:r w:rsidR="00C41D2C" w:rsidRPr="00C41D2C">
        <w:rPr>
          <w:rStyle w:val="FootnoteReference"/>
        </w:rPr>
        <w:t xml:space="preserve"> </w:t>
      </w:r>
      <w:r w:rsidR="00C41D2C">
        <w:rPr>
          <w:rStyle w:val="FootnoteReference"/>
        </w:rPr>
        <w:footnoteReference w:id="90"/>
      </w:r>
      <w:r w:rsidRPr="00B7142D">
        <w:t xml:space="preserve">  An example of a grid is shown in Figure 1 below.  </w:t>
      </w:r>
      <w:r w:rsidR="00E167D4">
        <w:t>We propose a two kilometer grid size as a balance between minimizing the number of individual points that must be analyzed and ensuring that the analysis is sufficiently detailed so as not to miss locations where no vacant channel is available.</w:t>
      </w:r>
      <w:r w:rsidR="00E167D4">
        <w:rPr>
          <w:rStyle w:val="FootnoteReference"/>
        </w:rPr>
        <w:footnoteReference w:id="91"/>
      </w:r>
      <w:r w:rsidR="00E167D4">
        <w:t xml:space="preserve">  Also, a </w:t>
      </w:r>
      <w:proofErr w:type="gramStart"/>
      <w:r w:rsidR="00E167D4">
        <w:t>two kilometer</w:t>
      </w:r>
      <w:proofErr w:type="gramEnd"/>
      <w:r w:rsidR="00E167D4">
        <w:t xml:space="preserve"> grid size is consistent with the methodology the Commission has used for evaluating TV coverage and interference.</w:t>
      </w:r>
      <w:r w:rsidR="00E167D4">
        <w:rPr>
          <w:rStyle w:val="FootnoteReference"/>
        </w:rPr>
        <w:footnoteReference w:id="92"/>
      </w:r>
      <w:r w:rsidR="00E167D4">
        <w:t xml:space="preserve">  </w:t>
      </w:r>
      <w:r w:rsidRPr="00B7142D">
        <w:t xml:space="preserve">For the purpose of this analysis, we propose that the TV station </w:t>
      </w:r>
      <w:r w:rsidR="00A14F38" w:rsidRPr="00B7142D">
        <w:t xml:space="preserve">proposed </w:t>
      </w:r>
      <w:r w:rsidRPr="00B7142D">
        <w:t xml:space="preserve">protected area be calculated in accordance with the methodology in </w:t>
      </w:r>
      <w:r w:rsidR="00A54A99">
        <w:t>s</w:t>
      </w:r>
      <w:r w:rsidRPr="00B7142D">
        <w:t>ections 74.802(b)(1) and 15.712(a)(1)</w:t>
      </w:r>
      <w:r w:rsidR="00C75831" w:rsidRPr="00B7142D">
        <w:t>-(2)</w:t>
      </w:r>
      <w:r w:rsidRPr="00B7142D">
        <w:t xml:space="preserve"> of the rules, since those sections define the co-channel TV station operations that wireless microphones and white space devices must protect.</w:t>
      </w:r>
      <w:r w:rsidR="000805B3" w:rsidRPr="001A3028">
        <w:rPr>
          <w:rStyle w:val="FootnoteReference"/>
          <w:sz w:val="22"/>
        </w:rPr>
        <w:footnoteReference w:id="93"/>
      </w:r>
      <w:r w:rsidRPr="00B7142D">
        <w:t xml:space="preserve">  </w:t>
      </w:r>
      <w:r w:rsidRPr="00B7142D">
        <w:rPr>
          <w:rFonts w:eastAsia="Calibri"/>
        </w:rPr>
        <w:t xml:space="preserve">In addition, we propose that all cells that are within or overlap any portion of the </w:t>
      </w:r>
      <w:r w:rsidR="00A14F38" w:rsidRPr="00B7142D">
        <w:rPr>
          <w:rFonts w:eastAsia="Calibri"/>
        </w:rPr>
        <w:t xml:space="preserve">proposed </w:t>
      </w:r>
      <w:r w:rsidRPr="00B7142D">
        <w:rPr>
          <w:rFonts w:eastAsia="Calibri"/>
        </w:rPr>
        <w:t>protected area</w:t>
      </w:r>
      <w:r w:rsidR="00A14F38" w:rsidRPr="00B7142D">
        <w:rPr>
          <w:rFonts w:eastAsia="Calibri"/>
        </w:rPr>
        <w:t xml:space="preserve"> </w:t>
      </w:r>
      <w:r w:rsidRPr="00B7142D">
        <w:rPr>
          <w:rFonts w:eastAsia="Calibri"/>
        </w:rPr>
        <w:t xml:space="preserve">be analyzed for </w:t>
      </w:r>
      <w:r w:rsidR="00DA2CAB">
        <w:rPr>
          <w:rFonts w:eastAsia="Calibri"/>
        </w:rPr>
        <w:t xml:space="preserve">white space device and </w:t>
      </w:r>
      <w:r w:rsidRPr="00B7142D">
        <w:rPr>
          <w:rFonts w:eastAsia="Calibri"/>
        </w:rPr>
        <w:t xml:space="preserve">wireless microphone channel availability, and that the availability be calculated at a single point at the center of each cell.  In proposing to require analysis for only a single point in each cell, we recognize that it is not computationally practicable to evaluate </w:t>
      </w:r>
      <w:r w:rsidR="00DA2CAB">
        <w:rPr>
          <w:rFonts w:eastAsia="Calibri"/>
        </w:rPr>
        <w:t xml:space="preserve">white space device and </w:t>
      </w:r>
      <w:r w:rsidRPr="00B7142D">
        <w:rPr>
          <w:rFonts w:eastAsia="Calibri"/>
        </w:rPr>
        <w:t>wireless microphone channel availability at every possible location in a cell.  We also propose that</w:t>
      </w:r>
      <w:r w:rsidR="00B43126" w:rsidRPr="00B7142D">
        <w:rPr>
          <w:rFonts w:eastAsia="Calibri"/>
        </w:rPr>
        <w:t>,</w:t>
      </w:r>
      <w:r w:rsidRPr="00B7142D">
        <w:rPr>
          <w:rFonts w:eastAsia="Calibri"/>
        </w:rPr>
        <w:t xml:space="preserve"> </w:t>
      </w:r>
      <w:r w:rsidRPr="00B7142D">
        <w:t xml:space="preserve">as long as at least one channel would remain available for </w:t>
      </w:r>
      <w:r w:rsidR="00DA2CAB">
        <w:t xml:space="preserve">white space devices and </w:t>
      </w:r>
      <w:r w:rsidRPr="00B7142D">
        <w:t xml:space="preserve">wireless microphones at the center point of each cell requiring analysis, </w:t>
      </w:r>
      <w:r w:rsidR="00B43126" w:rsidRPr="00B7142D">
        <w:t xml:space="preserve">the applicant’s </w:t>
      </w:r>
      <w:r w:rsidR="00CE3941" w:rsidRPr="00B7142D">
        <w:t xml:space="preserve">vacant channel demonstration </w:t>
      </w:r>
      <w:r w:rsidR="00B43126" w:rsidRPr="00B7142D">
        <w:t>would be satisfied</w:t>
      </w:r>
      <w:r w:rsidRPr="00B7142D">
        <w:t>.</w:t>
      </w:r>
    </w:p>
    <w:p w14:paraId="64054DBE" w14:textId="77777777" w:rsidR="00891E6F" w:rsidRDefault="00891E6F" w:rsidP="00F0335B">
      <w:pPr>
        <w:pStyle w:val="ParaNum"/>
      </w:pPr>
      <w:r>
        <w:rPr>
          <w:i/>
        </w:rPr>
        <w:t>Modification</w:t>
      </w:r>
      <w:r w:rsidR="00F0335B" w:rsidRPr="00B7142D">
        <w:rPr>
          <w:i/>
        </w:rPr>
        <w:t xml:space="preserve">s to </w:t>
      </w:r>
      <w:r w:rsidR="00E52796" w:rsidRPr="00B7142D">
        <w:rPr>
          <w:i/>
        </w:rPr>
        <w:t>E</w:t>
      </w:r>
      <w:r w:rsidR="00F0335B" w:rsidRPr="00B7142D">
        <w:rPr>
          <w:i/>
        </w:rPr>
        <w:t xml:space="preserve">xisting </w:t>
      </w:r>
      <w:r w:rsidR="00E52796" w:rsidRPr="00B7142D">
        <w:rPr>
          <w:i/>
        </w:rPr>
        <w:t>Broadcast</w:t>
      </w:r>
      <w:r w:rsidR="00F0335B" w:rsidRPr="00B7142D">
        <w:rPr>
          <w:i/>
        </w:rPr>
        <w:t xml:space="preserve"> </w:t>
      </w:r>
      <w:r w:rsidR="00E52796" w:rsidRPr="00B7142D">
        <w:rPr>
          <w:i/>
        </w:rPr>
        <w:t>S</w:t>
      </w:r>
      <w:r w:rsidR="00F0335B" w:rsidRPr="00B7142D">
        <w:rPr>
          <w:i/>
        </w:rPr>
        <w:t>tations.</w:t>
      </w:r>
      <w:r w:rsidR="00F0335B" w:rsidRPr="00B7142D">
        <w:t xml:space="preserve">  We propose that an applicant </w:t>
      </w:r>
      <w:r>
        <w:t>required to make a vacant channel demonstration</w:t>
      </w:r>
      <w:r w:rsidR="00F0335B" w:rsidRPr="00B7142D">
        <w:t xml:space="preserve"> that wishes to modify an existing </w:t>
      </w:r>
      <w:r w:rsidR="00E52796" w:rsidRPr="00B7142D">
        <w:t>broadcast</w:t>
      </w:r>
      <w:r w:rsidR="00F0335B" w:rsidRPr="00B7142D">
        <w:t xml:space="preserve"> station that would result in a change to the station’s protected area must demonstrate that at least one channel would remain available for </w:t>
      </w:r>
      <w:r w:rsidR="00DA2CAB">
        <w:t xml:space="preserve">white space devices and </w:t>
      </w:r>
      <w:r w:rsidR="00F0335B" w:rsidRPr="00B7142D">
        <w:t xml:space="preserve">wireless microphones in those portions of the proposed protected </w:t>
      </w:r>
      <w:r w:rsidR="00F0335B" w:rsidRPr="00B7142D">
        <w:lastRenderedPageBreak/>
        <w:t xml:space="preserve">area that would extend beyond its existing protected area.  We recognize that there could be situations in which there are no vacant channels for </w:t>
      </w:r>
      <w:r w:rsidR="00DA2CAB">
        <w:t xml:space="preserve">white space devices and </w:t>
      </w:r>
      <w:r w:rsidR="00F0335B" w:rsidRPr="00B7142D">
        <w:t xml:space="preserve">wireless microphones within portions of the station’s existing protected area, but we are not proposing that the vacant channel </w:t>
      </w:r>
      <w:r>
        <w:t>demonstration</w:t>
      </w:r>
      <w:r w:rsidR="00F0335B" w:rsidRPr="00B7142D">
        <w:t xml:space="preserve"> be applied to these areas.  To do so could jeopardize the station’s ability to maintain service to the public within the existing protected area, depending on channel availability within the area and whether further station modifications would be needed.  </w:t>
      </w:r>
    </w:p>
    <w:p w14:paraId="3A84587D" w14:textId="77777777" w:rsidR="00F0335B" w:rsidRPr="00B7142D" w:rsidRDefault="00402640" w:rsidP="00402640">
      <w:pPr>
        <w:pStyle w:val="ParaNum"/>
      </w:pPr>
      <w:r w:rsidRPr="00402640">
        <w:t xml:space="preserve">We propose that an applicant requesting to modify an existing broadcast station provide a showing of compliance, using the methodology described above that is performed over the portions of the proposed protected area that would extend beyond the existing protected area.  In this case, the channel availability analysis would be performed on the </w:t>
      </w:r>
      <w:proofErr w:type="gramStart"/>
      <w:r w:rsidRPr="00402640">
        <w:t>station’s</w:t>
      </w:r>
      <w:proofErr w:type="gramEnd"/>
      <w:r w:rsidRPr="00402640">
        <w:t xml:space="preserve"> proposed protected area after excluding all cells that are within or overlap any portion of the station’s existing protected area.  We further propose that as long as at least one channel would remain available for white space devices and wireless microphones at the center point of each cell requiring analysis, the vacant channel demonstration would be satisfied.</w:t>
      </w:r>
    </w:p>
    <w:p w14:paraId="02438922" w14:textId="77777777" w:rsidR="00134B7C" w:rsidRDefault="00F0335B" w:rsidP="00F0335B">
      <w:pPr>
        <w:pStyle w:val="ParaNum"/>
      </w:pPr>
      <w:r w:rsidRPr="00B7142D">
        <w:rPr>
          <w:i/>
        </w:rPr>
        <w:t>BAS stations</w:t>
      </w:r>
      <w:r w:rsidRPr="00B7142D">
        <w:t>.  We propose that each applica</w:t>
      </w:r>
      <w:r w:rsidR="00134B7C">
        <w:t>n</w:t>
      </w:r>
      <w:r w:rsidRPr="00B7142D">
        <w:t xml:space="preserve">t for </w:t>
      </w:r>
      <w:r w:rsidR="00134B7C">
        <w:t xml:space="preserve">a </w:t>
      </w:r>
      <w:r w:rsidRPr="00B7142D">
        <w:t xml:space="preserve">new or displaced BAS station </w:t>
      </w:r>
      <w:r w:rsidR="00FF4F7C">
        <w:t xml:space="preserve">required to make a vacant </w:t>
      </w:r>
      <w:r w:rsidRPr="00B7142D">
        <w:t xml:space="preserve">channel </w:t>
      </w:r>
      <w:r w:rsidR="00FF4F7C">
        <w:t xml:space="preserve">demonstration </w:t>
      </w:r>
      <w:r w:rsidR="00134B7C">
        <w:t xml:space="preserve">must </w:t>
      </w:r>
      <w:r w:rsidRPr="00B7142D">
        <w:t xml:space="preserve">demonstrate that, within the entire proposed protected area, at least one channel other than the desired channel would continue to be available for </w:t>
      </w:r>
      <w:r w:rsidR="00DA2CAB">
        <w:t xml:space="preserve">white space device and </w:t>
      </w:r>
      <w:r w:rsidRPr="00B7142D">
        <w:t>wireless microphone use within that area.</w:t>
      </w:r>
      <w:r w:rsidRPr="001A3028">
        <w:rPr>
          <w:rStyle w:val="FootnoteReference"/>
          <w:sz w:val="22"/>
        </w:rPr>
        <w:footnoteReference w:id="94"/>
      </w:r>
      <w:r w:rsidRPr="00B7142D">
        <w:t xml:space="preserve">  An applicant could demonstrate compliance with this requirement using the methodology described above, except that the protected area for a BAS station would be the exclusion </w:t>
      </w:r>
      <w:proofErr w:type="gramStart"/>
      <w:r w:rsidRPr="00B7142D">
        <w:t>zones</w:t>
      </w:r>
      <w:proofErr w:type="gramEnd"/>
      <w:r w:rsidRPr="00B7142D">
        <w:t xml:space="preserve"> defined in </w:t>
      </w:r>
      <w:r w:rsidR="00A54A99">
        <w:t>s</w:t>
      </w:r>
      <w:r w:rsidRPr="00B7142D">
        <w:t xml:space="preserve">ection 15.712(c) rather than a service contour plus four kilometers.  Since </w:t>
      </w:r>
      <w:r w:rsidR="00A54A99">
        <w:t>s</w:t>
      </w:r>
      <w:r w:rsidRPr="00B7142D">
        <w:t>ection 15.712(c) requires white space devices to provide both co-channel and adjacent channel protection to the BAS, the analysis must be performed on co- and adjacent channels that fall within the range that the Commission selects for channel preservation (</w:t>
      </w:r>
      <w:r w:rsidRPr="00E37493">
        <w:t>e.g.,</w:t>
      </w:r>
      <w:r w:rsidRPr="00B7142D">
        <w:rPr>
          <w:i/>
        </w:rPr>
        <w:t xml:space="preserve"> </w:t>
      </w:r>
      <w:r w:rsidR="00A54A99">
        <w:t>channels 21</w:t>
      </w:r>
      <w:r w:rsidRPr="00B7142D">
        <w:t xml:space="preserve"> and above as proposed above).</w:t>
      </w:r>
      <w:r w:rsidRPr="001A3028">
        <w:rPr>
          <w:rStyle w:val="FootnoteReference"/>
          <w:sz w:val="22"/>
        </w:rPr>
        <w:footnoteReference w:id="95"/>
      </w:r>
      <w:r w:rsidRPr="00B7142D">
        <w:t xml:space="preserve">  </w:t>
      </w:r>
    </w:p>
    <w:p w14:paraId="73F08908" w14:textId="77777777" w:rsidR="00F0335B" w:rsidRPr="00B7142D" w:rsidRDefault="00F0335B" w:rsidP="00F0335B">
      <w:pPr>
        <w:pStyle w:val="ParaNum"/>
      </w:pPr>
      <w:r w:rsidRPr="00B7142D">
        <w:t xml:space="preserve">In the case of a </w:t>
      </w:r>
      <w:r w:rsidR="00134B7C">
        <w:t>modification of</w:t>
      </w:r>
      <w:r w:rsidRPr="00B7142D">
        <w:t xml:space="preserve"> an existing BAS station, the applicant could provide a showing of compliance performed over only the portions of the proposed protected area that would extend beyond its existing protected area</w:t>
      </w:r>
      <w:r w:rsidRPr="00EF604F">
        <w:t xml:space="preserve">, </w:t>
      </w:r>
      <w:r w:rsidRPr="00BB4AF1">
        <w:t>i.e.,</w:t>
      </w:r>
      <w:r w:rsidRPr="00EF604F">
        <w:t xml:space="preserve"> by excluding</w:t>
      </w:r>
      <w:r w:rsidRPr="00B7142D">
        <w:t xml:space="preserve"> all cells that are </w:t>
      </w:r>
      <w:r w:rsidRPr="00B7142D">
        <w:rPr>
          <w:rFonts w:eastAsia="Calibri"/>
        </w:rPr>
        <w:t>within or overlap any portion</w:t>
      </w:r>
      <w:r w:rsidRPr="00B7142D">
        <w:t xml:space="preserve"> of the station’s existing protected area.  We further </w:t>
      </w:r>
      <w:r w:rsidRPr="00B7142D">
        <w:rPr>
          <w:rFonts w:eastAsia="Calibri"/>
        </w:rPr>
        <w:t xml:space="preserve">propose that </w:t>
      </w:r>
      <w:r w:rsidRPr="00B7142D">
        <w:t xml:space="preserve">as long as at least one channel would remain available for </w:t>
      </w:r>
      <w:r w:rsidR="00DA2CAB">
        <w:t xml:space="preserve">white space devices and </w:t>
      </w:r>
      <w:r w:rsidRPr="00B7142D">
        <w:t xml:space="preserve">wireless microphones at the center point of each cell requiring analysis, the </w:t>
      </w:r>
      <w:r w:rsidR="00134B7C">
        <w:t xml:space="preserve">vacant </w:t>
      </w:r>
      <w:r w:rsidRPr="00B7142D">
        <w:t xml:space="preserve">channel </w:t>
      </w:r>
      <w:r w:rsidR="00134B7C">
        <w:t xml:space="preserve">demonstration </w:t>
      </w:r>
      <w:r w:rsidRPr="00B7142D">
        <w:t>would be satisfied.</w:t>
      </w:r>
    </w:p>
    <w:p w14:paraId="6DC5F423" w14:textId="77777777" w:rsidR="00882FF0" w:rsidRPr="00FD2D58" w:rsidRDefault="00402640" w:rsidP="00402640">
      <w:pPr>
        <w:pStyle w:val="ParaNum"/>
        <w:rPr>
          <w:highlight w:val="yellow"/>
        </w:rPr>
      </w:pPr>
      <w:r w:rsidRPr="00FD2D58">
        <w:rPr>
          <w:rFonts w:eastAsia="Calibri"/>
          <w:i/>
          <w:highlight w:val="yellow"/>
        </w:rPr>
        <w:t xml:space="preserve">Appropriate Grid Size.  </w:t>
      </w:r>
      <w:r w:rsidRPr="00FD2D58">
        <w:rPr>
          <w:rFonts w:eastAsia="Calibri"/>
          <w:highlight w:val="yellow"/>
        </w:rPr>
        <w:t xml:space="preserve">We </w:t>
      </w:r>
      <w:r w:rsidRPr="00FD2D58">
        <w:rPr>
          <w:rFonts w:eastAsia="Calibri"/>
          <w:highlight w:val="green"/>
        </w:rPr>
        <w:t xml:space="preserve">seek comment </w:t>
      </w:r>
      <w:r w:rsidRPr="00FD2D58">
        <w:rPr>
          <w:rFonts w:eastAsia="Calibri"/>
          <w:highlight w:val="yellow"/>
        </w:rPr>
        <w:t>on the appropriate grid size for the vacant channel demonstration.</w:t>
      </w:r>
      <w:r w:rsidR="00882FF0" w:rsidRPr="00FD2D58">
        <w:rPr>
          <w:rFonts w:eastAsia="Calibri"/>
          <w:highlight w:val="yellow"/>
        </w:rPr>
        <w:t xml:space="preserve">  Is two kilometers appropriate, or should the grid size be smaller or larger?  Should we require that the grid be oriented with the lines in north-south and east-west directions, or is there any </w:t>
      </w:r>
      <w:proofErr w:type="gramStart"/>
      <w:r w:rsidR="00882FF0" w:rsidRPr="00FD2D58">
        <w:rPr>
          <w:rFonts w:eastAsia="Calibri"/>
          <w:highlight w:val="yellow"/>
        </w:rPr>
        <w:t>need</w:t>
      </w:r>
      <w:proofErr w:type="gramEnd"/>
      <w:r w:rsidR="00882FF0" w:rsidRPr="00FD2D58">
        <w:rPr>
          <w:rFonts w:eastAsia="Calibri"/>
          <w:highlight w:val="yellow"/>
        </w:rPr>
        <w:t xml:space="preserve"> to specify the orientation?  Should we require that the grid be positioned so that the transmitter is at the intersection of two grid lines, in the center of a cell, some other position, or is there no need to specify such a requirement?  At which point in a cell should the available </w:t>
      </w:r>
      <w:r w:rsidR="00F0335B" w:rsidRPr="00FD2D58">
        <w:rPr>
          <w:rFonts w:eastAsia="Calibri"/>
          <w:highlight w:val="yellow"/>
        </w:rPr>
        <w:t>vacant</w:t>
      </w:r>
      <w:r w:rsidR="00882FF0" w:rsidRPr="00FD2D58">
        <w:rPr>
          <w:rFonts w:eastAsia="Calibri"/>
          <w:highlight w:val="yellow"/>
        </w:rPr>
        <w:t xml:space="preserve"> channels be determined – the center of the cell, the center of population, or some other point?  What is the appropriate way to determine channel availability in cells at the edge of the </w:t>
      </w:r>
      <w:r w:rsidR="00A14F38" w:rsidRPr="00FD2D58">
        <w:rPr>
          <w:rFonts w:eastAsia="Calibri"/>
          <w:highlight w:val="yellow"/>
        </w:rPr>
        <w:t xml:space="preserve">proposed </w:t>
      </w:r>
      <w:r w:rsidR="00882FF0" w:rsidRPr="00FD2D58">
        <w:rPr>
          <w:rFonts w:eastAsia="Calibri"/>
          <w:highlight w:val="yellow"/>
        </w:rPr>
        <w:t xml:space="preserve">protected area where the center point of the cell is outside the </w:t>
      </w:r>
      <w:r w:rsidR="00F0335B" w:rsidRPr="00FD2D58">
        <w:rPr>
          <w:rFonts w:eastAsia="Calibri"/>
          <w:highlight w:val="yellow"/>
        </w:rPr>
        <w:t>protected area</w:t>
      </w:r>
      <w:r w:rsidR="00882FF0" w:rsidRPr="00FD2D58">
        <w:rPr>
          <w:rFonts w:eastAsia="Calibri"/>
          <w:highlight w:val="yellow"/>
        </w:rPr>
        <w:t xml:space="preserve">?  Should the channel availability be determined at a point other than the center of such cells, and if so, which point?  Does there need to be a </w:t>
      </w:r>
      <w:r w:rsidR="00F0335B" w:rsidRPr="00FD2D58">
        <w:rPr>
          <w:rFonts w:eastAsia="Calibri"/>
          <w:highlight w:val="yellow"/>
        </w:rPr>
        <w:t>vacant</w:t>
      </w:r>
      <w:r w:rsidR="00882FF0" w:rsidRPr="00FD2D58">
        <w:rPr>
          <w:rFonts w:eastAsia="Calibri"/>
          <w:highlight w:val="yellow"/>
        </w:rPr>
        <w:t xml:space="preserve"> channel available in every cell, or should we allow exclusion of certain cells, such as those in unpopulated areas or over water, or those in which only a small fraction of the area of a cell is encompassed within </w:t>
      </w:r>
      <w:r w:rsidR="00246780" w:rsidRPr="00FD2D58">
        <w:rPr>
          <w:rFonts w:eastAsia="Calibri"/>
          <w:highlight w:val="yellow"/>
        </w:rPr>
        <w:t xml:space="preserve">the </w:t>
      </w:r>
      <w:r w:rsidR="00882FF0" w:rsidRPr="00FD2D58">
        <w:rPr>
          <w:rFonts w:eastAsia="Calibri"/>
          <w:highlight w:val="yellow"/>
        </w:rPr>
        <w:t xml:space="preserve">edge of the </w:t>
      </w:r>
      <w:r w:rsidR="00A14F38" w:rsidRPr="00FD2D58">
        <w:rPr>
          <w:rFonts w:eastAsia="Calibri"/>
          <w:highlight w:val="yellow"/>
        </w:rPr>
        <w:t xml:space="preserve">proposed </w:t>
      </w:r>
      <w:r w:rsidR="00882FF0" w:rsidRPr="00FD2D58">
        <w:rPr>
          <w:rFonts w:eastAsia="Calibri"/>
          <w:highlight w:val="yellow"/>
        </w:rPr>
        <w:t xml:space="preserve">protected area?  Would the white space database administrators have to make any changes to their systems as a result of our proposed changes?  Is there an alternative method for analyzing wireless </w:t>
      </w:r>
      <w:r w:rsidR="00882FF0" w:rsidRPr="00FD2D58">
        <w:rPr>
          <w:rFonts w:eastAsia="Calibri"/>
          <w:highlight w:val="yellow"/>
        </w:rPr>
        <w:lastRenderedPageBreak/>
        <w:t>microphone and white space device channel availability</w:t>
      </w:r>
      <w:r w:rsidR="00B43126" w:rsidRPr="00FD2D58">
        <w:rPr>
          <w:rFonts w:eastAsia="Calibri"/>
          <w:highlight w:val="yellow"/>
        </w:rPr>
        <w:t xml:space="preserve"> in order to determine whether a vacant channel for their operation remains</w:t>
      </w:r>
      <w:r w:rsidR="00882FF0" w:rsidRPr="00FD2D58">
        <w:rPr>
          <w:rFonts w:eastAsia="Calibri"/>
          <w:highlight w:val="yellow"/>
        </w:rPr>
        <w:t>?  Parties that wish to propose alternative methods should describe them in detail and explain how they would be practically implementable for broadcast applicants.</w:t>
      </w:r>
    </w:p>
    <w:p w14:paraId="5E33D9C6" w14:textId="77777777" w:rsidR="00882FF0" w:rsidRPr="00B7142D" w:rsidRDefault="000805B3" w:rsidP="006C5F06">
      <w:pPr>
        <w:pStyle w:val="ParaNum"/>
        <w:numPr>
          <w:ilvl w:val="0"/>
          <w:numId w:val="0"/>
        </w:numPr>
        <w:jc w:val="center"/>
      </w:pPr>
      <w:r w:rsidRPr="00B7142D">
        <w:rPr>
          <w:rFonts w:eastAsia="Calibri"/>
          <w:noProof/>
        </w:rPr>
        <w:drawing>
          <wp:inline distT="0" distB="0" distL="0" distR="0" wp14:anchorId="07BB0D1B" wp14:editId="2DF27F54">
            <wp:extent cx="4071068" cy="4397071"/>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d graphic v2 cropp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71878" cy="4397946"/>
                    </a:xfrm>
                    <a:prstGeom prst="rect">
                      <a:avLst/>
                    </a:prstGeom>
                    <a:noFill/>
                    <a:ln>
                      <a:noFill/>
                    </a:ln>
                  </pic:spPr>
                </pic:pic>
              </a:graphicData>
            </a:graphic>
          </wp:inline>
        </w:drawing>
      </w:r>
    </w:p>
    <w:p w14:paraId="063672E6" w14:textId="77777777" w:rsidR="00882FF0" w:rsidRPr="00B7142D" w:rsidRDefault="00882FF0" w:rsidP="006C5F06">
      <w:pPr>
        <w:spacing w:after="120"/>
        <w:ind w:left="720"/>
        <w:jc w:val="center"/>
        <w:rPr>
          <w:rFonts w:eastAsia="Calibri"/>
          <w:b/>
        </w:rPr>
      </w:pPr>
      <w:r w:rsidRPr="00B7142D">
        <w:rPr>
          <w:rFonts w:eastAsia="Calibri"/>
          <w:b/>
        </w:rPr>
        <w:t>Figure 1 – Example of a 2x2 km grid used for determining vacant channel availability</w:t>
      </w:r>
    </w:p>
    <w:p w14:paraId="71E29F98" w14:textId="77777777" w:rsidR="00882FF0" w:rsidRPr="00B7142D" w:rsidRDefault="00882FF0" w:rsidP="006C5F06">
      <w:pPr>
        <w:pStyle w:val="ParaNum"/>
        <w:numPr>
          <w:ilvl w:val="0"/>
          <w:numId w:val="0"/>
        </w:numPr>
        <w:jc w:val="center"/>
      </w:pPr>
    </w:p>
    <w:p w14:paraId="1E117358" w14:textId="77777777" w:rsidR="00882FF0" w:rsidRPr="00FD2D58" w:rsidRDefault="004E4FD7" w:rsidP="006C5F06">
      <w:pPr>
        <w:pStyle w:val="ParaNum"/>
        <w:rPr>
          <w:highlight w:val="yellow"/>
        </w:rPr>
      </w:pPr>
      <w:r w:rsidRPr="00FD2D58">
        <w:rPr>
          <w:highlight w:val="yellow"/>
        </w:rPr>
        <w:t>O</w:t>
      </w:r>
      <w:r w:rsidR="00882FF0" w:rsidRPr="00FD2D58">
        <w:rPr>
          <w:highlight w:val="yellow"/>
        </w:rPr>
        <w:t xml:space="preserve">ur </w:t>
      </w:r>
      <w:r w:rsidR="00BC1BA1" w:rsidRPr="00FD2D58">
        <w:rPr>
          <w:highlight w:val="yellow"/>
        </w:rPr>
        <w:t xml:space="preserve">proposed methodology </w:t>
      </w:r>
      <w:r w:rsidR="00EF604F" w:rsidRPr="00FD2D58">
        <w:rPr>
          <w:highlight w:val="yellow"/>
        </w:rPr>
        <w:t xml:space="preserve">is designed to </w:t>
      </w:r>
      <w:r w:rsidR="00BC1BA1" w:rsidRPr="00FD2D58">
        <w:rPr>
          <w:highlight w:val="yellow"/>
        </w:rPr>
        <w:t>make the</w:t>
      </w:r>
      <w:r w:rsidR="00E167D4" w:rsidRPr="00FD2D58">
        <w:rPr>
          <w:highlight w:val="yellow"/>
        </w:rPr>
        <w:t xml:space="preserve"> </w:t>
      </w:r>
      <w:r w:rsidR="00BC1BA1" w:rsidRPr="00FD2D58">
        <w:rPr>
          <w:highlight w:val="yellow"/>
        </w:rPr>
        <w:t xml:space="preserve">process </w:t>
      </w:r>
      <w:r w:rsidR="00882FF0" w:rsidRPr="00FD2D58">
        <w:rPr>
          <w:highlight w:val="yellow"/>
        </w:rPr>
        <w:t xml:space="preserve">of determining channel availability over an area </w:t>
      </w:r>
      <w:r w:rsidR="00BC1BA1" w:rsidRPr="00FD2D58">
        <w:rPr>
          <w:highlight w:val="yellow"/>
        </w:rPr>
        <w:t xml:space="preserve">simple for broadcasters </w:t>
      </w:r>
      <w:r w:rsidR="00882FF0" w:rsidRPr="00FD2D58">
        <w:rPr>
          <w:highlight w:val="yellow"/>
        </w:rPr>
        <w:t>by limiting the analysis to a finite number of discrete points</w:t>
      </w:r>
      <w:r w:rsidR="00BC1BA1" w:rsidRPr="00FD2D58">
        <w:rPr>
          <w:highlight w:val="yellow"/>
        </w:rPr>
        <w:t xml:space="preserve"> and using the existing white spaces database</w:t>
      </w:r>
      <w:r w:rsidR="002A7632" w:rsidRPr="00FD2D58">
        <w:rPr>
          <w:highlight w:val="yellow"/>
        </w:rPr>
        <w:t>s</w:t>
      </w:r>
      <w:r w:rsidR="00BC1BA1" w:rsidRPr="00FD2D58">
        <w:rPr>
          <w:highlight w:val="yellow"/>
        </w:rPr>
        <w:t xml:space="preserve"> which are capable of performing the necessary channel availability calculations at each point</w:t>
      </w:r>
      <w:r w:rsidR="00882FF0" w:rsidRPr="00FD2D58">
        <w:rPr>
          <w:highlight w:val="yellow"/>
        </w:rPr>
        <w:t xml:space="preserve">.  </w:t>
      </w:r>
      <w:r w:rsidR="00AF7CB1" w:rsidRPr="00FD2D58">
        <w:rPr>
          <w:highlight w:val="yellow"/>
        </w:rPr>
        <w:t>There are several ways that a broadcaster could demonstrate compliance with the proposed requirement.  For example, a</w:t>
      </w:r>
      <w:r w:rsidR="00882FF0" w:rsidRPr="00FD2D58">
        <w:rPr>
          <w:highlight w:val="yellow"/>
        </w:rPr>
        <w:t xml:space="preserve">n applicant </w:t>
      </w:r>
      <w:r w:rsidR="002A7632" w:rsidRPr="00FD2D58">
        <w:rPr>
          <w:highlight w:val="yellow"/>
        </w:rPr>
        <w:t>could</w:t>
      </w:r>
      <w:r w:rsidR="000316A0" w:rsidRPr="00FD2D58">
        <w:rPr>
          <w:highlight w:val="yellow"/>
        </w:rPr>
        <w:t xml:space="preserve"> </w:t>
      </w:r>
      <w:r w:rsidR="00882FF0" w:rsidRPr="00FD2D58">
        <w:rPr>
          <w:highlight w:val="yellow"/>
        </w:rPr>
        <w:t xml:space="preserve">perform the analysis by plotting the protected area on a grid and accessing one of the white space databases to determine channel availability at the center point of each cell where </w:t>
      </w:r>
      <w:r w:rsidR="00134B7C" w:rsidRPr="00FD2D58">
        <w:rPr>
          <w:highlight w:val="yellow"/>
        </w:rPr>
        <w:t xml:space="preserve">a </w:t>
      </w:r>
      <w:r w:rsidR="00882FF0" w:rsidRPr="00FD2D58">
        <w:rPr>
          <w:highlight w:val="yellow"/>
        </w:rPr>
        <w:t xml:space="preserve">vacant channel determination is required.  </w:t>
      </w:r>
      <w:r w:rsidR="00AF7CB1" w:rsidRPr="00FD2D58">
        <w:rPr>
          <w:highlight w:val="yellow"/>
        </w:rPr>
        <w:t>Alternatively</w:t>
      </w:r>
      <w:r w:rsidR="00882FF0" w:rsidRPr="00FD2D58">
        <w:rPr>
          <w:highlight w:val="yellow"/>
        </w:rPr>
        <w:t>, a white space database administrator could perform an entire analysis and charge a reasonable fee for its services.</w:t>
      </w:r>
    </w:p>
    <w:p w14:paraId="1E82CAD1" w14:textId="77777777" w:rsidR="006D0FB0" w:rsidRPr="00FD2D58" w:rsidRDefault="00882FF0" w:rsidP="006C5F06">
      <w:pPr>
        <w:pStyle w:val="ParaNum"/>
        <w:rPr>
          <w:highlight w:val="yellow"/>
        </w:rPr>
      </w:pPr>
      <w:r w:rsidRPr="00FD2D58">
        <w:rPr>
          <w:highlight w:val="yellow"/>
        </w:rPr>
        <w:t xml:space="preserve">Finally, </w:t>
      </w:r>
      <w:r w:rsidR="00810F1F" w:rsidRPr="00FD2D58">
        <w:rPr>
          <w:highlight w:val="yellow"/>
        </w:rPr>
        <w:t xml:space="preserve">recognizing that </w:t>
      </w:r>
      <w:r w:rsidRPr="00FD2D58">
        <w:rPr>
          <w:highlight w:val="yellow"/>
        </w:rPr>
        <w:t>channel availability is dynamic and can change day-to-day, we propose that broadcast</w:t>
      </w:r>
      <w:r w:rsidR="006C5F06" w:rsidRPr="00FD2D58">
        <w:rPr>
          <w:highlight w:val="yellow"/>
        </w:rPr>
        <w:t xml:space="preserve"> </w:t>
      </w:r>
      <w:r w:rsidRPr="00FD2D58">
        <w:rPr>
          <w:highlight w:val="yellow"/>
        </w:rPr>
        <w:t xml:space="preserve">applicants </w:t>
      </w:r>
      <w:r w:rsidR="004A7F21" w:rsidRPr="00FD2D58">
        <w:rPr>
          <w:highlight w:val="yellow"/>
        </w:rPr>
        <w:t>make a vacant channel demonstration only</w:t>
      </w:r>
      <w:r w:rsidRPr="00FD2D58">
        <w:rPr>
          <w:highlight w:val="yellow"/>
        </w:rPr>
        <w:t xml:space="preserve"> once – as of the date of the filing of their application, and as discussed in paragraph</w:t>
      </w:r>
      <w:r w:rsidR="00732308" w:rsidRPr="00FD2D58">
        <w:rPr>
          <w:highlight w:val="yellow"/>
        </w:rPr>
        <w:t xml:space="preserve"> 3</w:t>
      </w:r>
      <w:r w:rsidR="00A54A99" w:rsidRPr="00FD2D58">
        <w:rPr>
          <w:highlight w:val="yellow"/>
        </w:rPr>
        <w:t>5</w:t>
      </w:r>
      <w:r w:rsidRPr="00FD2D58">
        <w:rPr>
          <w:highlight w:val="yellow"/>
        </w:rPr>
        <w:t xml:space="preserve"> above</w:t>
      </w:r>
      <w:r w:rsidR="00EF604F" w:rsidRPr="00FD2D58">
        <w:rPr>
          <w:highlight w:val="yellow"/>
        </w:rPr>
        <w:t>.  In addition</w:t>
      </w:r>
      <w:r w:rsidRPr="00FD2D58">
        <w:rPr>
          <w:highlight w:val="yellow"/>
        </w:rPr>
        <w:t xml:space="preserve">, the analysis needs to consider </w:t>
      </w:r>
      <w:r w:rsidR="00EF604F" w:rsidRPr="00FD2D58">
        <w:rPr>
          <w:highlight w:val="yellow"/>
        </w:rPr>
        <w:t xml:space="preserve">only </w:t>
      </w:r>
      <w:r w:rsidRPr="00FD2D58">
        <w:rPr>
          <w:highlight w:val="yellow"/>
        </w:rPr>
        <w:t>long-term restrictions on unlicensed use and not</w:t>
      </w:r>
      <w:r w:rsidR="006B1FD9" w:rsidRPr="00FD2D58">
        <w:rPr>
          <w:highlight w:val="yellow"/>
        </w:rPr>
        <w:t xml:space="preserve"> wireless microphone or</w:t>
      </w:r>
      <w:r w:rsidRPr="00FD2D58">
        <w:rPr>
          <w:highlight w:val="yellow"/>
        </w:rPr>
        <w:t xml:space="preserve"> temporary BAS installations. </w:t>
      </w:r>
      <w:r w:rsidR="00243211" w:rsidRPr="00FD2D58">
        <w:rPr>
          <w:highlight w:val="yellow"/>
        </w:rPr>
        <w:t xml:space="preserve"> </w:t>
      </w:r>
      <w:r w:rsidRPr="00FD2D58">
        <w:rPr>
          <w:highlight w:val="yellow"/>
        </w:rPr>
        <w:t xml:space="preserve">We believe this proposal is appropriate given that broadcast applications are, for the most part, protected from interference from </w:t>
      </w:r>
      <w:proofErr w:type="gramStart"/>
      <w:r w:rsidRPr="00FD2D58">
        <w:rPr>
          <w:highlight w:val="yellow"/>
        </w:rPr>
        <w:t>subsequently-filed</w:t>
      </w:r>
      <w:proofErr w:type="gramEnd"/>
      <w:r w:rsidRPr="00FD2D58">
        <w:rPr>
          <w:highlight w:val="yellow"/>
        </w:rPr>
        <w:t xml:space="preserve"> applications (“cut-off”) on the day they are </w:t>
      </w:r>
      <w:r w:rsidRPr="00FD2D58">
        <w:rPr>
          <w:highlight w:val="yellow"/>
        </w:rPr>
        <w:lastRenderedPageBreak/>
        <w:t>filed.</w:t>
      </w:r>
      <w:r w:rsidRPr="00FD2D58">
        <w:rPr>
          <w:highlight w:val="yellow"/>
          <w:vertAlign w:val="superscript"/>
        </w:rPr>
        <w:footnoteReference w:id="96"/>
      </w:r>
      <w:r w:rsidRPr="00FD2D58">
        <w:rPr>
          <w:highlight w:val="yellow"/>
        </w:rPr>
        <w:t xml:space="preserve">  We </w:t>
      </w:r>
      <w:r w:rsidRPr="00FD2D58">
        <w:rPr>
          <w:highlight w:val="green"/>
        </w:rPr>
        <w:t xml:space="preserve">seek comment </w:t>
      </w:r>
      <w:r w:rsidRPr="00FD2D58">
        <w:rPr>
          <w:highlight w:val="yellow"/>
        </w:rPr>
        <w:t>on this proposal.</w:t>
      </w:r>
    </w:p>
    <w:p w14:paraId="1AAB7138" w14:textId="77777777" w:rsidR="00DD6CA4" w:rsidRPr="001A3028" w:rsidRDefault="00DD6CA4" w:rsidP="006C5F06">
      <w:pPr>
        <w:pStyle w:val="Heading1"/>
        <w:rPr>
          <w:rFonts w:ascii="Times New Roman" w:hAnsi="Times New Roman"/>
        </w:rPr>
      </w:pPr>
      <w:bookmarkStart w:id="56" w:name="_Toc393965407"/>
      <w:bookmarkStart w:id="57" w:name="_Toc409784126"/>
      <w:bookmarkStart w:id="58" w:name="_Toc116114212"/>
      <w:bookmarkStart w:id="59" w:name="_Toc116114319"/>
      <w:bookmarkStart w:id="60" w:name="_Toc116459077"/>
      <w:bookmarkStart w:id="61" w:name="_Toc116462394"/>
      <w:bookmarkStart w:id="62" w:name="_Toc116810924"/>
      <w:bookmarkStart w:id="63" w:name="_Toc116814412"/>
      <w:bookmarkStart w:id="64" w:name="_Toc116817206"/>
      <w:bookmarkStart w:id="65" w:name="_Toc116888136"/>
      <w:bookmarkStart w:id="66" w:name="_Toc116892847"/>
      <w:bookmarkStart w:id="67" w:name="_Toc116896368"/>
      <w:bookmarkStart w:id="68" w:name="_Toc118611134"/>
      <w:bookmarkStart w:id="69" w:name="_Toc138576118"/>
      <w:bookmarkStart w:id="70" w:name="_Toc138822574"/>
      <w:bookmarkStart w:id="71" w:name="_Toc138843550"/>
      <w:bookmarkStart w:id="72" w:name="_Toc138845538"/>
      <w:bookmarkStart w:id="73" w:name="_Toc139373782"/>
      <w:bookmarkStart w:id="74" w:name="_Toc139687228"/>
      <w:bookmarkStart w:id="75" w:name="_Toc139884888"/>
      <w:bookmarkStart w:id="76" w:name="_Toc139945633"/>
      <w:bookmarkStart w:id="77" w:name="_Toc139945861"/>
      <w:bookmarkStart w:id="78" w:name="_Toc139946196"/>
      <w:bookmarkStart w:id="79" w:name="_Toc140574617"/>
      <w:bookmarkStart w:id="80" w:name="_Toc142215189"/>
      <w:bookmarkStart w:id="81" w:name="_Toc142369983"/>
      <w:bookmarkStart w:id="82" w:name="_Toc142370127"/>
      <w:bookmarkStart w:id="83" w:name="_Toc142384561"/>
      <w:bookmarkStart w:id="84" w:name="_Toc144024774"/>
      <w:bookmarkStart w:id="85" w:name="_Toc148337493"/>
      <w:bookmarkStart w:id="86" w:name="_Toc159846903"/>
      <w:bookmarkStart w:id="87" w:name="_Toc159847027"/>
      <w:bookmarkEnd w:id="37"/>
      <w:bookmarkEnd w:id="38"/>
      <w:bookmarkEnd w:id="39"/>
      <w:bookmarkEnd w:id="40"/>
      <w:bookmarkEnd w:id="41"/>
      <w:bookmarkEnd w:id="42"/>
      <w:r w:rsidRPr="001A3028">
        <w:rPr>
          <w:rFonts w:ascii="Times New Roman" w:hAnsi="Times New Roman"/>
        </w:rPr>
        <w:t>PROCEDURAL MATTERS</w:t>
      </w:r>
      <w:bookmarkEnd w:id="56"/>
      <w:bookmarkEnd w:id="57"/>
    </w:p>
    <w:p w14:paraId="3E233B26" w14:textId="77777777" w:rsidR="00DD6CA4" w:rsidRPr="00B7142D" w:rsidRDefault="00DD6CA4" w:rsidP="00C24DDE">
      <w:pPr>
        <w:pStyle w:val="Heading2"/>
      </w:pPr>
      <w:bookmarkStart w:id="88" w:name="_Toc393965408"/>
      <w:bookmarkStart w:id="89" w:name="_Toc409784127"/>
      <w:r w:rsidRPr="00B7142D">
        <w:t>Ex Parte Presentations</w:t>
      </w:r>
      <w:bookmarkEnd w:id="88"/>
      <w:bookmarkEnd w:id="89"/>
    </w:p>
    <w:p w14:paraId="68A0F76B" w14:textId="77777777" w:rsidR="00DD6CA4" w:rsidRPr="00B7142D" w:rsidRDefault="00DD6CA4" w:rsidP="006C5F06">
      <w:pPr>
        <w:pStyle w:val="ParaNum"/>
      </w:pPr>
      <w:bookmarkStart w:id="90" w:name="_Toc230683955"/>
      <w:bookmarkStart w:id="91" w:name="_Toc231534418"/>
      <w:bookmarkStart w:id="92" w:name="_Toc231535175"/>
      <w:bookmarkStart w:id="93" w:name="_Toc231549060"/>
      <w:bookmarkStart w:id="94" w:name="_Toc231610712"/>
      <w:bookmarkStart w:id="95" w:name="_Toc231619377"/>
      <w:bookmarkStart w:id="96" w:name="_Toc231687112"/>
      <w:bookmarkStart w:id="97" w:name="_Toc231706003"/>
      <w:bookmarkStart w:id="98" w:name="_Toc231706217"/>
      <w:bookmarkStart w:id="99" w:name="_Toc231707743"/>
      <w:bookmarkStart w:id="100" w:name="_Toc231812322"/>
      <w:bookmarkStart w:id="101" w:name="_Toc231873517"/>
      <w:bookmarkStart w:id="102" w:name="_Toc232214714"/>
      <w:bookmarkStart w:id="103" w:name="_Toc232219579"/>
      <w:bookmarkStart w:id="104" w:name="_Toc232307442"/>
      <w:bookmarkStart w:id="105" w:name="_Toc232388076"/>
      <w:bookmarkStart w:id="106" w:name="_Toc232392134"/>
      <w:bookmarkStart w:id="107" w:name="_Toc232397999"/>
      <w:bookmarkStart w:id="108" w:name="_Toc232399760"/>
      <w:bookmarkStart w:id="109" w:name="_Toc232400324"/>
      <w:bookmarkStart w:id="110" w:name="_Toc232400457"/>
      <w:bookmarkStart w:id="111" w:name="_Toc232403016"/>
      <w:bookmarkStart w:id="112" w:name="_Toc232404552"/>
      <w:bookmarkStart w:id="113" w:name="_Toc232406433"/>
      <w:bookmarkStart w:id="114" w:name="_Toc232408379"/>
      <w:bookmarkStart w:id="115" w:name="_Toc232410191"/>
      <w:bookmarkStart w:id="116" w:name="_Toc232410549"/>
      <w:bookmarkStart w:id="117" w:name="_Toc232411990"/>
      <w:bookmarkStart w:id="118" w:name="_Toc232412228"/>
      <w:bookmarkStart w:id="119" w:name="_Toc232419244"/>
      <w:bookmarkStart w:id="120" w:name="_Toc232421071"/>
      <w:bookmarkStart w:id="121" w:name="_Toc233442991"/>
      <w:bookmarkStart w:id="122" w:name="_Toc233443285"/>
      <w:bookmarkStart w:id="123" w:name="_Toc233450733"/>
      <w:bookmarkStart w:id="124" w:name="_Toc234125237"/>
      <w:bookmarkStart w:id="125" w:name="_Toc234806613"/>
      <w:bookmarkStart w:id="126" w:name="_Toc235253988"/>
      <w:bookmarkStart w:id="127" w:name="_Toc235499929"/>
      <w:bookmarkStart w:id="128" w:name="_Toc238548884"/>
      <w:bookmarkStart w:id="129" w:name="_Toc238549476"/>
      <w:bookmarkStart w:id="130" w:name="_Toc238612115"/>
      <w:bookmarkStart w:id="131" w:name="_Toc238612302"/>
      <w:bookmarkStart w:id="132" w:name="_Toc238612709"/>
      <w:bookmarkStart w:id="133" w:name="_Toc245199539"/>
      <w:bookmarkStart w:id="134" w:name="_Toc245202268"/>
      <w:bookmarkStart w:id="135" w:name="_Toc248739656"/>
      <w:bookmarkStart w:id="136" w:name="_Toc248740847"/>
      <w:bookmarkStart w:id="137" w:name="_Toc248803157"/>
      <w:bookmarkStart w:id="138" w:name="_Toc248804913"/>
      <w:bookmarkStart w:id="139" w:name="_Toc248814267"/>
      <w:bookmarkStart w:id="140" w:name="_Toc248909537"/>
      <w:bookmarkStart w:id="141" w:name="_Toc259178217"/>
      <w:bookmarkStart w:id="142" w:name="_Toc259178326"/>
      <w:bookmarkStart w:id="143" w:name="_Toc259779425"/>
      <w:bookmarkStart w:id="144" w:name="_Toc260058992"/>
      <w:bookmarkStart w:id="145" w:name="_Toc260125060"/>
      <w:bookmarkStart w:id="146" w:name="_Toc260135939"/>
      <w:bookmarkStart w:id="147" w:name="_Toc260388822"/>
      <w:bookmarkStart w:id="148" w:name="_Toc260905152"/>
      <w:bookmarkStart w:id="149" w:name="_Toc261507249"/>
      <w:bookmarkStart w:id="150" w:name="_Toc261585641"/>
      <w:bookmarkStart w:id="151" w:name="_Toc262717608"/>
      <w:bookmarkStart w:id="152" w:name="_Toc263400940"/>
      <w:bookmarkStart w:id="153" w:name="_Toc263688805"/>
      <w:bookmarkStart w:id="154" w:name="_Toc312236290"/>
      <w:bookmarkStart w:id="155" w:name="_Toc312237013"/>
      <w:bookmarkStart w:id="156" w:name="_Toc312237048"/>
      <w:bookmarkStart w:id="157" w:name="_Toc313634759"/>
      <w:bookmarkStart w:id="158" w:name="_Toc313635161"/>
      <w:bookmarkStart w:id="159" w:name="_Toc313635182"/>
      <w:bookmarkStart w:id="160" w:name="_Toc313635229"/>
      <w:bookmarkStart w:id="161" w:name="_Toc313635276"/>
      <w:bookmarkStart w:id="162" w:name="_Toc313635805"/>
      <w:bookmarkStart w:id="163" w:name="_Toc313635871"/>
      <w:bookmarkStart w:id="164" w:name="_Toc313636653"/>
      <w:bookmarkStart w:id="165" w:name="_Toc313637356"/>
      <w:bookmarkStart w:id="166" w:name="_Toc313637868"/>
      <w:bookmarkStart w:id="167" w:name="_Toc313638373"/>
      <w:bookmarkStart w:id="168" w:name="_Toc313881011"/>
      <w:bookmarkStart w:id="169" w:name="_Toc314216655"/>
      <w:bookmarkStart w:id="170" w:name="_Toc314216891"/>
      <w:bookmarkStart w:id="171" w:name="_Toc314218148"/>
      <w:bookmarkStart w:id="172" w:name="_Toc314228888"/>
      <w:bookmarkStart w:id="173" w:name="_Toc314229205"/>
      <w:bookmarkStart w:id="174" w:name="_Toc314234440"/>
      <w:bookmarkStart w:id="175" w:name="_Toc314234895"/>
      <w:bookmarkStart w:id="176" w:name="_Toc314236026"/>
      <w:bookmarkStart w:id="177" w:name="_Toc314238390"/>
      <w:bookmarkStart w:id="178" w:name="_Toc315344713"/>
      <w:bookmarkStart w:id="179" w:name="_Toc315349208"/>
      <w:bookmarkStart w:id="180" w:name="_Toc315349313"/>
      <w:bookmarkStart w:id="181" w:name="_Toc315349735"/>
      <w:bookmarkStart w:id="182" w:name="_Toc315351131"/>
      <w:bookmarkStart w:id="183" w:name="_Toc315352217"/>
      <w:bookmarkStart w:id="184" w:name="_Toc315443574"/>
      <w:bookmarkStart w:id="185" w:name="_Toc316030682"/>
      <w:bookmarkStart w:id="186" w:name="_Toc316032527"/>
      <w:bookmarkStart w:id="187" w:name="_Toc316033724"/>
      <w:bookmarkStart w:id="188" w:name="_Toc316037012"/>
      <w:bookmarkStart w:id="189" w:name="_Toc316037277"/>
      <w:bookmarkStart w:id="190" w:name="_Toc316038311"/>
      <w:bookmarkStart w:id="191" w:name="_Toc316038503"/>
      <w:bookmarkStart w:id="192" w:name="_Toc316038595"/>
      <w:bookmarkStart w:id="193" w:name="_Toc316041940"/>
      <w:bookmarkStart w:id="194" w:name="_Toc316043804"/>
      <w:bookmarkStart w:id="195" w:name="_Toc316059859"/>
      <w:bookmarkStart w:id="196" w:name="_Toc316060994"/>
      <w:bookmarkStart w:id="197" w:name="_Toc316392585"/>
      <w:bookmarkStart w:id="198" w:name="_Toc316393300"/>
      <w:bookmarkStart w:id="199" w:name="_Toc316393469"/>
      <w:bookmarkStart w:id="200" w:name="_Toc316394267"/>
      <w:bookmarkStart w:id="201" w:name="_Toc316396254"/>
      <w:bookmarkStart w:id="202" w:name="_Toc316987396"/>
      <w:bookmarkStart w:id="203" w:name="_Toc316987955"/>
      <w:bookmarkStart w:id="204" w:name="_Toc316992343"/>
      <w:bookmarkStart w:id="205" w:name="_Toc316999281"/>
      <w:bookmarkStart w:id="206" w:name="_Toc317002647"/>
      <w:bookmarkStart w:id="207" w:name="_Toc317161365"/>
      <w:bookmarkStart w:id="208" w:name="_Toc317164454"/>
      <w:bookmarkStart w:id="209" w:name="_Toc317168551"/>
      <w:bookmarkStart w:id="210" w:name="_Toc317174558"/>
      <w:bookmarkStart w:id="211" w:name="_Toc317240097"/>
      <w:bookmarkStart w:id="212" w:name="_Toc317240521"/>
      <w:bookmarkStart w:id="213" w:name="_Toc317263642"/>
      <w:bookmarkStart w:id="214" w:name="_Toc317759455"/>
      <w:r w:rsidRPr="00B7142D">
        <w:rPr>
          <w:lang w:val="x-none" w:eastAsia="x-none"/>
        </w:rPr>
        <w:t xml:space="preserve">The proceeding this </w:t>
      </w:r>
      <w:r w:rsidR="00B76C5B" w:rsidRPr="00B7142D">
        <w:rPr>
          <w:i/>
          <w:lang w:eastAsia="x-none"/>
        </w:rPr>
        <w:t>Notice of Proposed Rulemaking</w:t>
      </w:r>
      <w:r w:rsidRPr="00B7142D">
        <w:rPr>
          <w:lang w:val="x-none" w:eastAsia="x-none"/>
        </w:rPr>
        <w:t xml:space="preserve"> initiates shall be treated as a “permit-but-disclose” proceeding in accordance with the Commission’s </w:t>
      </w:r>
      <w:r w:rsidRPr="00B7142D">
        <w:rPr>
          <w:i/>
          <w:iCs/>
          <w:lang w:val="x-none" w:eastAsia="x-none"/>
        </w:rPr>
        <w:t xml:space="preserve">ex parte </w:t>
      </w:r>
      <w:r w:rsidRPr="00B7142D">
        <w:rPr>
          <w:lang w:val="x-none" w:eastAsia="x-none"/>
        </w:rPr>
        <w:t>rules.</w:t>
      </w:r>
      <w:r w:rsidRPr="00B7142D">
        <w:rPr>
          <w:vertAlign w:val="superscript"/>
          <w:lang w:val="x-none"/>
        </w:rPr>
        <w:footnoteReference w:id="97"/>
      </w:r>
      <w:r w:rsidRPr="00B7142D">
        <w:rPr>
          <w:lang w:val="x-none" w:eastAsia="x-none"/>
        </w:rPr>
        <w:t xml:space="preserve">  Persons making </w:t>
      </w:r>
      <w:r w:rsidRPr="00B7142D">
        <w:rPr>
          <w:i/>
          <w:lang w:val="x-none" w:eastAsia="x-none"/>
        </w:rPr>
        <w:t xml:space="preserve">ex parte </w:t>
      </w:r>
      <w:r w:rsidRPr="00B7142D">
        <w:rPr>
          <w:lang w:val="x-none" w:eastAsia="x-none"/>
        </w:rPr>
        <w:t>presentations must file a copy of any written presentation or a memorandum summarizing any oral presentation within two business days after the presentation (unless a different deadline applicable to the Sunshine period applies).</w:t>
      </w:r>
      <w:r w:rsidR="00B76C5B" w:rsidRPr="001A3028">
        <w:rPr>
          <w:rStyle w:val="FootnoteReference"/>
          <w:sz w:val="22"/>
          <w:lang w:val="x-none" w:eastAsia="x-none"/>
        </w:rPr>
        <w:footnoteReference w:id="98"/>
      </w:r>
      <w:r w:rsidRPr="00B7142D">
        <w:rPr>
          <w:lang w:val="x-none" w:eastAsia="x-none"/>
        </w:rPr>
        <w:t xml:space="preserve">  Persons making oral </w:t>
      </w:r>
      <w:r w:rsidRPr="00B7142D">
        <w:rPr>
          <w:i/>
          <w:iCs/>
          <w:lang w:val="x-none" w:eastAsia="x-none"/>
        </w:rPr>
        <w:t xml:space="preserve">ex parte </w:t>
      </w:r>
      <w:r w:rsidRPr="00B7142D">
        <w:rPr>
          <w:lang w:val="x-none" w:eastAsia="x-none"/>
        </w:rPr>
        <w:t xml:space="preserve">presentations are reminded that memoranda summarizing the presentation must (1) list all persons attending or otherwise participating in the meeting at which the </w:t>
      </w:r>
      <w:r w:rsidRPr="00B7142D">
        <w:rPr>
          <w:i/>
          <w:iCs/>
          <w:lang w:val="x-none" w:eastAsia="x-none"/>
        </w:rPr>
        <w:t xml:space="preserve">ex parte </w:t>
      </w:r>
      <w:r w:rsidRPr="00B7142D">
        <w:rPr>
          <w:lang w:val="x-none" w:eastAsia="x-none"/>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B7142D">
        <w:rPr>
          <w:i/>
          <w:iCs/>
          <w:lang w:val="x-none" w:eastAsia="x-none"/>
        </w:rPr>
        <w:t xml:space="preserve">ex parte </w:t>
      </w:r>
      <w:r w:rsidRPr="00B7142D">
        <w:rPr>
          <w:lang w:val="x-none" w:eastAsia="x-none"/>
        </w:rPr>
        <w:t xml:space="preserve">meetings are deemed to be written </w:t>
      </w:r>
      <w:r w:rsidRPr="00B7142D">
        <w:rPr>
          <w:i/>
          <w:iCs/>
          <w:lang w:val="x-none" w:eastAsia="x-none"/>
        </w:rPr>
        <w:t>ex parte</w:t>
      </w:r>
      <w:r w:rsidRPr="00B7142D">
        <w:rPr>
          <w:lang w:val="x-none" w:eastAsia="x-none"/>
        </w:rPr>
        <w:t xml:space="preserve"> presentations and must be filed consistent with </w:t>
      </w:r>
      <w:r w:rsidR="00B76C5B" w:rsidRPr="00B7142D">
        <w:rPr>
          <w:lang w:eastAsia="x-none"/>
        </w:rPr>
        <w:t xml:space="preserve">section </w:t>
      </w:r>
      <w:r w:rsidRPr="00B7142D">
        <w:rPr>
          <w:lang w:val="x-none" w:eastAsia="x-none"/>
        </w:rPr>
        <w:t>1.1206(b)</w:t>
      </w:r>
      <w:r w:rsidR="00B76C5B" w:rsidRPr="00B7142D">
        <w:rPr>
          <w:lang w:eastAsia="x-none"/>
        </w:rPr>
        <w:t xml:space="preserve"> of the rules</w:t>
      </w:r>
      <w:r w:rsidRPr="00B7142D">
        <w:rPr>
          <w:lang w:val="x-none" w:eastAsia="x-none"/>
        </w:rPr>
        <w:t>.</w:t>
      </w:r>
      <w:r w:rsidR="00B76C5B" w:rsidRPr="001A3028">
        <w:rPr>
          <w:rStyle w:val="FootnoteReference"/>
          <w:sz w:val="22"/>
          <w:lang w:val="x-none" w:eastAsia="x-none"/>
        </w:rPr>
        <w:footnoteReference w:id="99"/>
      </w:r>
      <w:r w:rsidRPr="00B7142D">
        <w:rPr>
          <w:lang w:val="x-none" w:eastAsia="x-none"/>
        </w:rPr>
        <w:t xml:space="preserve">  In proceedings governed by </w:t>
      </w:r>
      <w:r w:rsidR="00B76C5B" w:rsidRPr="00B7142D">
        <w:rPr>
          <w:lang w:eastAsia="x-none"/>
        </w:rPr>
        <w:t xml:space="preserve">section </w:t>
      </w:r>
      <w:r w:rsidRPr="00B7142D">
        <w:rPr>
          <w:lang w:val="x-none" w:eastAsia="x-none"/>
        </w:rPr>
        <w:t xml:space="preserve">1.49(f) </w:t>
      </w:r>
      <w:r w:rsidR="00B76C5B" w:rsidRPr="00B7142D">
        <w:rPr>
          <w:lang w:eastAsia="x-none"/>
        </w:rPr>
        <w:t>of the rules</w:t>
      </w:r>
      <w:r w:rsidR="00B76C5B" w:rsidRPr="001A3028">
        <w:rPr>
          <w:rStyle w:val="FootnoteReference"/>
          <w:sz w:val="22"/>
          <w:lang w:eastAsia="x-none"/>
        </w:rPr>
        <w:footnoteReference w:id="100"/>
      </w:r>
      <w:r w:rsidR="00B76C5B" w:rsidRPr="00B7142D">
        <w:rPr>
          <w:lang w:eastAsia="x-none"/>
        </w:rPr>
        <w:t xml:space="preserve"> </w:t>
      </w:r>
      <w:r w:rsidRPr="00B7142D">
        <w:rPr>
          <w:lang w:val="x-none" w:eastAsia="x-none"/>
        </w:rPr>
        <w:t xml:space="preserve">or for which the Commission has made available a method of electronic filing, written </w:t>
      </w:r>
      <w:r w:rsidRPr="00B7142D">
        <w:rPr>
          <w:i/>
          <w:iCs/>
          <w:lang w:val="x-none" w:eastAsia="x-none"/>
        </w:rPr>
        <w:t xml:space="preserve">ex parte </w:t>
      </w:r>
      <w:r w:rsidRPr="00B7142D">
        <w:rPr>
          <w:lang w:val="x-none" w:eastAsia="x-none"/>
        </w:rPr>
        <w:t xml:space="preserve">presentations and memoranda summarizing oral </w:t>
      </w:r>
      <w:r w:rsidRPr="00B7142D">
        <w:rPr>
          <w:i/>
          <w:iCs/>
          <w:lang w:val="x-none" w:eastAsia="x-none"/>
        </w:rPr>
        <w:t xml:space="preserve">ex parte </w:t>
      </w:r>
      <w:r w:rsidRPr="00B7142D">
        <w:rPr>
          <w:lang w:val="x-none" w:eastAsia="x-none"/>
        </w:rPr>
        <w:t>presentations, and all attachments thereto, must be filed through the electronic comment filing system available for that proceeding, and must be filed in their native format (</w:t>
      </w:r>
      <w:r w:rsidRPr="00E37493">
        <w:rPr>
          <w:iCs/>
          <w:lang w:val="x-none" w:eastAsia="x-none"/>
        </w:rPr>
        <w:t>e.g.</w:t>
      </w:r>
      <w:r w:rsidRPr="00162081">
        <w:rPr>
          <w:lang w:val="x-none" w:eastAsia="x-none"/>
        </w:rPr>
        <w:t>,</w:t>
      </w:r>
      <w:r w:rsidRPr="00B7142D">
        <w:rPr>
          <w:lang w:val="x-none" w:eastAsia="x-none"/>
        </w:rPr>
        <w:t xml:space="preserve"> .doc, .xml, .ppt, searchable .pdf).  Participants in this proceeding should familiarize themselves with the Commission’s </w:t>
      </w:r>
      <w:r w:rsidRPr="00B7142D">
        <w:rPr>
          <w:i/>
          <w:iCs/>
          <w:lang w:val="x-none" w:eastAsia="x-none"/>
        </w:rPr>
        <w:t xml:space="preserve">ex parte </w:t>
      </w:r>
      <w:r w:rsidRPr="00B7142D">
        <w:rPr>
          <w:lang w:val="x-none" w:eastAsia="x-none"/>
        </w:rPr>
        <w:t>rules.</w:t>
      </w:r>
    </w:p>
    <w:p w14:paraId="0240C32E" w14:textId="77777777" w:rsidR="00DD6CA4" w:rsidRPr="00B7142D" w:rsidRDefault="00DD6CA4" w:rsidP="00C24DDE">
      <w:pPr>
        <w:pStyle w:val="Heading2"/>
      </w:pPr>
      <w:bookmarkStart w:id="215" w:name="_Toc393965409"/>
      <w:bookmarkStart w:id="216" w:name="_Toc409784128"/>
      <w:r w:rsidRPr="00B7142D">
        <w:t>Comment Period and Filing Procedures</w:t>
      </w:r>
      <w:bookmarkEnd w:id="215"/>
      <w:bookmarkEnd w:id="216"/>
    </w:p>
    <w:p w14:paraId="098C6021" w14:textId="77777777" w:rsidR="00DD6CA4" w:rsidRPr="00B7142D" w:rsidRDefault="00DD6CA4" w:rsidP="006C5F06">
      <w:pPr>
        <w:pStyle w:val="ParaNum"/>
      </w:pPr>
      <w:r w:rsidRPr="00B7142D">
        <w:rPr>
          <w:lang w:val="x-none" w:eastAsia="x-none"/>
        </w:rPr>
        <w:t xml:space="preserve">Pursuant to sections 1.415 and 1.419 of the Commission’s rules, 47 C.F.R. §§ 1.415, 1.419, interested parties may file comments and reply comments on or before the dates indicated on the first page of this document.  </w:t>
      </w:r>
      <w:r w:rsidRPr="00B7142D">
        <w:rPr>
          <w:bCs/>
          <w:color w:val="000000"/>
          <w:lang w:val="x-none" w:eastAsia="x-none"/>
        </w:rPr>
        <w:t xml:space="preserve">All filings related to this </w:t>
      </w:r>
      <w:r w:rsidR="00B76C5B" w:rsidRPr="00B7142D">
        <w:rPr>
          <w:bCs/>
          <w:i/>
          <w:color w:val="000000"/>
          <w:lang w:eastAsia="x-none"/>
        </w:rPr>
        <w:t>Notice of Proposed Rulemaking</w:t>
      </w:r>
      <w:r w:rsidR="00B76C5B" w:rsidRPr="00B7142D">
        <w:rPr>
          <w:bCs/>
          <w:color w:val="000000"/>
          <w:lang w:eastAsia="x-none"/>
        </w:rPr>
        <w:t xml:space="preserve"> </w:t>
      </w:r>
      <w:proofErr w:type="spellStart"/>
      <w:r w:rsidR="00B76C5B" w:rsidRPr="00B7142D">
        <w:rPr>
          <w:bCs/>
          <w:color w:val="000000"/>
          <w:lang w:eastAsia="x-none"/>
        </w:rPr>
        <w:t>sh</w:t>
      </w:r>
      <w:proofErr w:type="spellEnd"/>
      <w:r w:rsidRPr="00B7142D">
        <w:rPr>
          <w:bCs/>
          <w:color w:val="000000"/>
          <w:lang w:val="x-none" w:eastAsia="x-none"/>
        </w:rPr>
        <w:t xml:space="preserve">ould refer to </w:t>
      </w:r>
      <w:r w:rsidR="008E6183" w:rsidRPr="00B7142D">
        <w:rPr>
          <w:bCs/>
          <w:color w:val="000000"/>
          <w:lang w:eastAsia="x-none"/>
        </w:rPr>
        <w:t xml:space="preserve">MB </w:t>
      </w:r>
      <w:r w:rsidRPr="00B7142D">
        <w:rPr>
          <w:color w:val="000000"/>
          <w:spacing w:val="-2"/>
          <w:lang w:val="x-none" w:eastAsia="x-none"/>
        </w:rPr>
        <w:t xml:space="preserve">Docket No. </w:t>
      </w:r>
      <w:r w:rsidR="008E6183" w:rsidRPr="00B7142D">
        <w:rPr>
          <w:color w:val="000000"/>
          <w:spacing w:val="-2"/>
          <w:lang w:eastAsia="x-none"/>
        </w:rPr>
        <w:t>1</w:t>
      </w:r>
      <w:r w:rsidR="00FB727B">
        <w:rPr>
          <w:color w:val="000000"/>
          <w:spacing w:val="-2"/>
          <w:lang w:eastAsia="x-none"/>
        </w:rPr>
        <w:t>5</w:t>
      </w:r>
      <w:r w:rsidR="00B76C5B" w:rsidRPr="00B7142D">
        <w:rPr>
          <w:color w:val="000000"/>
          <w:spacing w:val="-2"/>
          <w:lang w:eastAsia="x-none"/>
        </w:rPr>
        <w:t>-</w:t>
      </w:r>
      <w:r w:rsidR="005C6798">
        <w:rPr>
          <w:color w:val="000000"/>
          <w:spacing w:val="-2"/>
          <w:lang w:eastAsia="x-none"/>
        </w:rPr>
        <w:t>146</w:t>
      </w:r>
      <w:r w:rsidR="002A42CE" w:rsidRPr="00B7142D">
        <w:rPr>
          <w:color w:val="000000"/>
          <w:spacing w:val="-2"/>
          <w:lang w:eastAsia="x-none"/>
        </w:rPr>
        <w:t xml:space="preserve"> and GN Docket No. 12-268</w:t>
      </w:r>
      <w:r w:rsidRPr="00B7142D">
        <w:rPr>
          <w:bCs/>
          <w:color w:val="000000"/>
          <w:lang w:val="x-none" w:eastAsia="x-none"/>
        </w:rPr>
        <w:t>.</w:t>
      </w:r>
      <w:r w:rsidRPr="00B7142D">
        <w:rPr>
          <w:color w:val="000000"/>
          <w:lang w:val="x-none" w:eastAsia="x-none"/>
        </w:rPr>
        <w:t xml:space="preserve"> </w:t>
      </w:r>
      <w:r w:rsidR="009E7D43" w:rsidRPr="00B7142D">
        <w:rPr>
          <w:color w:val="000000"/>
          <w:lang w:eastAsia="x-none"/>
        </w:rPr>
        <w:t xml:space="preserve"> </w:t>
      </w:r>
      <w:r w:rsidRPr="00B7142D">
        <w:rPr>
          <w:lang w:val="x-none" w:eastAsia="x-none"/>
        </w:rPr>
        <w:t xml:space="preserve">Comments may be filed using the Commission’s Electronic Comment Filing System (ECFS).  </w:t>
      </w:r>
      <w:r w:rsidRPr="00B7142D">
        <w:rPr>
          <w:i/>
          <w:lang w:val="x-none" w:eastAsia="x-none"/>
        </w:rPr>
        <w:t>See Electronic Filing of Documents in Rulemaking Proceedings</w:t>
      </w:r>
      <w:r w:rsidRPr="00B7142D">
        <w:rPr>
          <w:lang w:val="x-none" w:eastAsia="x-none"/>
        </w:rPr>
        <w:t>, 63 FR 24121 (1998).</w:t>
      </w:r>
    </w:p>
    <w:p w14:paraId="6950901B" w14:textId="77777777" w:rsidR="00DD6CA4" w:rsidRPr="00B7142D" w:rsidRDefault="00DD6CA4" w:rsidP="006C5F06">
      <w:pPr>
        <w:numPr>
          <w:ilvl w:val="0"/>
          <w:numId w:val="15"/>
        </w:numPr>
        <w:spacing w:after="120"/>
      </w:pPr>
      <w:r w:rsidRPr="00B7142D">
        <w:t>Electronic Filers:  Comments may be filed electronically using the Internet by accessing the ECFS</w:t>
      </w:r>
      <w:proofErr w:type="gramStart"/>
      <w:r w:rsidRPr="00B7142D">
        <w:t xml:space="preserve">:  </w:t>
      </w:r>
      <w:proofErr w:type="gramEnd"/>
      <w:r w:rsidR="00994B06">
        <w:fldChar w:fldCharType="begin"/>
      </w:r>
      <w:r w:rsidR="00994B06">
        <w:instrText xml:space="preserve"> HYPERLINK "http://fjallfoss.fcc.gov/ecfs2/" </w:instrText>
      </w:r>
      <w:r w:rsidR="00994B06">
        <w:fldChar w:fldCharType="separate"/>
      </w:r>
      <w:r w:rsidRPr="00B7142D">
        <w:rPr>
          <w:color w:val="0000FF"/>
          <w:u w:val="single"/>
        </w:rPr>
        <w:t>http://fjallfoss.fcc.gov/ecfs2/</w:t>
      </w:r>
      <w:r w:rsidR="00994B06">
        <w:rPr>
          <w:color w:val="0000FF"/>
          <w:u w:val="single"/>
        </w:rPr>
        <w:fldChar w:fldCharType="end"/>
      </w:r>
      <w:r w:rsidRPr="00B7142D">
        <w:t xml:space="preserve">.  </w:t>
      </w:r>
    </w:p>
    <w:p w14:paraId="52B53C88" w14:textId="77777777" w:rsidR="00DD6CA4" w:rsidRPr="00B7142D" w:rsidRDefault="00DD6CA4" w:rsidP="002D2631">
      <w:pPr>
        <w:widowControl/>
        <w:numPr>
          <w:ilvl w:val="0"/>
          <w:numId w:val="15"/>
        </w:numPr>
        <w:spacing w:after="120"/>
      </w:pPr>
      <w:r w:rsidRPr="00B7142D">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14:paraId="0DE00B12" w14:textId="77777777" w:rsidR="00DD6CA4" w:rsidRPr="00B7142D" w:rsidRDefault="00DD6CA4" w:rsidP="006C5F06">
      <w:pPr>
        <w:pStyle w:val="ParaNum"/>
      </w:pPr>
      <w:r w:rsidRPr="00B7142D">
        <w:rPr>
          <w:lang w:val="x-none" w:eastAsia="x-none"/>
        </w:rPr>
        <w:t xml:space="preserve">Filings can be sent by hand or messenger delivery, by commercial overnight courier, or </w:t>
      </w:r>
      <w:r w:rsidRPr="00B7142D">
        <w:rPr>
          <w:lang w:val="x-none" w:eastAsia="x-none"/>
        </w:rPr>
        <w:lastRenderedPageBreak/>
        <w:t>by first-class or overnight U.S. Postal Service mail.  All filings must be addressed to the Commission’s Secretary, Office of the Secretary, Federal Communications Commission.</w:t>
      </w:r>
    </w:p>
    <w:p w14:paraId="671566F6" w14:textId="77777777" w:rsidR="00DD6CA4" w:rsidRPr="00B7142D" w:rsidRDefault="00DD6CA4" w:rsidP="006C5F06">
      <w:pPr>
        <w:pStyle w:val="ParaNum"/>
        <w:numPr>
          <w:ilvl w:val="0"/>
          <w:numId w:val="16"/>
        </w:numPr>
        <w:ind w:left="1080"/>
        <w:rPr>
          <w:lang w:eastAsia="x-none"/>
        </w:rPr>
      </w:pPr>
      <w:r w:rsidRPr="00B7142D">
        <w:rPr>
          <w:lang w:eastAsia="x-none"/>
        </w:rPr>
        <w:t>All hand-delivered or messenger-delivered paper filings for the Commission’s Secretary must be delivered to FCC Headquarters at 445 12th St., S</w:t>
      </w:r>
      <w:r w:rsidR="00E32100" w:rsidRPr="00B7142D">
        <w:rPr>
          <w:lang w:eastAsia="x-none"/>
        </w:rPr>
        <w:t>.</w:t>
      </w:r>
      <w:r w:rsidRPr="00B7142D">
        <w:rPr>
          <w:lang w:eastAsia="x-none"/>
        </w:rPr>
        <w:t>W</w:t>
      </w:r>
      <w:r w:rsidR="00E32100" w:rsidRPr="00B7142D">
        <w:rPr>
          <w:lang w:eastAsia="x-none"/>
        </w:rPr>
        <w:t>.</w:t>
      </w:r>
      <w:r w:rsidRPr="00B7142D">
        <w:rPr>
          <w:lang w:eastAsia="x-none"/>
        </w:rPr>
        <w:t>, Room TW-A325, Washington, D</w:t>
      </w:r>
      <w:r w:rsidR="00E32100" w:rsidRPr="00B7142D">
        <w:rPr>
          <w:lang w:eastAsia="x-none"/>
        </w:rPr>
        <w:t>.</w:t>
      </w:r>
      <w:r w:rsidRPr="00B7142D">
        <w:rPr>
          <w:lang w:eastAsia="x-none"/>
        </w:rPr>
        <w:t>C</w:t>
      </w:r>
      <w:r w:rsidR="00E32100" w:rsidRPr="00B7142D">
        <w:rPr>
          <w:lang w:eastAsia="x-none"/>
        </w:rPr>
        <w:t xml:space="preserve">. </w:t>
      </w:r>
      <w:r w:rsidRPr="00B7142D">
        <w:rPr>
          <w:lang w:eastAsia="x-none"/>
        </w:rPr>
        <w:t xml:space="preserve">20554.  The filing hours are 8:00 a.m. to 7:00 p.m.   All hand deliveries must be held together with rubber bands or fasteners.  Any envelopes and boxes must be disposed of before entering the building.  </w:t>
      </w:r>
    </w:p>
    <w:p w14:paraId="3B1BD8C3" w14:textId="77777777" w:rsidR="00DD6CA4" w:rsidRPr="00B7142D" w:rsidRDefault="00DD6CA4" w:rsidP="006C5F06">
      <w:pPr>
        <w:pStyle w:val="ParaNum"/>
        <w:numPr>
          <w:ilvl w:val="0"/>
          <w:numId w:val="16"/>
        </w:numPr>
        <w:ind w:left="1080"/>
        <w:rPr>
          <w:lang w:eastAsia="x-none"/>
        </w:rPr>
      </w:pPr>
      <w:r w:rsidRPr="00B7142D">
        <w:rPr>
          <w:lang w:eastAsia="x-none"/>
        </w:rPr>
        <w:t>Commercial overnight mail (other than U.S. Postal Service Express Mail and Priority Mail) must be sent to 9300 East Hampton Drive, Capitol Heights</w:t>
      </w:r>
      <w:proofErr w:type="gramStart"/>
      <w:r w:rsidRPr="00B7142D">
        <w:rPr>
          <w:lang w:eastAsia="x-none"/>
        </w:rPr>
        <w:t xml:space="preserve">, MD </w:t>
      </w:r>
      <w:proofErr w:type="gramEnd"/>
      <w:r w:rsidRPr="00B7142D">
        <w:rPr>
          <w:lang w:eastAsia="x-none"/>
        </w:rPr>
        <w:t xml:space="preserve"> 20743.</w:t>
      </w:r>
    </w:p>
    <w:p w14:paraId="3657922C" w14:textId="77777777" w:rsidR="00DD6CA4" w:rsidRPr="00B7142D" w:rsidRDefault="00DD6CA4" w:rsidP="006C5F06">
      <w:pPr>
        <w:pStyle w:val="ParaNum"/>
        <w:numPr>
          <w:ilvl w:val="0"/>
          <w:numId w:val="16"/>
        </w:numPr>
        <w:ind w:left="1080"/>
        <w:rPr>
          <w:lang w:eastAsia="x-none"/>
        </w:rPr>
      </w:pPr>
      <w:r w:rsidRPr="00B7142D">
        <w:rPr>
          <w:lang w:eastAsia="x-none"/>
        </w:rPr>
        <w:t>U.S. Postal Service first-class, Express, and Priority mail must be addressed to 445 12th Street, S</w:t>
      </w:r>
      <w:r w:rsidR="003D5309" w:rsidRPr="00B7142D">
        <w:rPr>
          <w:lang w:eastAsia="x-none"/>
        </w:rPr>
        <w:t>.</w:t>
      </w:r>
      <w:r w:rsidRPr="00B7142D">
        <w:rPr>
          <w:lang w:eastAsia="x-none"/>
        </w:rPr>
        <w:t>W</w:t>
      </w:r>
      <w:r w:rsidR="003D5309" w:rsidRPr="00B7142D">
        <w:rPr>
          <w:lang w:eastAsia="x-none"/>
        </w:rPr>
        <w:t>.</w:t>
      </w:r>
      <w:r w:rsidRPr="00B7142D">
        <w:rPr>
          <w:lang w:eastAsia="x-none"/>
        </w:rPr>
        <w:t>, Washington D</w:t>
      </w:r>
      <w:r w:rsidR="00E32100" w:rsidRPr="00B7142D">
        <w:rPr>
          <w:lang w:eastAsia="x-none"/>
        </w:rPr>
        <w:t>.</w:t>
      </w:r>
      <w:r w:rsidRPr="00B7142D">
        <w:rPr>
          <w:lang w:eastAsia="x-none"/>
        </w:rPr>
        <w:t>C</w:t>
      </w:r>
      <w:r w:rsidR="00E32100" w:rsidRPr="00B7142D">
        <w:rPr>
          <w:lang w:eastAsia="x-none"/>
        </w:rPr>
        <w:t>.</w:t>
      </w:r>
      <w:r w:rsidRPr="00B7142D">
        <w:rPr>
          <w:lang w:eastAsia="x-none"/>
        </w:rPr>
        <w:t xml:space="preserve">  20554.</w:t>
      </w:r>
    </w:p>
    <w:p w14:paraId="588F79F3" w14:textId="77777777" w:rsidR="00DD6CA4" w:rsidRPr="00B7142D" w:rsidRDefault="00DD6CA4" w:rsidP="006C5F06">
      <w:pPr>
        <w:pStyle w:val="ParaNum"/>
      </w:pPr>
      <w:r w:rsidRPr="00B7142D">
        <w:rPr>
          <w:lang w:val="x-none" w:eastAsia="x-none"/>
        </w:rPr>
        <w:t xml:space="preserve">People with Disabilities:  To request materials in accessible formats for people with disabilities (braille, large print, electronic files, audio format), send an e-mail to </w:t>
      </w:r>
      <w:hyperlink r:id="rId9" w:history="1">
        <w:r w:rsidRPr="00B7142D">
          <w:rPr>
            <w:color w:val="0000FF"/>
            <w:u w:val="single"/>
            <w:lang w:val="x-none" w:eastAsia="x-none"/>
          </w:rPr>
          <w:t>fcc504@fcc.gov</w:t>
        </w:r>
      </w:hyperlink>
      <w:r w:rsidRPr="00B7142D">
        <w:rPr>
          <w:lang w:val="x-none" w:eastAsia="x-none"/>
        </w:rPr>
        <w:t xml:space="preserve"> or call the Consumer </w:t>
      </w:r>
      <w:r w:rsidR="00E32100" w:rsidRPr="00B7142D">
        <w:rPr>
          <w:lang w:eastAsia="x-none"/>
        </w:rPr>
        <w:t>and</w:t>
      </w:r>
      <w:r w:rsidRPr="00B7142D">
        <w:rPr>
          <w:lang w:val="x-none" w:eastAsia="x-none"/>
        </w:rPr>
        <w:t xml:space="preserve"> Governmental Affairs Bureau at 202-418-0530 (voice), 202-418-0432 (tty).</w:t>
      </w:r>
    </w:p>
    <w:p w14:paraId="1346428F" w14:textId="77777777" w:rsidR="00DD6CA4" w:rsidRPr="00B7142D" w:rsidRDefault="00DD6CA4" w:rsidP="00C24DDE">
      <w:pPr>
        <w:pStyle w:val="Heading2"/>
      </w:pPr>
      <w:bookmarkStart w:id="217" w:name="_Toc393965410"/>
      <w:bookmarkStart w:id="218" w:name="_Toc409784129"/>
      <w:r w:rsidRPr="00B7142D">
        <w:t>Initial Regulatory Flexibility Analysis</w:t>
      </w:r>
      <w:bookmarkEnd w:id="217"/>
      <w:bookmarkEnd w:id="218"/>
    </w:p>
    <w:p w14:paraId="09743547" w14:textId="77777777" w:rsidR="00DD6CA4" w:rsidRPr="00B7142D" w:rsidRDefault="00DD6CA4" w:rsidP="006C5F06">
      <w:pPr>
        <w:pStyle w:val="ParaNum"/>
      </w:pPr>
      <w:r w:rsidRPr="00B7142D">
        <w:rPr>
          <w:lang w:val="x-none" w:eastAsia="x-none"/>
        </w:rPr>
        <w:t xml:space="preserve">As required by </w:t>
      </w:r>
      <w:r w:rsidR="00162081">
        <w:rPr>
          <w:lang w:eastAsia="x-none"/>
        </w:rPr>
        <w:t>s</w:t>
      </w:r>
      <w:r w:rsidRPr="00B7142D">
        <w:rPr>
          <w:lang w:val="x-none" w:eastAsia="x-none"/>
        </w:rPr>
        <w:t>ection 603 of the Regulatory Flexibility Act, 5 U.S.C. § 603, the Commission has prepared an Initial Regulatory Flexibility Analysis (IRFA) of the possible significant economic impact on small entities of the proposals suggested in this document.  The IRFA is set forth in Appendix B.</w:t>
      </w:r>
    </w:p>
    <w:p w14:paraId="4A2CA9A7" w14:textId="77777777" w:rsidR="0077278C" w:rsidRPr="00B7142D" w:rsidRDefault="0077278C" w:rsidP="00C24DDE">
      <w:pPr>
        <w:pStyle w:val="Heading2"/>
      </w:pPr>
      <w:bookmarkStart w:id="219" w:name="_Toc393965411"/>
      <w:bookmarkStart w:id="220" w:name="_Toc409784130"/>
      <w:r w:rsidRPr="00B7142D">
        <w:t>Paperwork Reduction Act Analysis</w:t>
      </w:r>
      <w:bookmarkEnd w:id="219"/>
      <w:bookmarkEnd w:id="220"/>
    </w:p>
    <w:p w14:paraId="2E7542BC" w14:textId="77777777" w:rsidR="0077278C" w:rsidRPr="00B7142D" w:rsidRDefault="00DD6CA4" w:rsidP="006C5F06">
      <w:pPr>
        <w:pStyle w:val="ParaNum"/>
      </w:pPr>
      <w:r w:rsidRPr="00B7142D">
        <w:t xml:space="preserve">This document contains proposed new or modified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w:t>
      </w:r>
      <w:r w:rsidR="00546F54">
        <w:t xml:space="preserve"> </w:t>
      </w:r>
      <w:r w:rsidRPr="00B7142D">
        <w:t xml:space="preserve">In addition, pursuant to the Small Business Paperwork Relief Act of 2002, Public Law 107-198, </w:t>
      </w:r>
      <w:r w:rsidRPr="00B7142D">
        <w:rPr>
          <w:i/>
        </w:rPr>
        <w:t>see</w:t>
      </w:r>
      <w:r w:rsidRPr="00B7142D">
        <w:t xml:space="preserve"> 44 U.S.C. </w:t>
      </w:r>
      <w:r w:rsidR="00E32100" w:rsidRPr="00B7142D">
        <w:t xml:space="preserve">§ </w:t>
      </w:r>
      <w:r w:rsidRPr="00B7142D">
        <w:t>3506(c)(4), we seek specific comment on how we might further reduce the information collection burden for small business concerns with fewer than 25 employees.</w:t>
      </w:r>
    </w:p>
    <w:p w14:paraId="638E02AE" w14:textId="77777777" w:rsidR="0077278C" w:rsidRPr="00B7142D" w:rsidRDefault="0077278C" w:rsidP="00C24DDE">
      <w:pPr>
        <w:pStyle w:val="Heading2"/>
      </w:pPr>
      <w:bookmarkStart w:id="221" w:name="_Toc393965412"/>
      <w:bookmarkStart w:id="222" w:name="_Toc409784131"/>
      <w:r w:rsidRPr="00B7142D">
        <w:t>Further Information</w:t>
      </w:r>
      <w:bookmarkEnd w:id="221"/>
      <w:bookmarkEnd w:id="222"/>
    </w:p>
    <w:p w14:paraId="5A09CBFD" w14:textId="77777777" w:rsidR="0077278C" w:rsidRPr="00B7142D" w:rsidRDefault="00DD6CA4" w:rsidP="006C5F06">
      <w:pPr>
        <w:pStyle w:val="ParaNum"/>
      </w:pPr>
      <w:r w:rsidRPr="00B7142D">
        <w:t xml:space="preserve"> </w:t>
      </w:r>
      <w:r w:rsidRPr="00B7142D">
        <w:rPr>
          <w:lang w:val="x-none" w:eastAsia="x-none"/>
        </w:rPr>
        <w:t xml:space="preserve">For further information about this </w:t>
      </w:r>
      <w:r w:rsidR="000D6D07" w:rsidRPr="00B7142D">
        <w:rPr>
          <w:bCs/>
          <w:i/>
          <w:color w:val="000000"/>
          <w:lang w:eastAsia="x-none"/>
        </w:rPr>
        <w:t>Notice of Proposed Rulemaking</w:t>
      </w:r>
      <w:r w:rsidRPr="00B7142D">
        <w:rPr>
          <w:lang w:val="x-none" w:eastAsia="x-none"/>
        </w:rPr>
        <w:t xml:space="preserve">, please contact </w:t>
      </w:r>
      <w:r w:rsidR="0077278C" w:rsidRPr="00B7142D">
        <w:rPr>
          <w:lang w:eastAsia="x-none"/>
        </w:rPr>
        <w:t>Shaun Maher</w:t>
      </w:r>
      <w:r w:rsidRPr="00B7142D">
        <w:rPr>
          <w:lang w:val="x-none" w:eastAsia="x-none"/>
        </w:rPr>
        <w:t xml:space="preserve"> </w:t>
      </w:r>
      <w:r w:rsidR="006D0FB0" w:rsidRPr="00B7142D">
        <w:rPr>
          <w:lang w:eastAsia="x-none"/>
        </w:rPr>
        <w:t xml:space="preserve">(Media Bureau) </w:t>
      </w:r>
      <w:r w:rsidRPr="00B7142D">
        <w:rPr>
          <w:lang w:val="x-none" w:eastAsia="x-none"/>
        </w:rPr>
        <w:t>at (202) 418-</w:t>
      </w:r>
      <w:r w:rsidR="0077278C" w:rsidRPr="00B7142D">
        <w:rPr>
          <w:lang w:eastAsia="x-none"/>
        </w:rPr>
        <w:t>2324</w:t>
      </w:r>
      <w:r w:rsidRPr="00B7142D">
        <w:rPr>
          <w:lang w:val="x-none" w:eastAsia="x-none"/>
        </w:rPr>
        <w:t xml:space="preserve">, </w:t>
      </w:r>
      <w:hyperlink r:id="rId10" w:history="1">
        <w:proofErr w:type="spellStart"/>
        <w:r w:rsidR="0077278C" w:rsidRPr="00B7142D">
          <w:rPr>
            <w:rStyle w:val="Hyperlink"/>
            <w:lang w:eastAsia="x-none"/>
          </w:rPr>
          <w:t>Shaun.Maher</w:t>
        </w:r>
        <w:proofErr w:type="spellEnd"/>
        <w:r w:rsidR="0077278C" w:rsidRPr="00B7142D">
          <w:rPr>
            <w:rStyle w:val="Hyperlink"/>
            <w:lang w:val="x-none" w:eastAsia="x-none"/>
          </w:rPr>
          <w:t>@fcc.gov</w:t>
        </w:r>
      </w:hyperlink>
      <w:r w:rsidR="006D0FB0" w:rsidRPr="00B7142D">
        <w:rPr>
          <w:lang w:eastAsia="x-none"/>
        </w:rPr>
        <w:t xml:space="preserve"> and Paul Murray (Office of Engineering and Technology) at (202) 418-0688, </w:t>
      </w:r>
      <w:hyperlink r:id="rId11" w:history="1">
        <w:r w:rsidR="006D0FB0" w:rsidRPr="00B7142D">
          <w:rPr>
            <w:rStyle w:val="Hyperlink"/>
            <w:lang w:eastAsia="x-none"/>
          </w:rPr>
          <w:t>Paul.Murray@fcc.gov</w:t>
        </w:r>
      </w:hyperlink>
      <w:r w:rsidR="006D0FB0" w:rsidRPr="00B7142D">
        <w:rPr>
          <w:lang w:eastAsia="x-none"/>
        </w:rPr>
        <w:t xml:space="preserve">.  </w:t>
      </w:r>
    </w:p>
    <w:p w14:paraId="44E38FA3" w14:textId="77777777" w:rsidR="0077278C" w:rsidRPr="001A3028" w:rsidRDefault="0077278C" w:rsidP="006C5F06">
      <w:pPr>
        <w:pStyle w:val="Heading1"/>
        <w:rPr>
          <w:rFonts w:ascii="Times New Roman" w:hAnsi="Times New Roman"/>
        </w:rPr>
      </w:pPr>
      <w:bookmarkStart w:id="223" w:name="_Toc393965413"/>
      <w:bookmarkStart w:id="224" w:name="_Toc409784132"/>
      <w:r w:rsidRPr="001A3028">
        <w:rPr>
          <w:rFonts w:ascii="Times New Roman" w:hAnsi="Times New Roman"/>
        </w:rPr>
        <w:t>ORDERING CLAUSES</w:t>
      </w:r>
      <w:bookmarkEnd w:id="223"/>
      <w:bookmarkEnd w:id="224"/>
    </w:p>
    <w:p w14:paraId="690A3B2D" w14:textId="77777777" w:rsidR="00DD6CA4" w:rsidRDefault="00DD6CA4" w:rsidP="006C5F06">
      <w:pPr>
        <w:pStyle w:val="ParaNum"/>
      </w:pPr>
      <w:r w:rsidRPr="00B7142D">
        <w:rPr>
          <w:lang w:val="x-none" w:eastAsia="x-none"/>
        </w:rPr>
        <w:t xml:space="preserve">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B7142D">
        <w:rPr>
          <w:lang w:val="x-none" w:eastAsia="x-none"/>
        </w:rPr>
        <w:t xml:space="preserve">IT IS ORDERED that pursuant to sections 1, 4, </w:t>
      </w:r>
      <w:r w:rsidR="00E1075E">
        <w:rPr>
          <w:lang w:eastAsia="x-none"/>
        </w:rPr>
        <w:t xml:space="preserve">7, </w:t>
      </w:r>
      <w:r w:rsidRPr="00B7142D">
        <w:rPr>
          <w:lang w:val="x-none" w:eastAsia="x-none"/>
        </w:rPr>
        <w:t>301, 303, 307, 308, 309, 310, 316, 319, 332</w:t>
      </w:r>
      <w:r w:rsidR="00E1075E">
        <w:rPr>
          <w:lang w:eastAsia="x-none"/>
        </w:rPr>
        <w:t>, 336,</w:t>
      </w:r>
      <w:r w:rsidRPr="00B7142D">
        <w:rPr>
          <w:lang w:val="x-none" w:eastAsia="x-none"/>
        </w:rPr>
        <w:t xml:space="preserve"> and 403 of the Communications Act of 1934, as amended, 47 U.S.C. §§ 151, 154, </w:t>
      </w:r>
      <w:r w:rsidR="00E1075E">
        <w:rPr>
          <w:lang w:eastAsia="x-none"/>
        </w:rPr>
        <w:t xml:space="preserve">157, </w:t>
      </w:r>
      <w:r w:rsidRPr="00B7142D">
        <w:rPr>
          <w:lang w:val="x-none" w:eastAsia="x-none"/>
        </w:rPr>
        <w:t xml:space="preserve">301, 303, 307, 308, 309, 310, 316, 319, 332, </w:t>
      </w:r>
      <w:r w:rsidR="00E1075E">
        <w:rPr>
          <w:lang w:eastAsia="x-none"/>
        </w:rPr>
        <w:t xml:space="preserve">336, </w:t>
      </w:r>
      <w:r w:rsidRPr="00B7142D">
        <w:rPr>
          <w:lang w:val="x-none" w:eastAsia="x-none"/>
        </w:rPr>
        <w:t>and 403</w:t>
      </w:r>
      <w:r w:rsidRPr="00B7142D">
        <w:rPr>
          <w:color w:val="000000"/>
          <w:lang w:val="x-none" w:eastAsia="x-none"/>
        </w:rPr>
        <w:t xml:space="preserve">, </w:t>
      </w:r>
      <w:r w:rsidRPr="00B7142D">
        <w:rPr>
          <w:lang w:val="x-none" w:eastAsia="x-none"/>
        </w:rPr>
        <w:t xml:space="preserve">this </w:t>
      </w:r>
      <w:r w:rsidRPr="00B7142D">
        <w:rPr>
          <w:i/>
          <w:iCs/>
          <w:lang w:val="x-none" w:eastAsia="x-none"/>
        </w:rPr>
        <w:t>Notice of Proposed Rule Making</w:t>
      </w:r>
      <w:r w:rsidRPr="00B7142D">
        <w:rPr>
          <w:lang w:val="x-none" w:eastAsia="x-none"/>
        </w:rPr>
        <w:t xml:space="preserve"> IS ADOPTED.</w:t>
      </w:r>
      <w:bookmarkStart w:id="225" w:name="sp_999_19"/>
      <w:bookmarkStart w:id="226" w:name="SDU_19"/>
      <w:bookmarkStart w:id="227" w:name="sp_1511_16519"/>
      <w:bookmarkStart w:id="228" w:name="SDU_16519"/>
      <w:bookmarkStart w:id="229" w:name="citeas((Cite_as:_25_F.C.C.R._16498,_*165"/>
      <w:bookmarkEnd w:id="225"/>
      <w:bookmarkEnd w:id="226"/>
      <w:bookmarkEnd w:id="227"/>
      <w:bookmarkEnd w:id="228"/>
      <w:bookmarkEnd w:id="229"/>
    </w:p>
    <w:p w14:paraId="488D1AD1" w14:textId="77777777" w:rsidR="00DD6CA4" w:rsidRPr="00FE1A9C" w:rsidRDefault="00DD6CA4" w:rsidP="002D2631">
      <w:pPr>
        <w:pStyle w:val="ParaNum"/>
        <w:pageBreakBefore/>
      </w:pPr>
      <w:r w:rsidRPr="00B7142D">
        <w:rPr>
          <w:lang w:val="x-none" w:eastAsia="x-none"/>
        </w:rPr>
        <w:lastRenderedPageBreak/>
        <w:t xml:space="preserve">IT IS FURTHER ORDERED that the Commission’s Consumer and Governmental Affairs Bureau, Reference Information Center, SHALL SEND a copy of this </w:t>
      </w:r>
      <w:r w:rsidRPr="00B7142D">
        <w:rPr>
          <w:i/>
          <w:iCs/>
          <w:lang w:val="x-none" w:eastAsia="x-none"/>
        </w:rPr>
        <w:t>Notice of Proposed Rule Making,</w:t>
      </w:r>
      <w:r w:rsidRPr="00B7142D">
        <w:rPr>
          <w:lang w:val="x-none" w:eastAsia="x-none"/>
        </w:rPr>
        <w:t xml:space="preserve"> including the Initial Regulatory Flexibility Analysis</w:t>
      </w:r>
      <w:r w:rsidR="009E7D43" w:rsidRPr="00B7142D">
        <w:rPr>
          <w:lang w:eastAsia="x-none"/>
        </w:rPr>
        <w:t>,</w:t>
      </w:r>
      <w:r w:rsidRPr="00B7142D">
        <w:rPr>
          <w:lang w:val="x-none" w:eastAsia="x-none"/>
        </w:rPr>
        <w:t xml:space="preserve"> to the Chief Counsel for Advocacy of the Small Business Administration.</w:t>
      </w:r>
    </w:p>
    <w:p w14:paraId="684AAC39" w14:textId="77777777" w:rsidR="00FE1A9C" w:rsidRDefault="00FE1A9C" w:rsidP="00D02E15">
      <w:r>
        <w:tab/>
      </w:r>
      <w:r>
        <w:tab/>
      </w:r>
      <w:r>
        <w:tab/>
      </w:r>
      <w:r>
        <w:tab/>
      </w:r>
      <w:r>
        <w:tab/>
      </w:r>
      <w:r>
        <w:tab/>
        <w:t>FEDERAL COMMUNICATIONS COMMISSION</w:t>
      </w:r>
    </w:p>
    <w:p w14:paraId="13BE00EB" w14:textId="77777777" w:rsidR="00FE1A9C" w:rsidRDefault="00FE1A9C" w:rsidP="00D02E15"/>
    <w:p w14:paraId="7B35F4A9" w14:textId="77777777" w:rsidR="00FE1A9C" w:rsidRDefault="00FE1A9C" w:rsidP="00D02E15"/>
    <w:p w14:paraId="5FF7E790" w14:textId="77777777" w:rsidR="00FE1A9C" w:rsidRDefault="00FE1A9C" w:rsidP="00D02E15"/>
    <w:p w14:paraId="447B5601" w14:textId="77777777" w:rsidR="00FE1A9C" w:rsidRDefault="00FE1A9C" w:rsidP="00D02E15"/>
    <w:p w14:paraId="4A9F4445" w14:textId="77777777" w:rsidR="00FE1A9C" w:rsidRDefault="00FE1A9C" w:rsidP="00D02E15">
      <w:r>
        <w:tab/>
      </w:r>
      <w:r>
        <w:tab/>
      </w:r>
      <w:r>
        <w:tab/>
      </w:r>
      <w:r>
        <w:tab/>
      </w:r>
      <w:r>
        <w:tab/>
      </w:r>
      <w:r>
        <w:tab/>
        <w:t xml:space="preserve">Marlene H. </w:t>
      </w:r>
      <w:proofErr w:type="spellStart"/>
      <w:r>
        <w:t>Dortch</w:t>
      </w:r>
      <w:proofErr w:type="spellEnd"/>
    </w:p>
    <w:p w14:paraId="5B0AF816" w14:textId="77777777" w:rsidR="00FE1A9C" w:rsidRDefault="00FE1A9C" w:rsidP="00D02E15">
      <w:r>
        <w:tab/>
      </w:r>
      <w:r>
        <w:tab/>
      </w:r>
      <w:r>
        <w:tab/>
      </w:r>
      <w:r>
        <w:tab/>
      </w:r>
      <w:r>
        <w:tab/>
      </w:r>
      <w:r>
        <w:tab/>
        <w:t>Secretary</w:t>
      </w:r>
    </w:p>
    <w:p w14:paraId="4EDC48D8" w14:textId="77777777" w:rsidR="00FE1A9C" w:rsidRDefault="00FE1A9C" w:rsidP="00FE1A9C">
      <w:pPr>
        <w:pStyle w:val="ParaNum"/>
        <w:numPr>
          <w:ilvl w:val="0"/>
          <w:numId w:val="0"/>
        </w:numPr>
      </w:pP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73E37309" w14:textId="77777777" w:rsidR="00FE1A9C" w:rsidRDefault="00FE1A9C" w:rsidP="006C5F06">
      <w:pPr>
        <w:pStyle w:val="ParaNum"/>
        <w:numPr>
          <w:ilvl w:val="0"/>
          <w:numId w:val="0"/>
        </w:numPr>
        <w:jc w:val="center"/>
      </w:pPr>
    </w:p>
    <w:p w14:paraId="77C12809" w14:textId="77777777" w:rsidR="00CD683D" w:rsidRPr="00B7142D" w:rsidRDefault="00CD683D" w:rsidP="006C5F06">
      <w:pPr>
        <w:pStyle w:val="ParaNum"/>
        <w:numPr>
          <w:ilvl w:val="0"/>
          <w:numId w:val="0"/>
        </w:numPr>
        <w:jc w:val="center"/>
        <w:rPr>
          <w:b/>
        </w:rPr>
      </w:pPr>
      <w:r w:rsidRPr="00B7142D">
        <w:br w:type="page"/>
      </w:r>
      <w:r w:rsidRPr="00B7142D">
        <w:rPr>
          <w:b/>
        </w:rPr>
        <w:lastRenderedPageBreak/>
        <w:t>APPENDIX A</w:t>
      </w:r>
    </w:p>
    <w:p w14:paraId="4829E691" w14:textId="77777777" w:rsidR="00036D39" w:rsidRPr="00B7142D" w:rsidRDefault="00036D39" w:rsidP="006C5F06">
      <w:pPr>
        <w:spacing w:after="120"/>
        <w:jc w:val="center"/>
        <w:rPr>
          <w:b/>
        </w:rPr>
      </w:pPr>
      <w:r w:rsidRPr="00B7142D">
        <w:rPr>
          <w:b/>
        </w:rPr>
        <w:t>PROPOSED RULES</w:t>
      </w:r>
    </w:p>
    <w:p w14:paraId="0A7F27EA" w14:textId="77777777" w:rsidR="00650588" w:rsidRPr="00B7142D" w:rsidRDefault="00650588" w:rsidP="00650588">
      <w:pPr>
        <w:keepNext/>
        <w:tabs>
          <w:tab w:val="left" w:pos="2160"/>
        </w:tabs>
        <w:spacing w:after="120"/>
        <w:outlineLvl w:val="2"/>
      </w:pPr>
      <w:r w:rsidRPr="00B7142D">
        <w:t>PART 73 – RADIO BROADCAST SERVICES</w:t>
      </w:r>
    </w:p>
    <w:p w14:paraId="4B2AEA50" w14:textId="77777777" w:rsidR="00E833CA" w:rsidRDefault="00E833CA" w:rsidP="00E37493">
      <w:pPr>
        <w:keepNext/>
        <w:tabs>
          <w:tab w:val="left" w:pos="2160"/>
        </w:tabs>
        <w:outlineLvl w:val="2"/>
      </w:pPr>
    </w:p>
    <w:p w14:paraId="486BE2A4" w14:textId="77777777" w:rsidR="00650588" w:rsidRPr="00B7142D" w:rsidRDefault="00650588" w:rsidP="00E37493">
      <w:pPr>
        <w:keepNext/>
        <w:tabs>
          <w:tab w:val="left" w:pos="2160"/>
        </w:tabs>
        <w:outlineLvl w:val="2"/>
      </w:pPr>
      <w:r w:rsidRPr="00B7142D">
        <w:t>1.  The authority citation for Part 73 continues to read as follows:</w:t>
      </w:r>
    </w:p>
    <w:p w14:paraId="6DE296C6" w14:textId="77777777" w:rsidR="00650588" w:rsidRPr="00B7142D" w:rsidRDefault="00650588" w:rsidP="00650588">
      <w:pPr>
        <w:keepNext/>
        <w:tabs>
          <w:tab w:val="left" w:pos="720"/>
          <w:tab w:val="left" w:pos="2160"/>
        </w:tabs>
        <w:spacing w:after="120"/>
        <w:outlineLvl w:val="2"/>
      </w:pPr>
    </w:p>
    <w:p w14:paraId="28BF2B08" w14:textId="77777777" w:rsidR="00650588" w:rsidRPr="00B7142D" w:rsidRDefault="00650588" w:rsidP="00650588">
      <w:pPr>
        <w:keepNext/>
        <w:tabs>
          <w:tab w:val="left" w:pos="720"/>
          <w:tab w:val="left" w:pos="2160"/>
        </w:tabs>
        <w:spacing w:after="120"/>
        <w:outlineLvl w:val="2"/>
        <w:rPr>
          <w:b/>
        </w:rPr>
      </w:pPr>
      <w:r w:rsidRPr="00B7142D">
        <w:t>Authority:  47 U.S.C. 154, 303, 334, 336 and 339</w:t>
      </w:r>
    </w:p>
    <w:p w14:paraId="48E2AA8C" w14:textId="77777777" w:rsidR="00650588" w:rsidRPr="00B7142D" w:rsidRDefault="00650588" w:rsidP="00E37493">
      <w:pPr>
        <w:keepNext/>
        <w:tabs>
          <w:tab w:val="left" w:pos="720"/>
          <w:tab w:val="left" w:pos="2160"/>
        </w:tabs>
        <w:outlineLvl w:val="2"/>
        <w:rPr>
          <w:b/>
        </w:rPr>
      </w:pPr>
    </w:p>
    <w:p w14:paraId="3AB59221" w14:textId="77777777" w:rsidR="00650588" w:rsidRPr="00B7142D" w:rsidRDefault="00650588" w:rsidP="00650588">
      <w:pPr>
        <w:keepNext/>
        <w:tabs>
          <w:tab w:val="left" w:pos="720"/>
          <w:tab w:val="left" w:pos="2160"/>
        </w:tabs>
        <w:spacing w:after="120"/>
        <w:outlineLvl w:val="2"/>
        <w:rPr>
          <w:b/>
        </w:rPr>
      </w:pPr>
      <w:r w:rsidRPr="00B7142D">
        <w:t>2.  Section 73.3572 of the Commission’s rules is revised to add a new subsection (</w:t>
      </w:r>
      <w:proofErr w:type="spellStart"/>
      <w:r w:rsidRPr="00B7142D">
        <w:t>i</w:t>
      </w:r>
      <w:proofErr w:type="spellEnd"/>
      <w:r w:rsidRPr="00B7142D">
        <w:t>) as follows:</w:t>
      </w:r>
    </w:p>
    <w:p w14:paraId="62B3CA96" w14:textId="77777777" w:rsidR="00650588" w:rsidRPr="00B7142D" w:rsidRDefault="00650588" w:rsidP="00650588">
      <w:pPr>
        <w:spacing w:after="120"/>
      </w:pPr>
      <w:r w:rsidRPr="00B7142D">
        <w:t xml:space="preserve">§ </w:t>
      </w:r>
      <w:proofErr w:type="gramStart"/>
      <w:r w:rsidRPr="00B7142D">
        <w:t>73.3572  Processing</w:t>
      </w:r>
      <w:proofErr w:type="gramEnd"/>
      <w:r w:rsidRPr="00B7142D">
        <w:t xml:space="preserve"> of TV broadcast, Class A TV broadcast, low power TV,  TV translators, and TV booster applications.</w:t>
      </w:r>
    </w:p>
    <w:p w14:paraId="266FCB17" w14:textId="77777777" w:rsidR="00650588" w:rsidRPr="00B7142D" w:rsidRDefault="00650588" w:rsidP="00650588">
      <w:pPr>
        <w:spacing w:after="120"/>
      </w:pPr>
      <w:r w:rsidRPr="00B7142D">
        <w:t>* * *</w:t>
      </w:r>
    </w:p>
    <w:p w14:paraId="29CEE8BB" w14:textId="77777777" w:rsidR="00650588" w:rsidRPr="00B7142D" w:rsidRDefault="00650588" w:rsidP="00650588">
      <w:pPr>
        <w:spacing w:after="120"/>
      </w:pPr>
      <w:r w:rsidRPr="00B7142D">
        <w:t xml:space="preserve"> (</w:t>
      </w:r>
      <w:proofErr w:type="spellStart"/>
      <w:r w:rsidRPr="00B7142D">
        <w:t>i</w:t>
      </w:r>
      <w:proofErr w:type="spellEnd"/>
      <w:r w:rsidRPr="00B7142D">
        <w:t xml:space="preserve">) Vacant </w:t>
      </w:r>
      <w:r w:rsidR="00B42FC4">
        <w:t>c</w:t>
      </w:r>
      <w:r w:rsidRPr="00B7142D">
        <w:t>hannel</w:t>
      </w:r>
      <w:r w:rsidR="00637F50">
        <w:t xml:space="preserve"> </w:t>
      </w:r>
      <w:r w:rsidR="00B42FC4">
        <w:t>d</w:t>
      </w:r>
      <w:r w:rsidR="00637F50">
        <w:t>emonstration</w:t>
      </w:r>
      <w:r w:rsidRPr="00B7142D">
        <w:t xml:space="preserve">.  </w:t>
      </w:r>
    </w:p>
    <w:p w14:paraId="01C30A54" w14:textId="77777777" w:rsidR="00650588" w:rsidRPr="00B7142D" w:rsidRDefault="00650588" w:rsidP="00650588">
      <w:pPr>
        <w:numPr>
          <w:ilvl w:val="0"/>
          <w:numId w:val="22"/>
        </w:numPr>
        <w:spacing w:after="120"/>
      </w:pPr>
      <w:r w:rsidRPr="00B7142D">
        <w:t>Applicability.  The provisions of this subsection shall apply to:</w:t>
      </w:r>
    </w:p>
    <w:p w14:paraId="326FFB6E" w14:textId="77777777" w:rsidR="00650588" w:rsidRPr="00B7142D" w:rsidRDefault="00650588" w:rsidP="00650588">
      <w:pPr>
        <w:numPr>
          <w:ilvl w:val="0"/>
          <w:numId w:val="23"/>
        </w:numPr>
        <w:spacing w:after="120"/>
      </w:pPr>
      <w:proofErr w:type="gramStart"/>
      <w:r w:rsidRPr="00B7142D">
        <w:t>all</w:t>
      </w:r>
      <w:proofErr w:type="gramEnd"/>
      <w:r w:rsidRPr="00B7142D">
        <w:t xml:space="preserve"> applications filed by low power television, TV translator, and Broadcast Auxiliary Service (BAS) stations for new</w:t>
      </w:r>
      <w:r w:rsidR="009D433E">
        <w:t>, displacement,</w:t>
      </w:r>
      <w:r w:rsidRPr="00B7142D">
        <w:t xml:space="preserve"> or modified facilities</w:t>
      </w:r>
      <w:r w:rsidR="00B97DC1">
        <w:t xml:space="preserve"> filed on or after release of the</w:t>
      </w:r>
      <w:r w:rsidR="00B97DC1" w:rsidRPr="00B97DC1">
        <w:t xml:space="preserve"> </w:t>
      </w:r>
      <w:r w:rsidR="00B97DC1" w:rsidRPr="001A3028">
        <w:t>Channel Reassignment Public Notice issued pursuant to § 73.3700(a)(2) of this chapter</w:t>
      </w:r>
      <w:r w:rsidR="00B97DC1">
        <w:t xml:space="preserve"> </w:t>
      </w:r>
      <w:r w:rsidRPr="00B7142D">
        <w:t>; and</w:t>
      </w:r>
    </w:p>
    <w:p w14:paraId="0D0D664F" w14:textId="77777777" w:rsidR="00A42695" w:rsidRDefault="00A42695" w:rsidP="00A42695">
      <w:pPr>
        <w:pStyle w:val="ListParagraph"/>
        <w:numPr>
          <w:ilvl w:val="0"/>
          <w:numId w:val="23"/>
        </w:numPr>
        <w:rPr>
          <w:rFonts w:ascii="Times New Roman" w:hAnsi="Times New Roman"/>
        </w:rPr>
      </w:pPr>
      <w:proofErr w:type="gramStart"/>
      <w:r w:rsidRPr="001A3028">
        <w:rPr>
          <w:rFonts w:ascii="Times New Roman" w:hAnsi="Times New Roman"/>
        </w:rPr>
        <w:t>applications</w:t>
      </w:r>
      <w:proofErr w:type="gramEnd"/>
      <w:r w:rsidRPr="001A3028">
        <w:rPr>
          <w:rFonts w:ascii="Times New Roman" w:hAnsi="Times New Roman"/>
        </w:rPr>
        <w:t xml:space="preserve"> for modified Class A television station facilities filed more than 39 months after release of the Channel Reassignment Public Notice issued pursuant to § 73.3700(a)(2) of this chapter.</w:t>
      </w:r>
    </w:p>
    <w:p w14:paraId="561AA9C8" w14:textId="77777777" w:rsidR="00B42FC4" w:rsidRDefault="00B42FC4" w:rsidP="00CA4862">
      <w:pPr>
        <w:pStyle w:val="ListParagraph"/>
        <w:ind w:left="1080"/>
        <w:rPr>
          <w:rFonts w:ascii="Times New Roman" w:hAnsi="Times New Roman"/>
        </w:rPr>
      </w:pPr>
    </w:p>
    <w:p w14:paraId="57F049A0" w14:textId="77777777" w:rsidR="00B42FC4" w:rsidRPr="00D55ED6" w:rsidRDefault="00B42FC4" w:rsidP="00CA4862">
      <w:pPr>
        <w:pStyle w:val="ListParagraph"/>
        <w:ind w:left="1080"/>
        <w:rPr>
          <w:rFonts w:ascii="Times New Roman" w:hAnsi="Times New Roman"/>
        </w:rPr>
      </w:pPr>
    </w:p>
    <w:p w14:paraId="38457583" w14:textId="77777777" w:rsidR="00650588" w:rsidRPr="00B7142D" w:rsidRDefault="00637F50" w:rsidP="00650588">
      <w:pPr>
        <w:numPr>
          <w:ilvl w:val="0"/>
          <w:numId w:val="22"/>
        </w:numPr>
        <w:spacing w:after="120"/>
      </w:pPr>
      <w:r>
        <w:t>Required</w:t>
      </w:r>
      <w:r w:rsidR="00650588" w:rsidRPr="00B7142D">
        <w:t xml:space="preserve"> showing.</w:t>
      </w:r>
    </w:p>
    <w:p w14:paraId="5BB9FC21" w14:textId="77777777" w:rsidR="009E2E32" w:rsidRDefault="00C92024" w:rsidP="00650588">
      <w:pPr>
        <w:numPr>
          <w:ilvl w:val="0"/>
          <w:numId w:val="24"/>
        </w:numPr>
        <w:spacing w:after="120"/>
      </w:pPr>
      <w:r w:rsidRPr="00B7142D">
        <w:t>A</w:t>
      </w:r>
      <w:r w:rsidR="00650588" w:rsidRPr="00B7142D">
        <w:t xml:space="preserve">pplicants subject to this provision shall include a showing with their application demonstrating that grant of the </w:t>
      </w:r>
      <w:r w:rsidR="00637F50">
        <w:t>application</w:t>
      </w:r>
      <w:r w:rsidR="00650588" w:rsidRPr="00B7142D">
        <w:t xml:space="preserve"> will not eliminate the last remaining vacant channel in their entire proposed protected area (in the case of applications for new </w:t>
      </w:r>
      <w:r w:rsidR="00546F54">
        <w:t xml:space="preserve">or displacement </w:t>
      </w:r>
      <w:r w:rsidR="00650588" w:rsidRPr="00B7142D">
        <w:t>facilities</w:t>
      </w:r>
      <w:r w:rsidR="004E126A">
        <w:t>)</w:t>
      </w:r>
      <w:r w:rsidR="00650588" w:rsidRPr="00B7142D">
        <w:t xml:space="preserve"> or expanded </w:t>
      </w:r>
      <w:r w:rsidR="004E126A">
        <w:t xml:space="preserve">proposed </w:t>
      </w:r>
      <w:r w:rsidR="00650588" w:rsidRPr="00B7142D">
        <w:t xml:space="preserve">protected area (in the case of modified facilities).  </w:t>
      </w:r>
    </w:p>
    <w:p w14:paraId="090A5A27" w14:textId="77777777" w:rsidR="00650588" w:rsidRPr="00B7142D" w:rsidRDefault="009E2E32" w:rsidP="00CA4862">
      <w:pPr>
        <w:spacing w:after="120"/>
        <w:ind w:firstLine="720"/>
      </w:pPr>
      <w:r w:rsidRPr="00C03EDB">
        <w:t>(</w:t>
      </w:r>
      <w:r w:rsidR="00297124">
        <w:t>B</w:t>
      </w:r>
      <w:r w:rsidRPr="00C03EDB">
        <w:t>)</w:t>
      </w:r>
      <w:r>
        <w:t xml:space="preserve"> </w:t>
      </w:r>
      <w:r w:rsidR="00650588" w:rsidRPr="00B7142D">
        <w:t>Applicants shall determine the availability of a vacant channel as of the date of the filing of their application.</w:t>
      </w:r>
    </w:p>
    <w:p w14:paraId="6D314DAD" w14:textId="77777777" w:rsidR="00650588" w:rsidRPr="00B7142D" w:rsidRDefault="00C03EDB" w:rsidP="00CA4862">
      <w:pPr>
        <w:spacing w:after="120"/>
        <w:ind w:firstLine="720"/>
      </w:pPr>
      <w:r>
        <w:t>(</w:t>
      </w:r>
      <w:r w:rsidR="00297124">
        <w:t>C</w:t>
      </w:r>
      <w:r>
        <w:t xml:space="preserve">) </w:t>
      </w:r>
      <w:r w:rsidR="00650588" w:rsidRPr="00B7142D">
        <w:t xml:space="preserve">Vacant channel availability for </w:t>
      </w:r>
      <w:r w:rsidR="004E126A">
        <w:t>purposes of the required showing</w:t>
      </w:r>
      <w:r w:rsidR="00650588" w:rsidRPr="00B7142D">
        <w:t xml:space="preserve"> shall be determined using the criteria set forth in </w:t>
      </w:r>
      <w:r w:rsidR="00C33DE9" w:rsidRPr="00B7142D">
        <w:t>§</w:t>
      </w:r>
      <w:r w:rsidR="00650588" w:rsidRPr="00B7142D">
        <w:t xml:space="preserve"> 74.802(b)(1) and </w:t>
      </w:r>
      <w:r w:rsidR="00C33DE9" w:rsidRPr="00B7142D">
        <w:t>§</w:t>
      </w:r>
      <w:r w:rsidR="00A42695" w:rsidRPr="00B7142D">
        <w:t xml:space="preserve"> </w:t>
      </w:r>
      <w:r w:rsidR="00650588" w:rsidRPr="00B7142D">
        <w:t xml:space="preserve">15.712(a)(2) of </w:t>
      </w:r>
      <w:r w:rsidR="00C33DE9" w:rsidRPr="00B7142D">
        <w:t>this chapter</w:t>
      </w:r>
      <w:r w:rsidR="00650588" w:rsidRPr="00B7142D">
        <w:t xml:space="preserve">.  Applicants must show that, at a minimum, </w:t>
      </w:r>
      <w:r w:rsidR="00DA2CAB" w:rsidRPr="00B7142D">
        <w:t xml:space="preserve">40 </w:t>
      </w:r>
      <w:proofErr w:type="spellStart"/>
      <w:r w:rsidR="00DA2CAB" w:rsidRPr="00B7142D">
        <w:t>milliwatt</w:t>
      </w:r>
      <w:proofErr w:type="spellEnd"/>
      <w:r w:rsidR="00DA2CAB" w:rsidRPr="00B7142D">
        <w:t xml:space="preserve"> personal/portable white space devices </w:t>
      </w:r>
      <w:r w:rsidR="00DA2CAB">
        <w:t xml:space="preserve">and </w:t>
      </w:r>
      <w:r w:rsidR="00650588" w:rsidRPr="00B7142D">
        <w:t xml:space="preserve">wireless microphones can operate anywhere within the </w:t>
      </w:r>
      <w:r w:rsidR="004E126A">
        <w:t xml:space="preserve">entire or expanded </w:t>
      </w:r>
      <w:r w:rsidR="00650588" w:rsidRPr="00B7142D">
        <w:t xml:space="preserve">proposed protected area.  </w:t>
      </w:r>
      <w:r w:rsidR="00E52796" w:rsidRPr="00B7142D">
        <w:t>W</w:t>
      </w:r>
      <w:r w:rsidR="00650588" w:rsidRPr="00B7142D">
        <w:t xml:space="preserve">ireless microphones and temporary BAS operations registered in the white space database shall not be considered </w:t>
      </w:r>
      <w:r w:rsidR="004E126A">
        <w:t xml:space="preserve">when </w:t>
      </w:r>
      <w:r w:rsidR="00650588" w:rsidRPr="00B7142D">
        <w:t xml:space="preserve">determining </w:t>
      </w:r>
      <w:r w:rsidR="00E52796" w:rsidRPr="00B7142D">
        <w:t>whether</w:t>
      </w:r>
      <w:r w:rsidR="00650588" w:rsidRPr="00B7142D">
        <w:t xml:space="preserve"> a proposed operation </w:t>
      </w:r>
      <w:r w:rsidR="004E126A">
        <w:t>eliminates</w:t>
      </w:r>
      <w:r w:rsidR="00650588" w:rsidRPr="00B7142D">
        <w:t xml:space="preserve"> the last remaining vacant channel.  The availability of channels shall be determined by analyzing individual two by two kilometer cells of a grid that covers the entire </w:t>
      </w:r>
      <w:r w:rsidR="004E126A">
        <w:t xml:space="preserve">or expanded </w:t>
      </w:r>
      <w:r w:rsidR="00650588" w:rsidRPr="00B7142D">
        <w:t xml:space="preserve">proposed protected area of operations.  The protected area </w:t>
      </w:r>
      <w:r w:rsidR="00E52796" w:rsidRPr="00B7142D">
        <w:t xml:space="preserve">for </w:t>
      </w:r>
      <w:r w:rsidR="00114F39" w:rsidRPr="00B7142D">
        <w:t>broadcast</w:t>
      </w:r>
      <w:r w:rsidR="00E52796" w:rsidRPr="00B7142D">
        <w:t xml:space="preserve"> stations </w:t>
      </w:r>
      <w:r w:rsidR="00650588" w:rsidRPr="00B7142D">
        <w:t xml:space="preserve">shall be </w:t>
      </w:r>
      <w:r w:rsidR="00E52796" w:rsidRPr="00B7142D">
        <w:t xml:space="preserve">the area defined by adding four kilometers to </w:t>
      </w:r>
      <w:r w:rsidR="00536F45" w:rsidRPr="00B7142D">
        <w:t xml:space="preserve">the contour </w:t>
      </w:r>
      <w:r w:rsidR="00650588" w:rsidRPr="00B7142D">
        <w:t xml:space="preserve">calculated in accordance with the methodology in </w:t>
      </w:r>
      <w:r w:rsidR="00E52796" w:rsidRPr="00B7142D">
        <w:t>§</w:t>
      </w:r>
      <w:r w:rsidR="00650588" w:rsidRPr="00B7142D">
        <w:t xml:space="preserve"> 74.802(b)(1) and </w:t>
      </w:r>
      <w:r w:rsidR="00E52796" w:rsidRPr="00B7142D">
        <w:t xml:space="preserve">§ </w:t>
      </w:r>
      <w:r w:rsidR="00650588" w:rsidRPr="00B7142D">
        <w:t xml:space="preserve">15.712(a)(1) of </w:t>
      </w:r>
      <w:r w:rsidR="00B1667E" w:rsidRPr="00B7142D">
        <w:t>this chapter</w:t>
      </w:r>
      <w:r w:rsidR="00650588" w:rsidRPr="00B7142D">
        <w:t xml:space="preserve">.  </w:t>
      </w:r>
      <w:r w:rsidR="00E52796" w:rsidRPr="00B7142D">
        <w:t>The protected area for BAS stations shall be the area defined by § 15.712(c) of this chapter.</w:t>
      </w:r>
      <w:r w:rsidR="00536F45" w:rsidRPr="00B7142D">
        <w:t xml:space="preserve">  </w:t>
      </w:r>
      <w:r w:rsidR="00650588" w:rsidRPr="00B7142D">
        <w:t xml:space="preserve">All cells that are within or overlap any portion of the </w:t>
      </w:r>
      <w:r w:rsidR="00546F54">
        <w:t xml:space="preserve">entire or expanded proposed </w:t>
      </w:r>
      <w:r w:rsidR="00650588" w:rsidRPr="00B7142D">
        <w:t xml:space="preserve">protected areas of operations shall be analyzed for vacant channel availability, and the availability shall be calculated at a single point at the center of each cell.  The </w:t>
      </w:r>
      <w:r w:rsidR="004E126A">
        <w:t xml:space="preserve">required showing </w:t>
      </w:r>
      <w:r w:rsidR="00650588" w:rsidRPr="00B7142D">
        <w:t>shall be satisfied as long as at least one vacant channel remains available at the center point of each cell requiring analysis.</w:t>
      </w:r>
    </w:p>
    <w:p w14:paraId="177DD8F1" w14:textId="77777777" w:rsidR="00825EA3" w:rsidRDefault="00C03EDB" w:rsidP="00CA4862">
      <w:pPr>
        <w:spacing w:after="120"/>
        <w:ind w:firstLine="720"/>
      </w:pPr>
      <w:r>
        <w:t>(</w:t>
      </w:r>
      <w:r w:rsidR="00297124">
        <w:t>D</w:t>
      </w:r>
      <w:r>
        <w:t xml:space="preserve">) </w:t>
      </w:r>
      <w:r w:rsidR="00650588" w:rsidRPr="00B7142D">
        <w:t xml:space="preserve">For purposes of the </w:t>
      </w:r>
      <w:r w:rsidR="004A7F21">
        <w:t>required</w:t>
      </w:r>
      <w:r w:rsidR="00650588" w:rsidRPr="00B7142D">
        <w:t xml:space="preserve"> showing, applicants shall consider only UHF channels in the </w:t>
      </w:r>
      <w:r w:rsidR="00650588" w:rsidRPr="00B7142D">
        <w:lastRenderedPageBreak/>
        <w:t>range of 21 and above.</w:t>
      </w:r>
    </w:p>
    <w:p w14:paraId="51F84907" w14:textId="77777777" w:rsidR="00C03EDB" w:rsidRDefault="00C03EDB" w:rsidP="00E37493"/>
    <w:p w14:paraId="3D166337" w14:textId="77777777" w:rsidR="00825EA3" w:rsidRDefault="00825EA3" w:rsidP="00CA4862">
      <w:pPr>
        <w:spacing w:after="120"/>
      </w:pPr>
      <w:r>
        <w:t>3.  The authority citation for Part 74 of the rules continues to read as follows:</w:t>
      </w:r>
    </w:p>
    <w:p w14:paraId="1EE90E5F" w14:textId="77777777" w:rsidR="003112C5" w:rsidRDefault="003112C5" w:rsidP="003112C5">
      <w:pPr>
        <w:spacing w:after="120"/>
      </w:pPr>
      <w:r>
        <w:t>Authority:  47 U.S.C. 154, 303, 307, 309, 336 and 554</w:t>
      </w:r>
    </w:p>
    <w:p w14:paraId="6DD920BC" w14:textId="77777777" w:rsidR="003112C5" w:rsidRDefault="003112C5" w:rsidP="00E37493"/>
    <w:p w14:paraId="3DC9BE6A" w14:textId="77777777" w:rsidR="003112C5" w:rsidRDefault="003112C5" w:rsidP="003112C5">
      <w:pPr>
        <w:spacing w:after="120"/>
      </w:pPr>
      <w:r>
        <w:t>4.  Section 74.632 of the Commission’s rules is revised to add a new subsection (h) as follows:</w:t>
      </w:r>
    </w:p>
    <w:p w14:paraId="7F9AB48E" w14:textId="77777777" w:rsidR="003112C5" w:rsidRDefault="003112C5" w:rsidP="003112C5">
      <w:pPr>
        <w:spacing w:after="120"/>
      </w:pPr>
      <w:proofErr w:type="gramStart"/>
      <w:r>
        <w:t>§74.632 Licensing requirements.</w:t>
      </w:r>
      <w:proofErr w:type="gramEnd"/>
    </w:p>
    <w:p w14:paraId="6D0DB9CC" w14:textId="77777777" w:rsidR="003112C5" w:rsidRDefault="003112C5" w:rsidP="003112C5">
      <w:pPr>
        <w:spacing w:after="120"/>
      </w:pPr>
      <w:r>
        <w:t>* * *</w:t>
      </w:r>
    </w:p>
    <w:p w14:paraId="429DBE05" w14:textId="77777777" w:rsidR="003112C5" w:rsidRDefault="003112C5" w:rsidP="003112C5">
      <w:pPr>
        <w:spacing w:after="120"/>
      </w:pPr>
      <w:r w:rsidRPr="003112C5">
        <w:t>(</w:t>
      </w:r>
      <w:r>
        <w:t>h</w:t>
      </w:r>
      <w:proofErr w:type="gramStart"/>
      <w:r w:rsidRPr="003112C5">
        <w:t>)  The</w:t>
      </w:r>
      <w:proofErr w:type="gramEnd"/>
      <w:r w:rsidRPr="003112C5">
        <w:t xml:space="preserve"> provisions of Section 73.3572(</w:t>
      </w:r>
      <w:proofErr w:type="spellStart"/>
      <w:r w:rsidRPr="003112C5">
        <w:t>i</w:t>
      </w:r>
      <w:proofErr w:type="spellEnd"/>
      <w:r w:rsidRPr="003112C5">
        <w:t>) of the rules shall apply to all applications filed under this rule.</w:t>
      </w:r>
    </w:p>
    <w:p w14:paraId="388FA9D9" w14:textId="77777777" w:rsidR="003112C5" w:rsidRDefault="003112C5" w:rsidP="00E37493"/>
    <w:p w14:paraId="7A73B01D" w14:textId="77777777" w:rsidR="00650588" w:rsidRDefault="003112C5" w:rsidP="00CA4862">
      <w:pPr>
        <w:spacing w:after="120"/>
      </w:pPr>
      <w:r>
        <w:t>5</w:t>
      </w:r>
      <w:r w:rsidR="00825EA3">
        <w:t>.  Section 74.</w:t>
      </w:r>
      <w:r>
        <w:t>787</w:t>
      </w:r>
      <w:r w:rsidR="00650588" w:rsidRPr="00B7142D">
        <w:t xml:space="preserve"> </w:t>
      </w:r>
      <w:r w:rsidR="00825EA3" w:rsidRPr="00825EA3">
        <w:t xml:space="preserve">of the Commission’s rules is revised to add a new subsection </w:t>
      </w:r>
      <w:r>
        <w:t>(d)</w:t>
      </w:r>
      <w:r w:rsidR="00825EA3" w:rsidRPr="00825EA3">
        <w:t xml:space="preserve"> as follows:</w:t>
      </w:r>
    </w:p>
    <w:p w14:paraId="433830E9" w14:textId="77777777" w:rsidR="003112C5" w:rsidRDefault="003112C5" w:rsidP="00CA4862">
      <w:pPr>
        <w:spacing w:after="120"/>
      </w:pPr>
      <w:proofErr w:type="gramStart"/>
      <w:r>
        <w:t>§ 74.787 Digital licensing.</w:t>
      </w:r>
      <w:proofErr w:type="gramEnd"/>
      <w:r>
        <w:t xml:space="preserve"> </w:t>
      </w:r>
    </w:p>
    <w:p w14:paraId="5DB93588" w14:textId="77777777" w:rsidR="00825EA3" w:rsidRDefault="00825EA3" w:rsidP="00CA4862">
      <w:pPr>
        <w:spacing w:after="120"/>
      </w:pPr>
      <w:r>
        <w:t>* * *</w:t>
      </w:r>
    </w:p>
    <w:p w14:paraId="254788E9" w14:textId="77777777" w:rsidR="00650588" w:rsidRPr="00B7142D" w:rsidRDefault="003112C5" w:rsidP="006C5F06">
      <w:pPr>
        <w:spacing w:after="120"/>
        <w:rPr>
          <w:b/>
        </w:rPr>
      </w:pPr>
      <w:r>
        <w:t>(d</w:t>
      </w:r>
      <w:proofErr w:type="gramStart"/>
      <w:r>
        <w:t xml:space="preserve">)  </w:t>
      </w:r>
      <w:r w:rsidR="00825EA3">
        <w:t>The</w:t>
      </w:r>
      <w:proofErr w:type="gramEnd"/>
      <w:r w:rsidR="00825EA3">
        <w:t xml:space="preserve"> provisions of Section 73.3572(</w:t>
      </w:r>
      <w:proofErr w:type="spellStart"/>
      <w:r w:rsidR="00825EA3">
        <w:t>i</w:t>
      </w:r>
      <w:proofErr w:type="spellEnd"/>
      <w:r w:rsidR="00825EA3">
        <w:t>) of the rules shall apply to all applications filed under this rule.</w:t>
      </w:r>
    </w:p>
    <w:p w14:paraId="445C18B4" w14:textId="77777777" w:rsidR="00AA35AE" w:rsidRDefault="00AA35AE" w:rsidP="006C5F06">
      <w:pPr>
        <w:spacing w:after="120"/>
        <w:jc w:val="center"/>
        <w:rPr>
          <w:b/>
        </w:rPr>
        <w:sectPr w:rsidR="00AA35AE" w:rsidSect="003B70A8">
          <w:headerReference w:type="even" r:id="rId12"/>
          <w:headerReference w:type="default" r:id="rId13"/>
          <w:footerReference w:type="even" r:id="rId14"/>
          <w:footerReference w:type="default" r:id="rId15"/>
          <w:headerReference w:type="first" r:id="rId16"/>
          <w:footerReference w:type="first" r:id="rId17"/>
          <w:footnotePr>
            <w:pos w:val="beneathText"/>
            <w:numRestart w:val="eachSect"/>
          </w:footnotePr>
          <w:endnotePr>
            <w:numFmt w:val="decimal"/>
          </w:endnotePr>
          <w:type w:val="continuous"/>
          <w:pgSz w:w="12240" w:h="15840"/>
          <w:pgMar w:top="1440" w:right="1440" w:bottom="720" w:left="1440" w:header="720" w:footer="720" w:gutter="0"/>
          <w:cols w:space="720"/>
          <w:noEndnote/>
          <w:titlePg/>
        </w:sectPr>
      </w:pPr>
    </w:p>
    <w:p w14:paraId="1C2C84DD" w14:textId="77777777" w:rsidR="00CD683D" w:rsidRPr="00B7142D" w:rsidRDefault="00036D39" w:rsidP="006C5F06">
      <w:pPr>
        <w:spacing w:after="120"/>
        <w:jc w:val="center"/>
        <w:rPr>
          <w:b/>
        </w:rPr>
      </w:pPr>
      <w:r w:rsidRPr="00B7142D">
        <w:rPr>
          <w:b/>
        </w:rPr>
        <w:lastRenderedPageBreak/>
        <w:t>APPENDIX B</w:t>
      </w:r>
    </w:p>
    <w:p w14:paraId="72F1D318" w14:textId="77777777" w:rsidR="00036D39" w:rsidRPr="00B7142D" w:rsidRDefault="00036D39" w:rsidP="006C5F06">
      <w:pPr>
        <w:spacing w:after="120"/>
        <w:jc w:val="center"/>
        <w:rPr>
          <w:b/>
        </w:rPr>
      </w:pPr>
      <w:r w:rsidRPr="00B7142D">
        <w:rPr>
          <w:b/>
        </w:rPr>
        <w:t>INITIAL REGULATORY FLEXIBILITY ANALYSIS</w:t>
      </w:r>
    </w:p>
    <w:p w14:paraId="423C447E" w14:textId="77777777" w:rsidR="00650588" w:rsidRPr="00B7142D" w:rsidRDefault="00650588" w:rsidP="00650588">
      <w:pPr>
        <w:numPr>
          <w:ilvl w:val="0"/>
          <w:numId w:val="21"/>
        </w:numPr>
        <w:tabs>
          <w:tab w:val="clear" w:pos="1080"/>
          <w:tab w:val="num" w:pos="1440"/>
        </w:tabs>
        <w:spacing w:after="120"/>
      </w:pPr>
      <w:r w:rsidRPr="00B7142D">
        <w:t>As required by the Regulatory Flexibility Act of 1980, as amended (“RFA”)</w:t>
      </w:r>
      <w:r w:rsidRPr="00B7142D">
        <w:rPr>
          <w:vertAlign w:val="superscript"/>
        </w:rPr>
        <w:footnoteReference w:id="101"/>
      </w:r>
      <w:r w:rsidRPr="00B7142D">
        <w:t xml:space="preserve"> the Commission has prepared this present Initial Regulatory Flexibility Analysis (“IRFA”) concerning the possible significant economic impact on small entities by the policies and rules proposed in this </w:t>
      </w:r>
      <w:r w:rsidRPr="00B7142D">
        <w:rPr>
          <w:i/>
        </w:rPr>
        <w:t>Notice of Proposed Rulemaking</w:t>
      </w:r>
      <w:r w:rsidRPr="00B7142D">
        <w:t xml:space="preserve"> (</w:t>
      </w:r>
      <w:r w:rsidRPr="00B7142D">
        <w:rPr>
          <w:i/>
        </w:rPr>
        <w:t>Notice</w:t>
      </w:r>
      <w:r w:rsidRPr="00B7142D">
        <w:t xml:space="preserve">).  Written public comments are requested on this IRFA.  Comments must be identified as responses to the IRFA and must be filed by the deadlines for comments indicated on the first page of the </w:t>
      </w:r>
      <w:r w:rsidRPr="00B7142D">
        <w:rPr>
          <w:i/>
        </w:rPr>
        <w:t>Notice</w:t>
      </w:r>
      <w:r w:rsidRPr="00B7142D">
        <w:t xml:space="preserve">.  The Commission will send a copy of the </w:t>
      </w:r>
      <w:r w:rsidRPr="00B7142D">
        <w:rPr>
          <w:i/>
        </w:rPr>
        <w:t>Notice,</w:t>
      </w:r>
      <w:r w:rsidRPr="00B7142D">
        <w:t xml:space="preserve"> including this IRFA, to the Chief Counsel for Advocacy of the Small Business Administration (</w:t>
      </w:r>
      <w:r w:rsidR="00860131">
        <w:t>“</w:t>
      </w:r>
      <w:r w:rsidRPr="00B7142D">
        <w:t>SBA</w:t>
      </w:r>
      <w:r w:rsidR="00860131">
        <w:t>”</w:t>
      </w:r>
      <w:r w:rsidRPr="00B7142D">
        <w:t>).</w:t>
      </w:r>
      <w:r w:rsidRPr="00B7142D">
        <w:rPr>
          <w:vertAlign w:val="superscript"/>
        </w:rPr>
        <w:footnoteReference w:id="102"/>
      </w:r>
      <w:r w:rsidRPr="00B7142D">
        <w:t xml:space="preserve">  In addition, the </w:t>
      </w:r>
      <w:r w:rsidRPr="00B7142D">
        <w:rPr>
          <w:i/>
        </w:rPr>
        <w:t xml:space="preserve">Notice </w:t>
      </w:r>
      <w:r w:rsidRPr="00B7142D">
        <w:t>and IRFA (or summaries thereof) will be published in the Federal Register.</w:t>
      </w:r>
      <w:r w:rsidRPr="00B7142D">
        <w:rPr>
          <w:vertAlign w:val="superscript"/>
        </w:rPr>
        <w:footnoteReference w:id="103"/>
      </w:r>
    </w:p>
    <w:p w14:paraId="1D1C6A85" w14:textId="77777777" w:rsidR="00650588" w:rsidRPr="00B7142D" w:rsidRDefault="00650588" w:rsidP="00650588">
      <w:pPr>
        <w:spacing w:after="120"/>
        <w:ind w:firstLine="720"/>
        <w:rPr>
          <w:b/>
        </w:rPr>
      </w:pPr>
      <w:r w:rsidRPr="00B7142D">
        <w:rPr>
          <w:b/>
        </w:rPr>
        <w:t>A.</w:t>
      </w:r>
      <w:r w:rsidRPr="00B7142D">
        <w:rPr>
          <w:b/>
        </w:rPr>
        <w:tab/>
        <w:t>Need for and Objectives of the Proposed Rules</w:t>
      </w:r>
    </w:p>
    <w:p w14:paraId="662F3480" w14:textId="77777777" w:rsidR="00650588" w:rsidRPr="00B7142D" w:rsidRDefault="00650588" w:rsidP="00650588">
      <w:pPr>
        <w:numPr>
          <w:ilvl w:val="0"/>
          <w:numId w:val="1"/>
        </w:numPr>
        <w:tabs>
          <w:tab w:val="clear" w:pos="1080"/>
          <w:tab w:val="num" w:pos="1440"/>
        </w:tabs>
        <w:spacing w:after="120"/>
      </w:pPr>
      <w:r w:rsidRPr="00B7142D">
        <w:t>On June 2, 2014, the Federal Communications Commission (</w:t>
      </w:r>
      <w:r w:rsidR="00860131">
        <w:t>“</w:t>
      </w:r>
      <w:r w:rsidRPr="00B7142D">
        <w:t>Commission</w:t>
      </w:r>
      <w:r w:rsidR="00860131">
        <w:t>”</w:t>
      </w:r>
      <w:r w:rsidRPr="00B7142D">
        <w:t xml:space="preserve">) released its </w:t>
      </w:r>
      <w:r w:rsidRPr="00E37493">
        <w:rPr>
          <w:i/>
        </w:rPr>
        <w:t>Incentive Auction Report and Order</w:t>
      </w:r>
      <w:r w:rsidRPr="00B7142D">
        <w:t xml:space="preserve">, 29 FCC </w:t>
      </w:r>
      <w:proofErr w:type="spellStart"/>
      <w:r w:rsidRPr="00B7142D">
        <w:t>Rcd</w:t>
      </w:r>
      <w:proofErr w:type="spellEnd"/>
      <w:r w:rsidRPr="00B7142D">
        <w:t xml:space="preserve"> 65</w:t>
      </w:r>
      <w:r w:rsidR="00087B12">
        <w:t>6</w:t>
      </w:r>
      <w:r w:rsidRPr="00B7142D">
        <w:t xml:space="preserve">7 (2014), adopting rules to implement the broadcast television spectrum incentive auction authorized by the Middle Class Tax Relief and Job Creation Act (Spectrum Act).  The Commission recognized that following the incentive auction and repacking of the television band there would likely be fewer unused television channels available for </w:t>
      </w:r>
      <w:r w:rsidR="00DA2CAB">
        <w:t xml:space="preserve">use </w:t>
      </w:r>
      <w:r w:rsidR="00DA2CAB" w:rsidRPr="00B7142D">
        <w:t xml:space="preserve">by </w:t>
      </w:r>
      <w:r w:rsidR="00DA2CAB">
        <w:t xml:space="preserve">either </w:t>
      </w:r>
      <w:r w:rsidR="00DA2CAB" w:rsidRPr="00B7142D">
        <w:t>unlicensed “white space” devices</w:t>
      </w:r>
      <w:r w:rsidR="00DA2CAB">
        <w:t xml:space="preserve"> or</w:t>
      </w:r>
      <w:r w:rsidRPr="00B7142D">
        <w:t xml:space="preserve"> by wireless microphones and other low power auxiliary stations (collectively “wireless microphones”)</w:t>
      </w:r>
      <w:r w:rsidR="00DA2CAB">
        <w:t>.</w:t>
      </w:r>
      <w:r w:rsidRPr="00B7142D">
        <w:t xml:space="preserve">  However, the Commission anticipated that there would be at least one channel in the ultra high frequency (“UHF”) band in all areas in the United States that is not assigned to a television station in the repacking process and, given the importance of </w:t>
      </w:r>
      <w:r w:rsidR="00DA2CAB">
        <w:t xml:space="preserve">white space devices and </w:t>
      </w:r>
      <w:r w:rsidRPr="00B7142D">
        <w:t xml:space="preserve">wireless microphones to businesses and consumers, stated its intent, after additional notice and an opportunity to comment, to preserve one television channel in each area for shared use by these devices. </w:t>
      </w:r>
    </w:p>
    <w:p w14:paraId="3BFDF794" w14:textId="77777777" w:rsidR="00166CD3" w:rsidRDefault="00650588" w:rsidP="00166CD3">
      <w:pPr>
        <w:pStyle w:val="ParaNum"/>
      </w:pPr>
      <w:r w:rsidRPr="00B7142D">
        <w:t xml:space="preserve">In this </w:t>
      </w:r>
      <w:r w:rsidRPr="00B7142D">
        <w:rPr>
          <w:i/>
        </w:rPr>
        <w:t>Notice</w:t>
      </w:r>
      <w:r w:rsidRPr="00B7142D">
        <w:t xml:space="preserve">, the Commission </w:t>
      </w:r>
      <w:r w:rsidR="004B20A5">
        <w:t>t</w:t>
      </w:r>
      <w:r w:rsidR="004B20A5" w:rsidRPr="00B7142D">
        <w:t>entatively conclude</w:t>
      </w:r>
      <w:r w:rsidR="004B20A5">
        <w:t>s</w:t>
      </w:r>
      <w:r w:rsidR="004B20A5" w:rsidRPr="00B7142D">
        <w:t xml:space="preserve"> to preserve a vacant channel in each area</w:t>
      </w:r>
      <w:r w:rsidR="005B3ED0">
        <w:t xml:space="preserve">.  </w:t>
      </w:r>
      <w:r w:rsidR="00F55775" w:rsidRPr="00B7142D">
        <w:t>Specifically, the Commission seeks comment on which applicants proposing operations in the repacked UHF television band</w:t>
      </w:r>
      <w:r w:rsidR="00F55775">
        <w:t xml:space="preserve"> </w:t>
      </w:r>
      <w:r w:rsidR="00F55775" w:rsidRPr="00B7142D">
        <w:t>should be required to demonstrate that a new, displacement, or modified facility would not eliminate the last available vacant television channel in an area for shared use and when this technical showing requirement should commence.</w:t>
      </w:r>
      <w:r w:rsidR="00F55775">
        <w:t xml:space="preserve">  </w:t>
      </w:r>
      <w:r w:rsidR="005B3ED0">
        <w:t xml:space="preserve">In order to achieve this objective, </w:t>
      </w:r>
      <w:r w:rsidR="00546455">
        <w:t>the Commission</w:t>
      </w:r>
      <w:r w:rsidR="005B3ED0">
        <w:t xml:space="preserve"> propose</w:t>
      </w:r>
      <w:r w:rsidR="00546455">
        <w:t>s</w:t>
      </w:r>
      <w:r w:rsidR="005B3ED0">
        <w:t xml:space="preserve"> to</w:t>
      </w:r>
      <w:r w:rsidR="005B3ED0" w:rsidRPr="00B7142D">
        <w:t xml:space="preserve"> </w:t>
      </w:r>
      <w:r w:rsidR="004B20A5" w:rsidRPr="00B7142D">
        <w:t>requir</w:t>
      </w:r>
      <w:r w:rsidR="005B3ED0">
        <w:t>e</w:t>
      </w:r>
      <w:r w:rsidR="004B20A5" w:rsidRPr="00B7142D">
        <w:t xml:space="preserve"> certain applicants </w:t>
      </w:r>
      <w:r w:rsidR="004B20A5">
        <w:t xml:space="preserve">for </w:t>
      </w:r>
      <w:r w:rsidR="005B3ED0" w:rsidRPr="00B7142D">
        <w:t>LPTV, TV translator</w:t>
      </w:r>
      <w:r w:rsidR="005B3ED0">
        <w:t>, and</w:t>
      </w:r>
      <w:r w:rsidR="004B20A5">
        <w:t xml:space="preserve"> Broadcast Auxiliary Service (“BAS”) facilities </w:t>
      </w:r>
      <w:r w:rsidR="004B20A5" w:rsidRPr="00B7142D">
        <w:t>to demonstrate that their proposed new</w:t>
      </w:r>
      <w:r w:rsidR="004B20A5">
        <w:t>, displacement,</w:t>
      </w:r>
      <w:r w:rsidR="004B20A5" w:rsidRPr="00B7142D">
        <w:t xml:space="preserve"> or modified facility would not eliminate the last available vacant UHF television channel for use by </w:t>
      </w:r>
      <w:r w:rsidR="00DA2CAB">
        <w:t xml:space="preserve">white space devices and </w:t>
      </w:r>
      <w:r w:rsidR="004B20A5" w:rsidRPr="00B7142D">
        <w:t>wireless microphones in an area.</w:t>
      </w:r>
      <w:r w:rsidRPr="00B7142D">
        <w:t xml:space="preserve"> </w:t>
      </w:r>
      <w:r w:rsidR="00166CD3">
        <w:t xml:space="preserve"> </w:t>
      </w:r>
    </w:p>
    <w:p w14:paraId="190FC3E2" w14:textId="77777777" w:rsidR="00B42E04" w:rsidRPr="00B42E04" w:rsidRDefault="00166CD3" w:rsidP="00B42E04">
      <w:pPr>
        <w:pStyle w:val="ParaNum"/>
      </w:pPr>
      <w:r>
        <w:t xml:space="preserve">The Commission </w:t>
      </w:r>
      <w:r w:rsidRPr="00166CD3">
        <w:t>believe</w:t>
      </w:r>
      <w:r>
        <w:t>s</w:t>
      </w:r>
      <w:r w:rsidRPr="00166CD3">
        <w:t xml:space="preserve"> that </w:t>
      </w:r>
      <w:r>
        <w:t>its</w:t>
      </w:r>
      <w:r w:rsidRPr="00166CD3">
        <w:t xml:space="preserve"> proposal</w:t>
      </w:r>
      <w:r>
        <w:t xml:space="preserve"> </w:t>
      </w:r>
      <w:r w:rsidRPr="00166CD3">
        <w:t xml:space="preserve">will not significantly burden broadcast applicants in terms of either the continued availability of channels in all areas or the administrative burdens of compliance.  After the final channel assignments are made following the </w:t>
      </w:r>
      <w:r w:rsidR="00860131">
        <w:t>i</w:t>
      </w:r>
      <w:r w:rsidRPr="00166CD3">
        <w:t xml:space="preserve">ncentive </w:t>
      </w:r>
      <w:r w:rsidR="00860131">
        <w:t>a</w:t>
      </w:r>
      <w:r w:rsidRPr="00166CD3">
        <w:t xml:space="preserve">uction, multiple vacant channels will exist in most areas as a result of the co- and adjacent-channel separation requirements necessary to protect primary broadcast stations from interference from each other.  The 100 repacking simulation results previously published by Commission staff show that the areas encompassing the vast majority of population across the country would have at least two vacant channels available.   In any event, the effect of </w:t>
      </w:r>
      <w:r>
        <w:t xml:space="preserve">the </w:t>
      </w:r>
      <w:r w:rsidRPr="00166CD3">
        <w:t>proposal would be to reduce by only one the total number of vacant channels that would otherwise be available in an area.  Therefore, the impact on broa</w:t>
      </w:r>
      <w:r>
        <w:t xml:space="preserve">dcast applicants, including LPTV, TV </w:t>
      </w:r>
      <w:r w:rsidRPr="00166CD3">
        <w:t xml:space="preserve">translator </w:t>
      </w:r>
      <w:r>
        <w:t xml:space="preserve">and BAS </w:t>
      </w:r>
      <w:r w:rsidRPr="00166CD3">
        <w:t xml:space="preserve">stations, in terms of the availability of channels for future use, will be </w:t>
      </w:r>
      <w:r w:rsidRPr="00166CD3">
        <w:lastRenderedPageBreak/>
        <w:t xml:space="preserve">limited because multiple vacant channels will still exist in all or most </w:t>
      </w:r>
      <w:r w:rsidR="006342A6">
        <w:t>areas</w:t>
      </w:r>
      <w:r w:rsidRPr="00166CD3">
        <w:t xml:space="preserve"> as a consequence of the need to avoid interference between primary broadcast stations in the Incentive Auction final channel assignment process.   In addition, </w:t>
      </w:r>
      <w:r>
        <w:t xml:space="preserve">the </w:t>
      </w:r>
      <w:r w:rsidRPr="00166CD3">
        <w:t xml:space="preserve">proposed plan involves a streamlined method for broadcast applicants to determine quickly the impact that facilities they intend to propose will have on the continued availability of vacant channels.  </w:t>
      </w:r>
      <w:r>
        <w:t xml:space="preserve">Although small entity LPTV, TV translator and BAS stations may </w:t>
      </w:r>
      <w:r w:rsidR="001705DA">
        <w:t>experience an increased burden</w:t>
      </w:r>
      <w:r>
        <w:t xml:space="preserve">, the Commission believes that adoption of the vacant channel preservation requirement </w:t>
      </w:r>
      <w:r w:rsidRPr="00166CD3">
        <w:t xml:space="preserve">will </w:t>
      </w:r>
      <w:r>
        <w:t xml:space="preserve">greatly benefit </w:t>
      </w:r>
      <w:r w:rsidRPr="00166CD3">
        <w:t xml:space="preserve">white space </w:t>
      </w:r>
      <w:r>
        <w:t xml:space="preserve">and wireless microphone </w:t>
      </w:r>
      <w:r w:rsidRPr="00166CD3">
        <w:t xml:space="preserve">users </w:t>
      </w:r>
      <w:r>
        <w:t xml:space="preserve">as well as the </w:t>
      </w:r>
      <w:r w:rsidRPr="00166CD3">
        <w:t>manufacturer</w:t>
      </w:r>
      <w:r w:rsidR="006342A6">
        <w:t>s</w:t>
      </w:r>
      <w:r w:rsidRPr="00166CD3">
        <w:t xml:space="preserve"> of white space </w:t>
      </w:r>
      <w:r>
        <w:t xml:space="preserve">and wireless microphone </w:t>
      </w:r>
      <w:r w:rsidRPr="00166CD3">
        <w:t>equipment</w:t>
      </w:r>
      <w:r w:rsidR="006342A6">
        <w:t>,</w:t>
      </w:r>
      <w:r w:rsidRPr="00166CD3">
        <w:t xml:space="preserve"> </w:t>
      </w:r>
      <w:r w:rsidR="006342A6">
        <w:t>which</w:t>
      </w:r>
      <w:r>
        <w:t xml:space="preserve"> are also </w:t>
      </w:r>
      <w:r w:rsidRPr="00166CD3">
        <w:t>small businesses</w:t>
      </w:r>
      <w:r w:rsidR="006342A6">
        <w:t>,</w:t>
      </w:r>
      <w:r>
        <w:t xml:space="preserve"> by creating </w:t>
      </w:r>
      <w:r w:rsidRPr="00166CD3">
        <w:t>new uses and opportunit</w:t>
      </w:r>
      <w:r w:rsidR="006342A6">
        <w:t>ies</w:t>
      </w:r>
      <w:r w:rsidRPr="00166CD3">
        <w:t xml:space="preserve"> for this spectrum.</w:t>
      </w:r>
      <w:r>
        <w:t xml:space="preserve">  </w:t>
      </w:r>
      <w:r w:rsidRPr="00166CD3">
        <w:t>Th</w:t>
      </w:r>
      <w:r>
        <w:t>e Commission also believes that th</w:t>
      </w:r>
      <w:r w:rsidRPr="00166CD3">
        <w:t xml:space="preserve">is prioritization and protection of white space is critical if </w:t>
      </w:r>
      <w:r>
        <w:t>it is</w:t>
      </w:r>
      <w:r w:rsidRPr="00166CD3">
        <w:t xml:space="preserve"> to realize the benefits that this spectrum will provide to small businesses and developers that will usher forth new and unthought-of uses</w:t>
      </w:r>
      <w:r>
        <w:t>.</w:t>
      </w:r>
      <w:r w:rsidR="00B42E04">
        <w:t xml:space="preserve">  We also note that, in a separate proceeding, the Commission is considering a</w:t>
      </w:r>
      <w:r w:rsidR="00B42E04" w:rsidRPr="00B42E04">
        <w:t>dditional proposals to mitigate the potential impact of the incentive auction and the repacking process on LPTV and TV translator stations and to help preserve the important services they provide.</w:t>
      </w:r>
      <w:r w:rsidR="00B42E04">
        <w:t xml:space="preserve">  </w:t>
      </w:r>
      <w:r w:rsidR="00B42E04">
        <w:rPr>
          <w:i/>
        </w:rPr>
        <w:t xml:space="preserve">See </w:t>
      </w:r>
      <w:r w:rsidR="00B42E04" w:rsidRPr="00B42E04">
        <w:rPr>
          <w:i/>
        </w:rPr>
        <w:t xml:space="preserve">Amendment of Parts 73 and 74 of the Commission’s Rules to Establish Rules for Digital Low Power Television, Television Translator, and Television Booster Stations, </w:t>
      </w:r>
      <w:r w:rsidR="00B42E04" w:rsidRPr="00E37493">
        <w:t>MB Docket No. 03-185,</w:t>
      </w:r>
      <w:r w:rsidR="00B42E04" w:rsidRPr="00B42E04">
        <w:rPr>
          <w:i/>
        </w:rPr>
        <w:t xml:space="preserve"> </w:t>
      </w:r>
      <w:r w:rsidR="00B42E04" w:rsidRPr="00E37493">
        <w:t xml:space="preserve">Third Notice of Proposed Rulemaking, 29 FCC </w:t>
      </w:r>
      <w:proofErr w:type="spellStart"/>
      <w:r w:rsidR="00B42E04" w:rsidRPr="00E37493">
        <w:t>Rcd</w:t>
      </w:r>
      <w:proofErr w:type="spellEnd"/>
      <w:r w:rsidR="00B42E04" w:rsidRPr="00E37493">
        <w:t xml:space="preserve"> 12536 (2014).</w:t>
      </w:r>
    </w:p>
    <w:p w14:paraId="0CDA63C9" w14:textId="77777777" w:rsidR="00650588" w:rsidRPr="00B7142D" w:rsidRDefault="00166CD3" w:rsidP="00166CD3">
      <w:pPr>
        <w:pStyle w:val="ParaNum"/>
      </w:pPr>
      <w:r>
        <w:t xml:space="preserve">  </w:t>
      </w:r>
      <w:r w:rsidR="00650588" w:rsidRPr="00B7142D">
        <w:t xml:space="preserve">The Commission also seeks comment on how to identify vacant television channels (i.e., “white spaces”) available for use by </w:t>
      </w:r>
      <w:r w:rsidR="00DA2CAB">
        <w:t xml:space="preserve">white space devices and </w:t>
      </w:r>
      <w:r w:rsidR="00650588" w:rsidRPr="00B7142D">
        <w:t>wireless microphones, the definition of the “area” that would be considered for this purpose, and what kind of system it should establish for applicants to use to determine whether their proposed facility would eliminate the last available vacant channel in an area.</w:t>
      </w:r>
    </w:p>
    <w:p w14:paraId="3132CFB7" w14:textId="77777777" w:rsidR="00650588" w:rsidRPr="00B7142D" w:rsidRDefault="00650588" w:rsidP="00650588">
      <w:pPr>
        <w:spacing w:after="120"/>
        <w:ind w:firstLine="720"/>
        <w:rPr>
          <w:b/>
        </w:rPr>
      </w:pPr>
      <w:r w:rsidRPr="00B7142D">
        <w:rPr>
          <w:b/>
        </w:rPr>
        <w:t>B.</w:t>
      </w:r>
      <w:r w:rsidRPr="00B7142D">
        <w:rPr>
          <w:b/>
        </w:rPr>
        <w:tab/>
        <w:t>Legal Basis</w:t>
      </w:r>
    </w:p>
    <w:p w14:paraId="05577414" w14:textId="77777777" w:rsidR="00650588" w:rsidRPr="00B7142D" w:rsidRDefault="00650588" w:rsidP="00650588">
      <w:pPr>
        <w:numPr>
          <w:ilvl w:val="0"/>
          <w:numId w:val="1"/>
        </w:numPr>
        <w:tabs>
          <w:tab w:val="clear" w:pos="1080"/>
          <w:tab w:val="num" w:pos="1440"/>
        </w:tabs>
        <w:spacing w:after="120"/>
      </w:pPr>
      <w:r w:rsidRPr="00B7142D">
        <w:t xml:space="preserve">  The authority for the action proposed in this rulemaking is contained </w:t>
      </w:r>
      <w:proofErr w:type="gramStart"/>
      <w:r w:rsidRPr="00B7142D">
        <w:t xml:space="preserve">in </w:t>
      </w:r>
      <w:r w:rsidRPr="00B7142D">
        <w:rPr>
          <w:vertAlign w:val="superscript"/>
        </w:rPr>
        <w:t xml:space="preserve"> </w:t>
      </w:r>
      <w:r w:rsidRPr="00B7142D">
        <w:t>Sections</w:t>
      </w:r>
      <w:proofErr w:type="gramEnd"/>
      <w:r w:rsidRPr="00B7142D">
        <w:t xml:space="preserve"> 1, 4, , 7, 301, 303, 307, 308, 309, </w:t>
      </w:r>
      <w:r w:rsidR="00C132F4">
        <w:t xml:space="preserve">310, </w:t>
      </w:r>
      <w:r w:rsidRPr="00B7142D">
        <w:t xml:space="preserve">316, 319, 332, 336, and </w:t>
      </w:r>
      <w:r w:rsidR="00C132F4">
        <w:t>403</w:t>
      </w:r>
      <w:r w:rsidRPr="00B7142D">
        <w:t xml:space="preserve"> of the Communications Act of 1934, 47 U.S.C §§ 151, 154, 157, 301, 303, 307, 308, 309, </w:t>
      </w:r>
      <w:r w:rsidR="00E1075E">
        <w:t xml:space="preserve">310, </w:t>
      </w:r>
      <w:r w:rsidRPr="00B7142D">
        <w:t xml:space="preserve">316, 319, 332, 336, and </w:t>
      </w:r>
      <w:r w:rsidR="00E1075E">
        <w:t>403</w:t>
      </w:r>
      <w:r w:rsidRPr="00B7142D">
        <w:t>.</w:t>
      </w:r>
      <w:r w:rsidR="00C132F4" w:rsidRPr="00C132F4">
        <w:t xml:space="preserve"> </w:t>
      </w:r>
    </w:p>
    <w:p w14:paraId="070CD984" w14:textId="77777777" w:rsidR="00650588" w:rsidRPr="00B7142D" w:rsidRDefault="00650588" w:rsidP="00650588">
      <w:pPr>
        <w:spacing w:after="120"/>
        <w:ind w:left="1440" w:hanging="720"/>
        <w:rPr>
          <w:b/>
        </w:rPr>
      </w:pPr>
      <w:r w:rsidRPr="00B7142D">
        <w:rPr>
          <w:b/>
        </w:rPr>
        <w:t>C.</w:t>
      </w:r>
      <w:r w:rsidRPr="00B7142D">
        <w:rPr>
          <w:b/>
        </w:rPr>
        <w:tab/>
        <w:t>Description and Estimate of the Number of Small Entities to Which the Proposed Rules Will Apply</w:t>
      </w:r>
    </w:p>
    <w:p w14:paraId="130163EA" w14:textId="77777777" w:rsidR="00650588" w:rsidRPr="00B7142D" w:rsidRDefault="00650588" w:rsidP="00650588">
      <w:pPr>
        <w:numPr>
          <w:ilvl w:val="0"/>
          <w:numId w:val="1"/>
        </w:numPr>
        <w:tabs>
          <w:tab w:val="clear" w:pos="1080"/>
          <w:tab w:val="num" w:pos="1440"/>
        </w:tabs>
        <w:spacing w:after="120"/>
      </w:pPr>
      <w:r w:rsidRPr="00B7142D">
        <w:t>The RFA directs the Commission to provide a description of and, where feasible, an estimate of the number of small entities that will be affected by the proposed rules, if adopted.</w:t>
      </w:r>
      <w:r w:rsidRPr="00B7142D">
        <w:rPr>
          <w:vertAlign w:val="superscript"/>
        </w:rPr>
        <w:footnoteReference w:id="104"/>
      </w:r>
      <w:r w:rsidRPr="00B7142D">
        <w:t xml:space="preserve">  The RFA generally defines the term “small entity” as having the same meaning as the terms “small business,” small organization,” and “small government jurisdiction.”</w:t>
      </w:r>
      <w:r w:rsidRPr="00B7142D">
        <w:rPr>
          <w:vertAlign w:val="superscript"/>
        </w:rPr>
        <w:footnoteReference w:id="105"/>
      </w:r>
      <w:r w:rsidRPr="00B7142D">
        <w:t xml:space="preserve">  In addition, the term “small business” has the same meaning as the term “small business concern” under the Small Business Act.</w:t>
      </w:r>
      <w:r w:rsidRPr="00B7142D">
        <w:rPr>
          <w:vertAlign w:val="superscript"/>
        </w:rPr>
        <w:footnoteReference w:id="106"/>
      </w:r>
      <w:r w:rsidRPr="00B7142D">
        <w:t xml:space="preserve">  A small business concern is one which: (1) is independently owned and operated; (2) is not </w:t>
      </w:r>
      <w:proofErr w:type="gramStart"/>
      <w:r w:rsidRPr="00B7142D">
        <w:t>dominant</w:t>
      </w:r>
      <w:proofErr w:type="gramEnd"/>
      <w:r w:rsidRPr="00B7142D">
        <w:t xml:space="preserve"> in its field of operation; and (3) satisfies any additional criteria established by the SBA.</w:t>
      </w:r>
      <w:r w:rsidRPr="00B7142D">
        <w:rPr>
          <w:vertAlign w:val="superscript"/>
        </w:rPr>
        <w:footnoteReference w:id="107"/>
      </w:r>
    </w:p>
    <w:p w14:paraId="3762BC02" w14:textId="77777777" w:rsidR="00650588" w:rsidRPr="00B7142D" w:rsidRDefault="00650588" w:rsidP="00650588">
      <w:pPr>
        <w:numPr>
          <w:ilvl w:val="0"/>
          <w:numId w:val="1"/>
        </w:numPr>
        <w:tabs>
          <w:tab w:val="clear" w:pos="1080"/>
          <w:tab w:val="num" w:pos="1440"/>
        </w:tabs>
        <w:spacing w:after="120"/>
      </w:pPr>
      <w:r w:rsidRPr="00B7142D">
        <w:rPr>
          <w:i/>
        </w:rPr>
        <w:t>Small Businesses, Small Organizations, and Small Governmental Jurisdictions</w:t>
      </w:r>
      <w:r w:rsidRPr="00B7142D">
        <w:t xml:space="preserve">.  Our </w:t>
      </w:r>
      <w:r w:rsidRPr="00B7142D">
        <w:lastRenderedPageBreak/>
        <w:t>action may, over time, affect small entities that are not easily categorized at present.  We therefore describe here, at the outset, three comprehensive, statutory small entity size standards.</w:t>
      </w:r>
      <w:r w:rsidRPr="00B7142D">
        <w:rPr>
          <w:vertAlign w:val="superscript"/>
        </w:rPr>
        <w:footnoteReference w:id="108"/>
      </w:r>
      <w:r w:rsidRPr="00B7142D">
        <w:t xml:space="preserve">  First, nationwide, there are a total of 28.2 million small businesses, according to the SBA.</w:t>
      </w:r>
      <w:r w:rsidRPr="00B7142D">
        <w:rPr>
          <w:vertAlign w:val="superscript"/>
        </w:rPr>
        <w:footnoteReference w:id="109"/>
      </w:r>
      <w:r w:rsidRPr="00B7142D">
        <w:t xml:space="preserve">  In addition, a “small organization” is generally “any not-for-profit enterprise which is independently owne</w:t>
      </w:r>
      <w:r w:rsidRPr="00B7142D">
        <w:rPr>
          <w:iCs/>
        </w:rPr>
        <w:t>d and operated and is not dominant in its field.”</w:t>
      </w:r>
      <w:r w:rsidRPr="00B7142D">
        <w:rPr>
          <w:iCs/>
          <w:vertAlign w:val="superscript"/>
        </w:rPr>
        <w:footnoteReference w:id="110"/>
      </w:r>
      <w:r w:rsidRPr="00B7142D">
        <w:rPr>
          <w:iCs/>
        </w:rPr>
        <w:t xml:space="preserve">  Nationwide, as of 2012, there were approximately 2,300,000 small organizations.</w:t>
      </w:r>
      <w:r w:rsidRPr="00B7142D">
        <w:rPr>
          <w:iCs/>
          <w:vertAlign w:val="superscript"/>
        </w:rPr>
        <w:footnoteReference w:id="111"/>
      </w:r>
      <w:r w:rsidRPr="00B7142D">
        <w:rPr>
          <w:iCs/>
        </w:rPr>
        <w:t xml:space="preserve">  Finally, the term “small governmenta</w:t>
      </w:r>
      <w:r w:rsidRPr="00B7142D">
        <w:t>l</w:t>
      </w:r>
      <w:r w:rsidRPr="00B7142D">
        <w:rPr>
          <w:iCs/>
        </w:rPr>
        <w:t xml:space="preserve"> jurisdiction” is defined generally as “governments of cities, towns, townships, villages, school districts, or special districts, with a population of less than fifty thousand.”</w:t>
      </w:r>
      <w:r w:rsidRPr="00B7142D">
        <w:rPr>
          <w:iCs/>
          <w:vertAlign w:val="superscript"/>
        </w:rPr>
        <w:footnoteReference w:id="112"/>
      </w:r>
      <w:r w:rsidRPr="00B7142D">
        <w:rPr>
          <w:iCs/>
        </w:rPr>
        <w:t xml:space="preserve">  Census Bureau data for 2012 indicate that there</w:t>
      </w:r>
      <w:r w:rsidRPr="00B7142D">
        <w:t xml:space="preserve"> were 90,056 local governments in the United States.</w:t>
      </w:r>
      <w:r w:rsidRPr="00B7142D">
        <w:rPr>
          <w:vertAlign w:val="superscript"/>
        </w:rPr>
        <w:footnoteReference w:id="113"/>
      </w:r>
      <w:r w:rsidRPr="00B7142D">
        <w:t xml:space="preserve">  Thus, we estimate that most governmental jurisdictions are small.</w:t>
      </w:r>
    </w:p>
    <w:p w14:paraId="61D374D0" w14:textId="77777777" w:rsidR="001705DA" w:rsidRDefault="00650588" w:rsidP="001705DA">
      <w:pPr>
        <w:pStyle w:val="ParaNum"/>
      </w:pPr>
      <w:r w:rsidRPr="00B7142D">
        <w:rPr>
          <w:i/>
        </w:rPr>
        <w:t>Television Broadcasting</w:t>
      </w:r>
      <w:r w:rsidRPr="00B7142D">
        <w:t xml:space="preserve">.  </w:t>
      </w:r>
      <w:r w:rsidR="001705DA" w:rsidRPr="00952D63">
        <w:t>This economic census category “comprises establishments primarily engaged in broadcasting images together with sound.  These establishments operate television broadcasting studios and facilities for the programming and transmission of programs to the public.”</w:t>
      </w:r>
      <w:r w:rsidR="001705DA" w:rsidRPr="00952D63">
        <w:rPr>
          <w:sz w:val="20"/>
          <w:vertAlign w:val="superscript"/>
        </w:rPr>
        <w:footnoteReference w:id="114"/>
      </w:r>
      <w:r w:rsidR="001705DA" w:rsidRPr="00952D63">
        <w:t xml:space="preserve">  The SBA has created the following small business size standard for Television Broadcasting firms: those having $14 million or less in annual receipts.</w:t>
      </w:r>
      <w:r w:rsidR="001705DA" w:rsidRPr="00952D63">
        <w:rPr>
          <w:sz w:val="20"/>
          <w:szCs w:val="22"/>
          <w:vertAlign w:val="superscript"/>
        </w:rPr>
        <w:footnoteReference w:id="115"/>
      </w:r>
      <w:r w:rsidR="001705DA" w:rsidRPr="00952D63">
        <w:t xml:space="preserve">  The Commission has estimated the number of licensed commercial television stations to be 1,3</w:t>
      </w:r>
      <w:r w:rsidR="001705DA">
        <w:t>90</w:t>
      </w:r>
      <w:r w:rsidR="001705DA" w:rsidRPr="00952D63">
        <w:t>.</w:t>
      </w:r>
      <w:r w:rsidR="001705DA" w:rsidRPr="00952D63">
        <w:rPr>
          <w:sz w:val="20"/>
          <w:szCs w:val="22"/>
          <w:vertAlign w:val="superscript"/>
        </w:rPr>
        <w:footnoteReference w:id="116"/>
      </w:r>
      <w:r w:rsidR="001705DA" w:rsidRPr="00952D63">
        <w:t xml:space="preserve">  In addition, according to Commission staff review of the BIA Advisory Services, LLC’s </w:t>
      </w:r>
      <w:r w:rsidR="001705DA" w:rsidRPr="00AC4AE9">
        <w:rPr>
          <w:i/>
        </w:rPr>
        <w:t>Media Access Pro Television Database</w:t>
      </w:r>
      <w:r w:rsidR="001705DA" w:rsidRPr="00952D63">
        <w:t xml:space="preserve"> on March 28, 2012, about 950 of an estimated 1,300 commercial television stations (or approximately 73 percent) had revenues of $14 million or less.</w:t>
      </w:r>
      <w:r w:rsidR="001705DA" w:rsidRPr="00952D63">
        <w:rPr>
          <w:sz w:val="20"/>
          <w:szCs w:val="22"/>
          <w:vertAlign w:val="superscript"/>
        </w:rPr>
        <w:footnoteReference w:id="117"/>
      </w:r>
      <w:r w:rsidR="001705DA" w:rsidRPr="00952D63">
        <w:t xml:space="preserve">  We therefore estimate that the majority of commercial television broadcasters are small entities.</w:t>
      </w:r>
    </w:p>
    <w:p w14:paraId="08353279" w14:textId="77777777" w:rsidR="001705DA" w:rsidRDefault="001705DA" w:rsidP="001705DA">
      <w:pPr>
        <w:pStyle w:val="ParaNum"/>
      </w:pPr>
      <w:r w:rsidRPr="00952D63">
        <w:t>We note, however, that in assessing whether a business concern qualifies as small under the above definition, business (control) affiliations must be included.</w:t>
      </w:r>
      <w:r w:rsidRPr="00952D63">
        <w:rPr>
          <w:vertAlign w:val="superscript"/>
        </w:rPr>
        <w:footnoteReference w:id="118"/>
      </w:r>
      <w:r w:rsidRPr="00952D63">
        <w:t xml:space="preserve">  Our estimate, therefore, likely overstates the number of small entities that might be affected by our action because the revenue figure on which it is based does not include or aggregate revenues from affiliated companies.  In addition, an element of the definition of “small business” is that the entity not be dominant in its field of operation.  We are unable at this time to define or quantify the criteria that would establish whether a specific television station is dominant in its field of operation.  Accordingly, the estimate of small businesses to which rules may apply does not exclude any television station from the definition of a small business on this basis and is therefore possibly over-inclusive to that extent.</w:t>
      </w:r>
    </w:p>
    <w:p w14:paraId="7BDDF670" w14:textId="77777777" w:rsidR="001705DA" w:rsidRDefault="001705DA" w:rsidP="001705DA">
      <w:pPr>
        <w:pStyle w:val="ParaNum"/>
      </w:pPr>
      <w:r w:rsidRPr="00952D63">
        <w:lastRenderedPageBreak/>
        <w:t>In addition, the Commission has estimated the number of licensed noncommercial educational (“NCE”) television stations to be 39</w:t>
      </w:r>
      <w:r>
        <w:t>5</w:t>
      </w:r>
      <w:r w:rsidRPr="00952D63">
        <w:t>.</w:t>
      </w:r>
      <w:r w:rsidRPr="00952D63">
        <w:rPr>
          <w:sz w:val="20"/>
          <w:szCs w:val="22"/>
          <w:vertAlign w:val="superscript"/>
        </w:rPr>
        <w:footnoteReference w:id="119"/>
      </w:r>
      <w:r w:rsidRPr="00952D63">
        <w:t xml:space="preserve">  These stations are non-profit, and therefore considered to be small entities.</w:t>
      </w:r>
      <w:r w:rsidRPr="00952D63">
        <w:rPr>
          <w:sz w:val="20"/>
          <w:szCs w:val="22"/>
          <w:vertAlign w:val="superscript"/>
        </w:rPr>
        <w:footnoteReference w:id="120"/>
      </w:r>
    </w:p>
    <w:p w14:paraId="0D442685" w14:textId="77777777" w:rsidR="001705DA" w:rsidRDefault="006342A6" w:rsidP="001705DA">
      <w:pPr>
        <w:pStyle w:val="ParaNum"/>
        <w:widowControl/>
      </w:pPr>
      <w:r>
        <w:t>The Commission has estimated that t</w:t>
      </w:r>
      <w:r w:rsidR="001705DA" w:rsidRPr="00952D63">
        <w:t xml:space="preserve">here are also </w:t>
      </w:r>
      <w:r w:rsidR="001705DA">
        <w:t xml:space="preserve">405 Class </w:t>
      </w:r>
      <w:proofErr w:type="gramStart"/>
      <w:r w:rsidR="001705DA">
        <w:t>A</w:t>
      </w:r>
      <w:proofErr w:type="gramEnd"/>
      <w:r w:rsidR="001705DA">
        <w:t xml:space="preserve"> stations, 1,939</w:t>
      </w:r>
      <w:r w:rsidR="001705DA" w:rsidRPr="00952D63">
        <w:t xml:space="preserve"> LPTV stations and </w:t>
      </w:r>
      <w:r w:rsidR="001705DA">
        <w:t>3,689</w:t>
      </w:r>
      <w:r w:rsidR="001705DA" w:rsidRPr="00952D63">
        <w:t xml:space="preserve"> TV translator stations.</w:t>
      </w:r>
      <w:r w:rsidR="001705DA" w:rsidRPr="00952D63">
        <w:rPr>
          <w:sz w:val="20"/>
          <w:vertAlign w:val="superscript"/>
        </w:rPr>
        <w:footnoteReference w:id="121"/>
      </w:r>
      <w:r w:rsidR="001705DA" w:rsidRPr="00952D63">
        <w:t xml:space="preserve">  Given the nature of these services, we will presume that all of these entities qualify as small entities under the above SBA small business size standard.</w:t>
      </w:r>
    </w:p>
    <w:p w14:paraId="0A866B4D" w14:textId="77777777" w:rsidR="00650588" w:rsidRPr="00B7142D" w:rsidRDefault="00650588" w:rsidP="001705DA">
      <w:pPr>
        <w:numPr>
          <w:ilvl w:val="0"/>
          <w:numId w:val="1"/>
        </w:numPr>
        <w:tabs>
          <w:tab w:val="clear" w:pos="1080"/>
          <w:tab w:val="num" w:pos="1440"/>
        </w:tabs>
        <w:spacing w:after="120"/>
      </w:pPr>
      <w:r w:rsidRPr="00B7142D">
        <w:rPr>
          <w:i/>
          <w:shd w:val="clear" w:color="auto" w:fill="FFFFFF"/>
        </w:rPr>
        <w:t>LPAS Licensees</w:t>
      </w:r>
      <w:r w:rsidRPr="00B7142D">
        <w:rPr>
          <w:b/>
          <w:shd w:val="clear" w:color="auto" w:fill="FFFFFF"/>
        </w:rPr>
        <w:t>.</w:t>
      </w:r>
      <w:r w:rsidRPr="00B7142D">
        <w:rPr>
          <w:shd w:val="clear" w:color="auto" w:fill="FFFFFF"/>
        </w:rPr>
        <w:t xml:space="preserve">  There are a total of more than 1,200 Low Power Auxiliary Station (LPAS) licenses in all bands and a total of over 600 LPAS licenses in the UHF spectrum.</w:t>
      </w:r>
      <w:r w:rsidRPr="00B7142D">
        <w:rPr>
          <w:shd w:val="clear" w:color="auto" w:fill="FFFFFF"/>
          <w:vertAlign w:val="superscript"/>
        </w:rPr>
        <w:footnoteReference w:id="122"/>
      </w:r>
      <w:r w:rsidRPr="00B7142D">
        <w:rPr>
          <w:shd w:val="clear" w:color="auto" w:fill="FFFFFF"/>
        </w:rPr>
        <w:t xml:space="preserve"> </w:t>
      </w:r>
      <w:r w:rsidRPr="00B7142D">
        <w:rPr>
          <w:shd w:val="clear" w:color="auto" w:fill="FFFFFF"/>
          <w:vertAlign w:val="superscript"/>
        </w:rPr>
        <w:t xml:space="preserve"> </w:t>
      </w:r>
      <w:r w:rsidRPr="00B7142D" w:rsidDel="00375F82">
        <w:rPr>
          <w:shd w:val="clear" w:color="auto" w:fill="FFFFFF"/>
          <w:vertAlign w:val="superscript"/>
        </w:rPr>
        <w:t xml:space="preserve"> </w:t>
      </w:r>
      <w:r w:rsidRPr="00B7142D">
        <w:t>Existing LPAS operations are intended for uses such as wireless microphones, cue and control communications, and synchronization of TV camera signals.  These low power auxiliary stations transmit over distances of approximately 100 meters.</w:t>
      </w:r>
      <w:r w:rsidRPr="00B7142D">
        <w:rPr>
          <w:vertAlign w:val="superscript"/>
        </w:rPr>
        <w:footnoteReference w:id="123"/>
      </w:r>
    </w:p>
    <w:p w14:paraId="61CF182D" w14:textId="77777777" w:rsidR="00650588" w:rsidRPr="00B7142D" w:rsidRDefault="00650588" w:rsidP="00650588">
      <w:pPr>
        <w:numPr>
          <w:ilvl w:val="0"/>
          <w:numId w:val="1"/>
        </w:numPr>
        <w:tabs>
          <w:tab w:val="clear" w:pos="1080"/>
          <w:tab w:val="num" w:pos="1440"/>
        </w:tabs>
        <w:spacing w:after="120"/>
      </w:pPr>
      <w:r w:rsidRPr="00B7142D">
        <w:rPr>
          <w:i/>
        </w:rPr>
        <w:t>Low Power Auxiliary Device Manufacturers: Radio and Television Broadcasting and Wireless Communications Equipment Manufacturing</w:t>
      </w:r>
      <w:r w:rsidRPr="00B7142D">
        <w:t>.  The Census Bureau defines this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r w:rsidRPr="00B7142D">
        <w:rPr>
          <w:vertAlign w:val="superscript"/>
        </w:rPr>
        <w:footnoteReference w:id="124"/>
      </w:r>
      <w:r w:rsidRPr="00B7142D">
        <w:t xml:space="preserve">  The SBA has developed a small business size standard for Radio and Television Broadcasting and Wireless Communications Equipment Manufacturing, which is:  all such firms having 750 or fewer employees.</w:t>
      </w:r>
      <w:r w:rsidRPr="00B7142D">
        <w:rPr>
          <w:vertAlign w:val="superscript"/>
        </w:rPr>
        <w:footnoteReference w:id="125"/>
      </w:r>
      <w:r w:rsidRPr="00B7142D">
        <w:t xml:space="preserve">  According to Census Bureau data for 2007, there were a total of 939 establishments in this category that operated for the entire year.</w:t>
      </w:r>
      <w:r w:rsidRPr="00B7142D">
        <w:rPr>
          <w:vertAlign w:val="superscript"/>
        </w:rPr>
        <w:footnoteReference w:id="126"/>
      </w:r>
      <w:r w:rsidRPr="00B7142D">
        <w:t xml:space="preserve">  Of this total, 912 establishments had employment of less than 500, and an additional 10 establishments had employment of 500 to 999.</w:t>
      </w:r>
      <w:r w:rsidRPr="00B7142D">
        <w:rPr>
          <w:vertAlign w:val="superscript"/>
        </w:rPr>
        <w:footnoteReference w:id="127"/>
      </w:r>
      <w:r w:rsidRPr="00B7142D">
        <w:t xml:space="preserve">  Thus, under this size standard, the majority of firms can be considered small.</w:t>
      </w:r>
    </w:p>
    <w:p w14:paraId="60DF60D2" w14:textId="77777777" w:rsidR="00650588" w:rsidRPr="00B7142D" w:rsidRDefault="00650588" w:rsidP="00650588">
      <w:pPr>
        <w:numPr>
          <w:ilvl w:val="0"/>
          <w:numId w:val="1"/>
        </w:numPr>
        <w:tabs>
          <w:tab w:val="clear" w:pos="1080"/>
          <w:tab w:val="num" w:pos="1440"/>
        </w:tabs>
        <w:spacing w:after="120"/>
      </w:pPr>
      <w:r w:rsidRPr="00B7142D">
        <w:rPr>
          <w:i/>
        </w:rPr>
        <w:t>Low Power Auxiliary Device Manufacturers: Other Communications Equipment Manufacturing.</w:t>
      </w:r>
      <w:r w:rsidRPr="00B7142D">
        <w:t xml:space="preserve">  The Census Bureau defines this category as follows:  “This industry comprises establishments primarily engaged in manufacturing communications equipment (except telephone </w:t>
      </w:r>
      <w:r w:rsidRPr="00B7142D">
        <w:lastRenderedPageBreak/>
        <w:t>apparatus, and radio and television broadcast, and wireless communications equipment).”</w:t>
      </w:r>
      <w:r w:rsidRPr="00B7142D">
        <w:rPr>
          <w:vertAlign w:val="superscript"/>
        </w:rPr>
        <w:footnoteReference w:id="128"/>
      </w:r>
      <w:r w:rsidRPr="00B7142D">
        <w:t xml:space="preserve">  The SBA has developed a small business size standard for Other Communications Equipment Manufacturing, which is:  all such firms having 750 or fewer employees.</w:t>
      </w:r>
      <w:r w:rsidRPr="00B7142D">
        <w:rPr>
          <w:vertAlign w:val="superscript"/>
        </w:rPr>
        <w:footnoteReference w:id="129"/>
      </w:r>
      <w:r w:rsidRPr="00B7142D">
        <w:t xml:space="preserve">  According to Census Bureau data for 2007, there were a total of 452 establishments in this category that operated for the entire year.</w:t>
      </w:r>
      <w:r w:rsidRPr="00B7142D">
        <w:rPr>
          <w:vertAlign w:val="superscript"/>
        </w:rPr>
        <w:footnoteReference w:id="130"/>
      </w:r>
      <w:r w:rsidRPr="00B7142D">
        <w:t xml:space="preserve">  Of this total, 448 establishments had employment below 500, and an additional 4 establishments had employment of 500 to 999.</w:t>
      </w:r>
      <w:r w:rsidRPr="00B7142D">
        <w:rPr>
          <w:vertAlign w:val="superscript"/>
        </w:rPr>
        <w:footnoteReference w:id="131"/>
      </w:r>
      <w:r w:rsidRPr="00B7142D">
        <w:t xml:space="preserve">  Thus, under this size standard, the majority of firms can be considered small.</w:t>
      </w:r>
    </w:p>
    <w:p w14:paraId="74923665" w14:textId="77777777" w:rsidR="00650588" w:rsidRPr="00B7142D" w:rsidRDefault="00650588" w:rsidP="00650588">
      <w:pPr>
        <w:numPr>
          <w:ilvl w:val="0"/>
          <w:numId w:val="1"/>
        </w:numPr>
        <w:tabs>
          <w:tab w:val="clear" w:pos="1080"/>
          <w:tab w:val="num" w:pos="1440"/>
        </w:tabs>
        <w:spacing w:after="120"/>
      </w:pPr>
      <w:bookmarkStart w:id="230" w:name="FN[FN211]"/>
      <w:bookmarkStart w:id="231" w:name="FN[FN241]"/>
      <w:bookmarkStart w:id="232" w:name="FN[FN242]"/>
      <w:bookmarkStart w:id="233" w:name="FN[FN243]"/>
      <w:bookmarkStart w:id="234" w:name="FN[FN244]"/>
      <w:bookmarkStart w:id="235" w:name="FN[FN245]"/>
      <w:bookmarkStart w:id="236" w:name="FN[FN246]"/>
      <w:bookmarkEnd w:id="230"/>
      <w:bookmarkEnd w:id="231"/>
      <w:bookmarkEnd w:id="232"/>
      <w:bookmarkEnd w:id="233"/>
      <w:bookmarkEnd w:id="234"/>
      <w:bookmarkEnd w:id="235"/>
      <w:bookmarkEnd w:id="236"/>
      <w:r w:rsidRPr="00B7142D">
        <w:rPr>
          <w:i/>
        </w:rPr>
        <w:t>Radio and Television Broadcasting and Wireless Communications Equipment Manufacturing.</w:t>
      </w:r>
      <w:r w:rsidRPr="00B7142D">
        <w:t xml:space="preserve">  The Census Bureau defines this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bookmarkStart w:id="237" w:name="FN[FN8]"/>
      <w:bookmarkEnd w:id="237"/>
      <w:r w:rsidRPr="00B7142D">
        <w:rPr>
          <w:vertAlign w:val="superscript"/>
        </w:rPr>
        <w:footnoteReference w:id="132"/>
      </w:r>
      <w:r w:rsidRPr="00B7142D">
        <w:t xml:space="preserve">  The SBA has developed a small business size standard for Radio and Television Broadcasting and Wireless Communications Equipment Manufacturing</w:t>
      </w:r>
      <w:bookmarkStart w:id="238" w:name="SR;7360"/>
      <w:bookmarkEnd w:id="238"/>
      <w:r w:rsidRPr="00B7142D">
        <w:t>, which is: all such firms having 750 or fewer employees.</w:t>
      </w:r>
      <w:bookmarkStart w:id="239" w:name="FN[FN9]"/>
      <w:bookmarkEnd w:id="239"/>
      <w:r w:rsidRPr="00B7142D">
        <w:t xml:space="preserve">  According to Census Bureau data for 2007, there were a total of 939 establishments in this category that operated for part or all of the entire year.  Of this total, 912 had less than 500 employees and 17 had more than 1000 employees.</w:t>
      </w:r>
      <w:r w:rsidRPr="00B7142D">
        <w:rPr>
          <w:vertAlign w:val="superscript"/>
        </w:rPr>
        <w:footnoteReference w:id="133"/>
      </w:r>
      <w:r w:rsidRPr="00B7142D">
        <w:t xml:space="preserve">   Thus, under that size standard, the majority of firms can be considered small.</w:t>
      </w:r>
    </w:p>
    <w:p w14:paraId="283DC64A" w14:textId="77777777" w:rsidR="00650588" w:rsidRPr="00B7142D" w:rsidRDefault="00650588" w:rsidP="00650588">
      <w:pPr>
        <w:keepNext/>
        <w:spacing w:after="120"/>
        <w:ind w:left="1440" w:hanging="720"/>
        <w:rPr>
          <w:b/>
        </w:rPr>
      </w:pPr>
      <w:r w:rsidRPr="00B7142D">
        <w:rPr>
          <w:b/>
        </w:rPr>
        <w:t>D.</w:t>
      </w:r>
      <w:r w:rsidRPr="00B7142D">
        <w:rPr>
          <w:b/>
        </w:rPr>
        <w:tab/>
        <w:t>Description of Projected Reporting, Recordkeeping and other Compliance Requirements</w:t>
      </w:r>
    </w:p>
    <w:p w14:paraId="64ECD9A0" w14:textId="77777777" w:rsidR="00650588" w:rsidRDefault="00650588" w:rsidP="00650588">
      <w:pPr>
        <w:numPr>
          <w:ilvl w:val="0"/>
          <w:numId w:val="1"/>
        </w:numPr>
        <w:tabs>
          <w:tab w:val="clear" w:pos="1080"/>
          <w:tab w:val="num" w:pos="1440"/>
        </w:tabs>
        <w:spacing w:after="120"/>
      </w:pPr>
      <w:bookmarkStart w:id="240" w:name="_Toc118611146"/>
      <w:r w:rsidRPr="00B7142D">
        <w:t xml:space="preserve">The </w:t>
      </w:r>
      <w:r w:rsidRPr="00B7142D">
        <w:rPr>
          <w:i/>
        </w:rPr>
        <w:t>Notice</w:t>
      </w:r>
      <w:r w:rsidRPr="00B7142D">
        <w:t xml:space="preserve"> proposes the following new or revised reporting or recordkeeping requirements.  The Commission proposes </w:t>
      </w:r>
      <w:bookmarkStart w:id="241" w:name="_Toc138576128"/>
      <w:bookmarkStart w:id="242" w:name="_Toc138822584"/>
      <w:bookmarkStart w:id="243" w:name="_Toc138843560"/>
      <w:bookmarkStart w:id="244" w:name="_Toc138845548"/>
      <w:bookmarkStart w:id="245" w:name="_Toc139373792"/>
      <w:bookmarkStart w:id="246" w:name="_Toc139687238"/>
      <w:bookmarkStart w:id="247" w:name="_Toc139884898"/>
      <w:bookmarkStart w:id="248" w:name="_Toc139945643"/>
      <w:bookmarkStart w:id="249" w:name="_Toc139945871"/>
      <w:bookmarkStart w:id="250" w:name="_Toc139946206"/>
      <w:bookmarkStart w:id="251" w:name="_Toc140574627"/>
      <w:bookmarkStart w:id="252" w:name="_Toc142215199"/>
      <w:bookmarkStart w:id="253" w:name="_Toc142369993"/>
      <w:bookmarkStart w:id="254" w:name="_Toc142370137"/>
      <w:bookmarkStart w:id="255" w:name="_Toc142384571"/>
      <w:bookmarkStart w:id="256" w:name="_Toc144024784"/>
      <w:bookmarkStart w:id="257" w:name="_Toc148337503"/>
      <w:bookmarkStart w:id="258" w:name="_Toc159846913"/>
      <w:bookmarkStart w:id="259" w:name="_Toc159847037"/>
      <w:bookmarkStart w:id="260" w:name="_Toc164830326"/>
      <w:bookmarkStart w:id="261" w:name="_Toc164837676"/>
      <w:r w:rsidRPr="00B7142D">
        <w:t xml:space="preserve">procedures that a broadcast applicant must use to </w:t>
      </w:r>
      <w:r w:rsidR="00D623B0">
        <w:t xml:space="preserve">satisfy the vacant channel </w:t>
      </w:r>
      <w:r w:rsidRPr="00B7142D">
        <w:t>demonstrat</w:t>
      </w:r>
      <w:r w:rsidR="00D623B0">
        <w:t>ion</w:t>
      </w:r>
      <w:r w:rsidRPr="00B7142D">
        <w:t xml:space="preserve"> requirement.  These procedures would apply only to applications for broadcast </w:t>
      </w:r>
      <w:r w:rsidR="00D623B0">
        <w:t xml:space="preserve">and BAS </w:t>
      </w:r>
      <w:r w:rsidRPr="00B7142D">
        <w:t xml:space="preserve">stations by those entities and </w:t>
      </w:r>
      <w:r w:rsidR="00D623B0">
        <w:t xml:space="preserve">on </w:t>
      </w:r>
      <w:r w:rsidRPr="00B7142D">
        <w:t>those channels as decided by the Commission in this proceeding.  A party wishing to construct a new</w:t>
      </w:r>
      <w:r w:rsidR="009D433E">
        <w:t>, displacement,</w:t>
      </w:r>
      <w:r w:rsidRPr="00B7142D">
        <w:t xml:space="preserve"> or modified </w:t>
      </w:r>
      <w:r w:rsidR="00D623B0">
        <w:t xml:space="preserve">broadcast </w:t>
      </w:r>
      <w:r w:rsidRPr="00B7142D">
        <w:t xml:space="preserve">station on one of these channels would generally follow the current procedures used in planning and applying for a broadcast station.  That is, the party would perform a technical study based on the Commission’s requirements (e.g., separation from TV station contours) to determine channel availability and the other operating parameters for the proposed station (e.g., transmitter location, effective radiated power, antenna height and directionality).  Once the proposed channel and operating parameters are determined, the applicant would calculate the service contour for the proposed station based on these parameters.  </w:t>
      </w:r>
      <w:r w:rsidR="00D623B0" w:rsidRPr="00B7142D">
        <w:t xml:space="preserve">In the case of BAS stations, the applicant would determine </w:t>
      </w:r>
      <w:r w:rsidR="00D623B0">
        <w:t>its</w:t>
      </w:r>
      <w:r w:rsidR="00D623B0" w:rsidRPr="00B7142D">
        <w:t xml:space="preserve"> protected area in accordance with the </w:t>
      </w:r>
      <w:r w:rsidR="00D623B0" w:rsidRPr="00B7142D">
        <w:lastRenderedPageBreak/>
        <w:t xml:space="preserve">requirements of </w:t>
      </w:r>
      <w:r w:rsidR="00344326">
        <w:t>s</w:t>
      </w:r>
      <w:r w:rsidR="00D623B0" w:rsidRPr="00B7142D">
        <w:t>ection 15.712(c)</w:t>
      </w:r>
      <w:r w:rsidR="00D623B0">
        <w:t xml:space="preserve">.  </w:t>
      </w:r>
      <w:r w:rsidRPr="00B7142D">
        <w:t xml:space="preserve">The applicant would then be required to perform an analysis and submit a showing with its application demonstrating that </w:t>
      </w:r>
      <w:r w:rsidR="00DA2CAB">
        <w:t xml:space="preserve">white space devices and </w:t>
      </w:r>
      <w:r w:rsidRPr="00B7142D">
        <w:t xml:space="preserve">wireless microphones operating within the same area as the proposed broadcast </w:t>
      </w:r>
      <w:r w:rsidR="00D623B0">
        <w:t xml:space="preserve">or BAS </w:t>
      </w:r>
      <w:r w:rsidRPr="00B7142D">
        <w:t>station will have access to at least one channel, although it need not be the same channel in all locations.</w:t>
      </w:r>
    </w:p>
    <w:p w14:paraId="6D65B9AC" w14:textId="77777777" w:rsidR="00650588" w:rsidRPr="00B7142D" w:rsidRDefault="00650588" w:rsidP="00650588">
      <w:pPr>
        <w:spacing w:after="120"/>
        <w:ind w:left="1440" w:hanging="720"/>
        <w:rPr>
          <w:b/>
        </w:rPr>
      </w:pPr>
      <w:r w:rsidRPr="00B7142D">
        <w:rPr>
          <w:b/>
        </w:rPr>
        <w:t>E.</w:t>
      </w:r>
      <w:r w:rsidRPr="00B7142D">
        <w:rPr>
          <w:b/>
        </w:rPr>
        <w:tab/>
        <w:t>Steps Taken to Minimize Significant Impact on Small Entities, and Significant Alternatives Considered</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7290E08F" w14:textId="77777777" w:rsidR="00650588" w:rsidRPr="00B7142D" w:rsidRDefault="00650588" w:rsidP="00650588">
      <w:pPr>
        <w:numPr>
          <w:ilvl w:val="0"/>
          <w:numId w:val="1"/>
        </w:numPr>
        <w:tabs>
          <w:tab w:val="clear" w:pos="1080"/>
          <w:tab w:val="num" w:pos="1440"/>
        </w:tabs>
        <w:spacing w:after="120"/>
      </w:pPr>
      <w:r w:rsidRPr="00B7142D">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B7142D">
        <w:rPr>
          <w:vertAlign w:val="superscript"/>
        </w:rPr>
        <w:footnoteReference w:id="134"/>
      </w:r>
      <w:r w:rsidRPr="00B7142D">
        <w:t xml:space="preserve"> </w:t>
      </w:r>
    </w:p>
    <w:p w14:paraId="3B03CF80" w14:textId="77777777" w:rsidR="001705DA" w:rsidRPr="001705DA" w:rsidRDefault="001705DA" w:rsidP="001705DA">
      <w:pPr>
        <w:pStyle w:val="ParaNum"/>
      </w:pPr>
      <w:r w:rsidRPr="001705DA">
        <w:t xml:space="preserve">The Commission believes that its proposal will not significantly burden </w:t>
      </w:r>
      <w:r>
        <w:t xml:space="preserve">small entities </w:t>
      </w:r>
      <w:r w:rsidRPr="001705DA">
        <w:t xml:space="preserve">in terms of either the continued availability of channels in all areas or the administrative burdens of compliance.  After the final channel assignments are made following the </w:t>
      </w:r>
      <w:r w:rsidR="00344326">
        <w:t>i</w:t>
      </w:r>
      <w:r w:rsidRPr="001705DA">
        <w:t xml:space="preserve">ncentive </w:t>
      </w:r>
      <w:r w:rsidR="00344326">
        <w:t>a</w:t>
      </w:r>
      <w:r w:rsidRPr="001705DA">
        <w:t xml:space="preserve">uction, multiple vacant channels will exist in most areas as a result of the co- and adjacent-channel separation requirements necessary to protect primary broadcast stations from interference from each other.  The 100 repacking simulation results previously published by Commission staff show that the areas encompassing the vast majority of population across the country would have at least two vacant channels available.   In any event, the effect of the proposal would be to reduce by only one the total number of vacant channels that would otherwise be available in an area.  Therefore, the impact on </w:t>
      </w:r>
      <w:r>
        <w:t>small entities</w:t>
      </w:r>
      <w:r w:rsidRPr="001705DA">
        <w:t>, in terms of the availability of channels for future use, will be limited because multiple vacant channels will still exist in all or most markets as a consequence of the need to avoid interference between primary broadcast stations in the Incentive Auction final channel assignment process.   In addition, the proposed plan involves a streamlined method for broadcast applicants to determine quickly the impact that facilities they intend to propose will have on the continued availability of vacant channels.  Although small entit</w:t>
      </w:r>
      <w:r>
        <w:t>ies m</w:t>
      </w:r>
      <w:r w:rsidRPr="001705DA">
        <w:t xml:space="preserve">ay experience an increased burden, the Commission believes that adoption of the vacant channel preservation requirement will greatly benefit white space and wireless microphone users as well as the manufacturer of white space and wireless microphone equipment that are also small businesses by creating new uses and opportunity for this spectrum.  The Commission also believes that this prioritization and protection of white space is critical if it is to realize the benefits that this spectrum will provide to small businesses and developers that will usher forth new and unthought-of uses.  </w:t>
      </w:r>
    </w:p>
    <w:p w14:paraId="1C3C3D97" w14:textId="77777777" w:rsidR="00650588" w:rsidRPr="00B7142D" w:rsidRDefault="001705DA" w:rsidP="00B7142D">
      <w:pPr>
        <w:numPr>
          <w:ilvl w:val="0"/>
          <w:numId w:val="1"/>
        </w:numPr>
        <w:tabs>
          <w:tab w:val="clear" w:pos="1080"/>
          <w:tab w:val="num" w:pos="1440"/>
        </w:tabs>
        <w:spacing w:after="120"/>
      </w:pPr>
      <w:r>
        <w:t xml:space="preserve">In addition, the </w:t>
      </w:r>
      <w:r w:rsidR="00650588" w:rsidRPr="00B7142D">
        <w:t>Commission</w:t>
      </w:r>
      <w:r>
        <w:t xml:space="preserve"> has initiated a proceeding seeking comment on the adoption of rules to permit LPTV and TV translator stations to share channels.  If adopted, channel sharing would help displaced LPTV and TV translators that experience difficulty in finding new channels following the incentive auction and repacking</w:t>
      </w:r>
      <w:r w:rsidR="00D460E1">
        <w:t xml:space="preserve"> by allowing them to share channels in markets with limited vacant channels.  Further, the Commission has proposed to utilize its incentive auction optimization software to help identify available channels post-auction for displaced LPTV and TV translator stations.  Finally, the Commission and its staff continue outreach to LPTV and TV translator stations to educate them on the possible impact of the incentive auction and repacking as well as this vacant channel proceedings and to continue to gather comment and input from these affected industries.</w:t>
      </w:r>
      <w:r w:rsidR="00650588" w:rsidRPr="00B7142D">
        <w:t xml:space="preserve">  </w:t>
      </w:r>
    </w:p>
    <w:p w14:paraId="4E138666" w14:textId="77777777" w:rsidR="00650588" w:rsidRPr="00B7142D" w:rsidRDefault="00650588" w:rsidP="00650588">
      <w:pPr>
        <w:spacing w:after="120"/>
        <w:ind w:left="1440" w:hanging="720"/>
        <w:rPr>
          <w:b/>
        </w:rPr>
      </w:pPr>
      <w:r w:rsidRPr="00B7142D">
        <w:rPr>
          <w:b/>
        </w:rPr>
        <w:t>F.</w:t>
      </w:r>
      <w:r w:rsidRPr="00B7142D">
        <w:rPr>
          <w:b/>
        </w:rPr>
        <w:tab/>
        <w:t>Federal Rules Which Duplicate, Overlap, or Conflict with the Commission’s Proposals</w:t>
      </w:r>
    </w:p>
    <w:p w14:paraId="5E17C7E7" w14:textId="77777777" w:rsidR="00E37493" w:rsidRDefault="00650588" w:rsidP="00E37493">
      <w:pPr>
        <w:numPr>
          <w:ilvl w:val="0"/>
          <w:numId w:val="1"/>
        </w:numPr>
        <w:tabs>
          <w:tab w:val="clear" w:pos="1080"/>
          <w:tab w:val="num" w:pos="1440"/>
        </w:tabs>
        <w:spacing w:after="120"/>
        <w:sectPr w:rsidR="00E37493" w:rsidSect="00AA35AE">
          <w:footnotePr>
            <w:pos w:val="beneathText"/>
            <w:numRestart w:val="eachSect"/>
          </w:footnotePr>
          <w:endnotePr>
            <w:numFmt w:val="decimal"/>
          </w:endnotePr>
          <w:pgSz w:w="12240" w:h="15840"/>
          <w:pgMar w:top="1440" w:right="1440" w:bottom="720" w:left="1440" w:header="720" w:footer="720" w:gutter="0"/>
          <w:cols w:space="720"/>
          <w:noEndnote/>
        </w:sectPr>
      </w:pPr>
      <w:bookmarkStart w:id="262" w:name="_Toc140574629"/>
      <w:bookmarkStart w:id="263" w:name="_Toc140574630"/>
      <w:bookmarkEnd w:id="262"/>
      <w:bookmarkEnd w:id="263"/>
      <w:r w:rsidRPr="00B7142D">
        <w:t>None.</w:t>
      </w:r>
      <w:bookmarkStart w:id="264" w:name="_Toc139884900"/>
      <w:bookmarkStart w:id="265" w:name="_Toc139945645"/>
      <w:bookmarkEnd w:id="264"/>
      <w:bookmarkEnd w:id="265"/>
    </w:p>
    <w:p w14:paraId="515CC262" w14:textId="77777777" w:rsidR="00E870A4" w:rsidRDefault="00E870A4" w:rsidP="00E870A4">
      <w:pPr>
        <w:spacing w:after="240"/>
        <w:jc w:val="center"/>
        <w:rPr>
          <w:b/>
        </w:rPr>
      </w:pPr>
      <w:r>
        <w:rPr>
          <w:b/>
        </w:rPr>
        <w:lastRenderedPageBreak/>
        <w:t>DISSENTING STATEMENT OF</w:t>
      </w:r>
      <w:r>
        <w:rPr>
          <w:b/>
        </w:rPr>
        <w:br/>
        <w:t>COMMISSIONER AJIT PAI</w:t>
      </w:r>
    </w:p>
    <w:p w14:paraId="6E99FECB" w14:textId="77777777" w:rsidR="00E870A4" w:rsidRDefault="00E870A4" w:rsidP="00E870A4">
      <w:pPr>
        <w:ind w:left="720" w:hanging="720"/>
      </w:pPr>
      <w:r>
        <w:t>Re:</w:t>
      </w:r>
      <w:r>
        <w:tab/>
      </w:r>
      <w:r w:rsidRPr="003E77E6">
        <w:rPr>
          <w:i/>
        </w:rPr>
        <w:t>Amendment of Parts 15, 73 and 74 of the Commission’s Rules to Provide for the Preservation of One Vacant Channel in the UHF Television Band For Use By White Space Devices and Wireless Microphones</w:t>
      </w:r>
      <w:r>
        <w:t>, MB Docket No. 15-</w:t>
      </w:r>
      <w:r w:rsidR="00E0304E">
        <w:t>146</w:t>
      </w:r>
      <w:r>
        <w:t xml:space="preserve">; </w:t>
      </w:r>
      <w:r w:rsidRPr="003E77E6">
        <w:rPr>
          <w:i/>
        </w:rPr>
        <w:t>Expanding the Economic and Innovation Opportunities of Spectrum Through Incentive Auctions</w:t>
      </w:r>
      <w:r>
        <w:t>, GN Docket No. 12-268.</w:t>
      </w:r>
    </w:p>
    <w:p w14:paraId="24D09FBE" w14:textId="77777777" w:rsidR="00E870A4" w:rsidRPr="00E46332" w:rsidRDefault="00E870A4" w:rsidP="00E870A4">
      <w:pPr>
        <w:ind w:left="720" w:hanging="720"/>
      </w:pPr>
    </w:p>
    <w:p w14:paraId="728D085F" w14:textId="77777777" w:rsidR="00E870A4" w:rsidRDefault="00E870A4" w:rsidP="00E870A4">
      <w:pPr>
        <w:ind w:firstLine="720"/>
      </w:pPr>
      <w:r>
        <w:t xml:space="preserve">Congress, on a bipartisan basis, tasked the Commission in the Spectrum Act of 2012 with using a market-based mechanism to reallocate spectrum from broadcast television to mobile broadband.  Unfortunately, the Commission, on a partisan basis, is using the incentive auction proceeding to dole out regulatory presents to favored companies and industries while leaving others worse off.  Because today’s </w:t>
      </w:r>
      <w:r w:rsidRPr="00CF7C53">
        <w:rPr>
          <w:i/>
        </w:rPr>
        <w:t>Notice of Proposed Rulemaking</w:t>
      </w:r>
      <w:r>
        <w:t xml:space="preserve"> is yet another step down this misguided path, I respectfully dissent.</w:t>
      </w:r>
    </w:p>
    <w:p w14:paraId="2787283D" w14:textId="77777777" w:rsidR="00E870A4" w:rsidRDefault="00E870A4" w:rsidP="00E870A4">
      <w:pPr>
        <w:ind w:firstLine="720"/>
      </w:pPr>
    </w:p>
    <w:p w14:paraId="071F6C3A" w14:textId="77777777" w:rsidR="00E870A4" w:rsidRDefault="00E870A4" w:rsidP="00E870A4">
      <w:pPr>
        <w:ind w:firstLine="720"/>
      </w:pPr>
      <w:r>
        <w:t>Today, full-power television stations, Class A stations, LPTV stations, TV translators, Broadcast Auxiliary Service facilities, low power auxiliary stations, wireless microphone users, and unlicensed white space devices all share the portion of UHF band allocated for broadcast television.  Following a successful incentive auction, the size of this band will shrink, and there will not be enough room for all of those currently utilizing the UHF band to continue using it.  And so the Commission will have to make some tough choices.</w:t>
      </w:r>
    </w:p>
    <w:p w14:paraId="5B87AC29" w14:textId="77777777" w:rsidR="00E870A4" w:rsidRDefault="00E870A4" w:rsidP="00E870A4">
      <w:pPr>
        <w:ind w:firstLine="720"/>
      </w:pPr>
    </w:p>
    <w:p w14:paraId="7EE4787B" w14:textId="77777777" w:rsidR="00E870A4" w:rsidRDefault="00E870A4" w:rsidP="00E870A4">
      <w:pPr>
        <w:ind w:firstLine="720"/>
      </w:pPr>
      <w:r>
        <w:t xml:space="preserve">But one of these choices shouldn’t be difficult.  When it comes to the repacked UHF broadcast television band, full-power television stations should receive top priority.  Up until this </w:t>
      </w:r>
      <w:r>
        <w:rPr>
          <w:i/>
        </w:rPr>
        <w:t>Notice</w:t>
      </w:r>
      <w:r>
        <w:t xml:space="preserve">, I wouldn’t have thought that this proposition would have been controversial.  After all, the band will be primarily allocated for broadcast television.  But today’s </w:t>
      </w:r>
      <w:r w:rsidRPr="00DC6280">
        <w:rPr>
          <w:i/>
        </w:rPr>
        <w:t xml:space="preserve">Notice </w:t>
      </w:r>
      <w:r>
        <w:t>suggests a switcheroo, giving unlicensed white space devices priority over full-power television stations in some circumstances.  Specifically, the item asks whether full-power televisions stations should be precluded from modifying their facilities in order to better serve their viewers if doing so would eliminate the last vacant channel in the band.  Similarly, the item asks whether full-power television stations should have to defer to unlicensed white-space devices if a television allotment proceeding would fill the last vacant channel.</w:t>
      </w:r>
    </w:p>
    <w:p w14:paraId="1DEF13DA" w14:textId="77777777" w:rsidR="00E870A4" w:rsidRDefault="00E870A4" w:rsidP="00E870A4">
      <w:pPr>
        <w:ind w:firstLine="720"/>
      </w:pPr>
    </w:p>
    <w:p w14:paraId="77D94DC3" w14:textId="77777777" w:rsidR="00E870A4" w:rsidRDefault="00E870A4" w:rsidP="00E870A4">
      <w:pPr>
        <w:ind w:firstLine="720"/>
      </w:pPr>
      <w:r>
        <w:t xml:space="preserve">To me, the answer to these questions is obvious.  Of course, the primary users of the band (full-power television stations) should be prioritized over secondary users of the band (unlicensed white space devices).  But when Commissioner </w:t>
      </w:r>
      <w:proofErr w:type="spellStart"/>
      <w:r>
        <w:t>O’Rielly</w:t>
      </w:r>
      <w:proofErr w:type="spellEnd"/>
      <w:r>
        <w:t xml:space="preserve"> and I proposed adding tentative conclusions along these lines, our edits were rejected, which is an ominous sign in a </w:t>
      </w:r>
      <w:r w:rsidRPr="00DC6280">
        <w:rPr>
          <w:i/>
        </w:rPr>
        <w:t xml:space="preserve">Notice </w:t>
      </w:r>
      <w:r>
        <w:t>otherwise filled with tentative conclusions.</w:t>
      </w:r>
    </w:p>
    <w:p w14:paraId="66891B30" w14:textId="77777777" w:rsidR="00E870A4" w:rsidRDefault="00E870A4" w:rsidP="00E870A4">
      <w:pPr>
        <w:ind w:firstLine="720"/>
      </w:pPr>
    </w:p>
    <w:p w14:paraId="34E4E943" w14:textId="77777777" w:rsidR="00E870A4" w:rsidRDefault="00E870A4" w:rsidP="00E870A4">
      <w:pPr>
        <w:ind w:firstLine="720"/>
      </w:pPr>
      <w:r>
        <w:t xml:space="preserve">Speaking of those other tentative conclusions, I cannot support the Commission’s proposal to prioritize the spectrum needs of unlicensed white space devices over those of translators and LPTV stations.  Since the beginning of this proceeding, I have emphasized the need to take action where we can to preserve the vital services provided by these low power television stations.  After the incentive auction, there will not be enough </w:t>
      </w:r>
      <w:proofErr w:type="gramStart"/>
      <w:r>
        <w:t>spectrum</w:t>
      </w:r>
      <w:proofErr w:type="gramEnd"/>
      <w:r>
        <w:t xml:space="preserve"> available to keep all translators and LPTV stations on the air.  That is a fact.  But here is another fact:  The </w:t>
      </w:r>
      <w:r>
        <w:rPr>
          <w:i/>
        </w:rPr>
        <w:t>Notice</w:t>
      </w:r>
      <w:r>
        <w:t>’s proposals will force more translators and LPTV stations off the air.  Translators and LPTV stations that could have been placed in the last vacant channel in a market will have to make way for unlicensed white space devices.</w:t>
      </w:r>
    </w:p>
    <w:p w14:paraId="4CD58D99" w14:textId="77777777" w:rsidR="00E870A4" w:rsidRDefault="00E870A4" w:rsidP="00E870A4">
      <w:pPr>
        <w:ind w:firstLine="720"/>
      </w:pPr>
    </w:p>
    <w:p w14:paraId="37A613C1" w14:textId="77777777" w:rsidR="00E870A4" w:rsidRDefault="00E870A4" w:rsidP="00E870A4">
      <w:pPr>
        <w:ind w:firstLine="720"/>
      </w:pPr>
      <w:r>
        <w:t xml:space="preserve">Notwithstanding the underwhelming impact of unlicensed white-space devices in the market to date, my objection to the Commission’s proposal is not rooted in a belief that the services provided by translators and LPTV stations are more important than those provided by unlicensed devices.  Rather, it is based on the simple reality that translators and low-power television stations won’t have anywhere else to go after the incentive auction.  If they are not allowed to continue operating in the UHF band, they will go </w:t>
      </w:r>
      <w:r>
        <w:lastRenderedPageBreak/>
        <w:t xml:space="preserve">out of business.  On the other hand, there are other spectrum bands where unlicensed devices can operate, and I hope that soon there will be even more.  For example, since October 2012, I have been calling for the FCC to take action to make 195 MHz of new spectrum available for unlicensed use in the 5 GHz </w:t>
      </w:r>
      <w:proofErr w:type="gramStart"/>
      <w:r>
        <w:t>band</w:t>
      </w:r>
      <w:proofErr w:type="gramEnd"/>
      <w:r>
        <w:t>, an amount that dwarfs the 6 MHz of spectrum that is being fought over here.</w:t>
      </w:r>
    </w:p>
    <w:p w14:paraId="79509F89" w14:textId="77777777" w:rsidR="00E870A4" w:rsidRDefault="00E870A4" w:rsidP="00E870A4">
      <w:pPr>
        <w:ind w:firstLine="720"/>
      </w:pPr>
    </w:p>
    <w:p w14:paraId="25055577" w14:textId="77777777" w:rsidR="00E870A4" w:rsidRDefault="00E870A4" w:rsidP="00E870A4">
      <w:pPr>
        <w:ind w:firstLine="720"/>
      </w:pPr>
      <w:proofErr w:type="gramStart"/>
      <w:r>
        <w:t>Finally, a word about process.</w:t>
      </w:r>
      <w:proofErr w:type="gramEnd"/>
      <w:r>
        <w:t xml:space="preserve">  When I offered four proposed edits to this item, I did not expect that all four would be accepted.  But I did have hope that some of my proposals, especially those involving the treatment of full-power television stations, would make their way into the item.  Unfortunately, all four of my suggestions were dismissed out of hand.  To be sure, I can’t say that I was completely surprised.  It is indicative of the partisan manner in which the incentive auction proceeding has been run.  But it remains unfortunate.  I continue to believe that the Commission’s work product is better when all Commissioners, Democrats and Republicans, are allowed to contribute.  And while the evidence to date does not provide much cause for optimism, I will continue to offer constructive suggestions in the hope we can structure the incentive auction in the same bipartisan spirit that animated Congress in 2012.</w:t>
      </w:r>
    </w:p>
    <w:p w14:paraId="58AC7219" w14:textId="77777777" w:rsidR="00E870A4" w:rsidRDefault="00E870A4" w:rsidP="00E870A4">
      <w:pPr>
        <w:ind w:firstLine="720"/>
        <w:sectPr w:rsidR="00E870A4">
          <w:footnotePr>
            <w:numRestart w:val="eachSect"/>
          </w:footnotePr>
          <w:pgSz w:w="12240" w:h="15840"/>
          <w:pgMar w:top="1440" w:right="1440" w:bottom="1440" w:left="1440" w:header="720" w:footer="864" w:gutter="0"/>
          <w:cols w:space="720"/>
        </w:sectPr>
      </w:pPr>
    </w:p>
    <w:p w14:paraId="6AA207F0" w14:textId="77777777" w:rsidR="00E37493" w:rsidRPr="00AF5CA8" w:rsidRDefault="00E37493" w:rsidP="00E37493">
      <w:pPr>
        <w:jc w:val="center"/>
        <w:rPr>
          <w:b/>
          <w:caps/>
          <w:szCs w:val="22"/>
        </w:rPr>
      </w:pPr>
      <w:r w:rsidRPr="00AF5CA8">
        <w:rPr>
          <w:b/>
          <w:caps/>
          <w:szCs w:val="22"/>
        </w:rPr>
        <w:lastRenderedPageBreak/>
        <w:t xml:space="preserve">Statement </w:t>
      </w:r>
      <w:proofErr w:type="gramStart"/>
      <w:r w:rsidRPr="00AF5CA8">
        <w:rPr>
          <w:b/>
          <w:caps/>
          <w:szCs w:val="22"/>
        </w:rPr>
        <w:t>of</w:t>
      </w:r>
      <w:proofErr w:type="gramEnd"/>
    </w:p>
    <w:p w14:paraId="651780BD" w14:textId="77777777" w:rsidR="00E37493" w:rsidRPr="00AF5CA8" w:rsidRDefault="00E37493" w:rsidP="00E37493">
      <w:pPr>
        <w:jc w:val="center"/>
        <w:rPr>
          <w:b/>
          <w:caps/>
          <w:szCs w:val="22"/>
        </w:rPr>
      </w:pPr>
      <w:r w:rsidRPr="00AF5CA8">
        <w:rPr>
          <w:b/>
          <w:caps/>
          <w:szCs w:val="22"/>
        </w:rPr>
        <w:t>Commissioner Michael O’Rielly</w:t>
      </w:r>
    </w:p>
    <w:p w14:paraId="51B2CAD8" w14:textId="77777777" w:rsidR="00E37493" w:rsidRPr="00AF5CA8" w:rsidRDefault="00E37493" w:rsidP="00E37493">
      <w:pPr>
        <w:jc w:val="center"/>
        <w:rPr>
          <w:b/>
          <w:caps/>
          <w:szCs w:val="22"/>
        </w:rPr>
      </w:pPr>
      <w:r w:rsidRPr="00AF5CA8">
        <w:rPr>
          <w:b/>
          <w:caps/>
          <w:szCs w:val="22"/>
        </w:rPr>
        <w:t>APPROVING IN PART, DISSENTING IN PART</w:t>
      </w:r>
    </w:p>
    <w:p w14:paraId="531CA7CB" w14:textId="77777777" w:rsidR="00E37493" w:rsidRPr="00AF5CA8" w:rsidRDefault="00E37493" w:rsidP="00E37493">
      <w:pPr>
        <w:jc w:val="center"/>
        <w:rPr>
          <w:b/>
          <w:caps/>
          <w:szCs w:val="22"/>
        </w:rPr>
      </w:pPr>
    </w:p>
    <w:p w14:paraId="0D5E0319" w14:textId="77777777" w:rsidR="00AD35FE" w:rsidRDefault="00AD35FE" w:rsidP="00AD35FE">
      <w:pPr>
        <w:ind w:left="720" w:hanging="720"/>
      </w:pPr>
      <w:r>
        <w:t>Re:</w:t>
      </w:r>
      <w:r>
        <w:tab/>
      </w:r>
      <w:r w:rsidRPr="003E77E6">
        <w:rPr>
          <w:i/>
        </w:rPr>
        <w:t>Amendment of Parts 15, 73 and 74 of the Commission’s Rules to Provide for the Preservation of One Vacant Channel in the UHF Television Band For Use By White Space Devices and Wireless Microphones</w:t>
      </w:r>
      <w:r>
        <w:t>, MB Docket No. 15-</w:t>
      </w:r>
      <w:r w:rsidR="00E0304E">
        <w:t>146</w:t>
      </w:r>
      <w:r>
        <w:t xml:space="preserve">; </w:t>
      </w:r>
      <w:r w:rsidRPr="003E77E6">
        <w:rPr>
          <w:i/>
        </w:rPr>
        <w:t>Expanding the Economic and Innovation Opportunities of Spectrum Through Incentive Auctions</w:t>
      </w:r>
      <w:r>
        <w:t>, GN Docket No. 12-268.</w:t>
      </w:r>
    </w:p>
    <w:p w14:paraId="6AA97C38" w14:textId="77777777" w:rsidR="00AD35FE" w:rsidRDefault="00AD35FE" w:rsidP="00E37493">
      <w:pPr>
        <w:pStyle w:val="Body"/>
        <w:rPr>
          <w:rFonts w:ascii="Times New Roman" w:hAnsi="Times New Roman" w:cs="Times New Roman"/>
        </w:rPr>
      </w:pPr>
    </w:p>
    <w:p w14:paraId="030F5BA5" w14:textId="77777777"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 xml:space="preserve">In the </w:t>
      </w:r>
      <w:r w:rsidRPr="00AF5CA8">
        <w:rPr>
          <w:rFonts w:ascii="Times New Roman" w:hAnsi="Times New Roman" w:cs="Times New Roman"/>
          <w:i/>
        </w:rPr>
        <w:t>Incentive Auction Report and Order</w:t>
      </w:r>
      <w:r w:rsidRPr="00AF5CA8">
        <w:rPr>
          <w:rFonts w:ascii="Times New Roman" w:hAnsi="Times New Roman" w:cs="Times New Roman"/>
        </w:rPr>
        <w:t>,</w:t>
      </w:r>
      <w:r>
        <w:rPr>
          <w:rStyle w:val="FootnoteReference"/>
          <w:rFonts w:cs="Times New Roman"/>
        </w:rPr>
        <w:footnoteReference w:id="135"/>
      </w:r>
      <w:r w:rsidRPr="00AF5CA8">
        <w:rPr>
          <w:rFonts w:ascii="Times New Roman" w:hAnsi="Times New Roman" w:cs="Times New Roman"/>
        </w:rPr>
        <w:t xml:space="preserve"> the Commission announced its intention to designate a </w:t>
      </w:r>
      <w:proofErr w:type="gramStart"/>
      <w:r w:rsidRPr="00AF5CA8">
        <w:rPr>
          <w:rFonts w:ascii="Times New Roman" w:hAnsi="Times New Roman" w:cs="Times New Roman"/>
        </w:rPr>
        <w:t>six megahertz</w:t>
      </w:r>
      <w:proofErr w:type="gramEnd"/>
      <w:r w:rsidRPr="00AF5CA8">
        <w:rPr>
          <w:rFonts w:ascii="Times New Roman" w:hAnsi="Times New Roman" w:cs="Times New Roman"/>
        </w:rPr>
        <w:t xml:space="preserve"> channel in the TV band for use by wireless microphones and unlicensed devices.</w:t>
      </w:r>
      <w:r>
        <w:rPr>
          <w:rStyle w:val="FootnoteReference"/>
          <w:rFonts w:cs="Times New Roman"/>
        </w:rPr>
        <w:footnoteReference w:id="136"/>
      </w:r>
      <w:r w:rsidRPr="00AF5CA8">
        <w:rPr>
          <w:rFonts w:ascii="Times New Roman" w:hAnsi="Times New Roman" w:cs="Times New Roman"/>
        </w:rPr>
        <w:t xml:space="preserve">  I think my record shows my fervent support for the innovation and ingenuity of the unlicensed community.  And I support seeking additional comment on ways to strike a balance </w:t>
      </w:r>
      <w:r>
        <w:rPr>
          <w:rFonts w:ascii="Times New Roman" w:hAnsi="Times New Roman" w:cs="Times New Roman"/>
        </w:rPr>
        <w:t>among</w:t>
      </w:r>
      <w:r w:rsidRPr="00AF5CA8">
        <w:rPr>
          <w:rFonts w:ascii="Times New Roman" w:hAnsi="Times New Roman" w:cs="Times New Roman"/>
        </w:rPr>
        <w:t xml:space="preserve"> those secondary users seeking access to this valuable and limited resource.  I strongly oppose, however, asking questions in this Notice of Proposed Rulemaking</w:t>
      </w:r>
      <w:r>
        <w:rPr>
          <w:rFonts w:ascii="Times New Roman" w:hAnsi="Times New Roman" w:cs="Times New Roman"/>
        </w:rPr>
        <w:t xml:space="preserve"> (NPRM)</w:t>
      </w:r>
      <w:r w:rsidRPr="00AF5CA8">
        <w:rPr>
          <w:rFonts w:ascii="Times New Roman" w:hAnsi="Times New Roman" w:cs="Times New Roman"/>
        </w:rPr>
        <w:t xml:space="preserve"> that, if pursued, would absurdly restrict the future rights of full-power television stations – the primary users in the TV band – in order to ensure that secondary, unlicensed users have priority access to six megahertz of spectrum.  Doing so could put at risk all of the benefits that our nation’s broadcast stations bring to the American people.        </w:t>
      </w:r>
    </w:p>
    <w:p w14:paraId="7F3B809C" w14:textId="77777777" w:rsidR="00E37493" w:rsidRPr="00AF5CA8" w:rsidRDefault="00E37493" w:rsidP="00E37493">
      <w:pPr>
        <w:pStyle w:val="Body"/>
        <w:rPr>
          <w:rFonts w:ascii="Times New Roman" w:hAnsi="Times New Roman" w:cs="Times New Roman"/>
        </w:rPr>
      </w:pPr>
    </w:p>
    <w:p w14:paraId="28C1DF4E" w14:textId="77777777"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 xml:space="preserve">Specifically, the NPRM asks questions about whether full-power stations seeking modifications after the 39-month repacking period or new allotments should prove that their request would not eliminate the last vacant channel available to unlicensed users, referred to as the vacant channel demonstration. </w:t>
      </w:r>
      <w:r w:rsidR="00FE1A9C">
        <w:rPr>
          <w:rFonts w:ascii="Times New Roman" w:hAnsi="Times New Roman" w:cs="Times New Roman"/>
        </w:rPr>
        <w:t xml:space="preserve"> </w:t>
      </w:r>
      <w:r w:rsidRPr="00AF5CA8">
        <w:rPr>
          <w:rFonts w:ascii="Times New Roman" w:hAnsi="Times New Roman" w:cs="Times New Roman"/>
        </w:rPr>
        <w:t xml:space="preserve">If such rules were adopted, it is possible that, in spectrum constrained markets, broadcasters would not be able to make future modifications or seek new stations; effectively, making full power stations secondary to unlicensed in this six megahertz.  Are my colleagues really suggesting that future modifications or new full-power broadcast stations can be trumped by unlicensed services?    </w:t>
      </w:r>
    </w:p>
    <w:p w14:paraId="30A07CD8" w14:textId="77777777" w:rsidR="00E37493" w:rsidRPr="00AF5CA8" w:rsidRDefault="00E37493" w:rsidP="00E37493">
      <w:pPr>
        <w:pStyle w:val="Body"/>
        <w:rPr>
          <w:rFonts w:ascii="Times New Roman" w:hAnsi="Times New Roman" w:cs="Times New Roman"/>
        </w:rPr>
      </w:pPr>
    </w:p>
    <w:p w14:paraId="17E22537" w14:textId="77777777"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 xml:space="preserve">Simply put, secondary users should not have a superior claim over primary users for any spectrum in the TV band.  This is the TV band, after all.  The idea that we would even consider measures that could possibly freeze the broadcasting industry in place after the completion of the incentive auction is ludicrous.  To ask questions to this effect, even though some describe these as “neutral,” is like asking whether the Commission can ignore the U.S. Constitution (we cannot).  From my perspective, the Commission shouldn’t ask questions about things we are precluded from doing.           </w:t>
      </w:r>
    </w:p>
    <w:p w14:paraId="59BA720A" w14:textId="77777777" w:rsidR="00E37493" w:rsidRPr="00AF5CA8" w:rsidRDefault="00E37493" w:rsidP="00E37493">
      <w:pPr>
        <w:pStyle w:val="Body"/>
        <w:rPr>
          <w:rFonts w:ascii="Times New Roman" w:hAnsi="Times New Roman" w:cs="Times New Roman"/>
        </w:rPr>
      </w:pPr>
    </w:p>
    <w:p w14:paraId="60B5D946" w14:textId="77777777"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To rectify this, I requested that the NPRM contain additional tentative conclusions that full-power broadcasters would not have to make this vacant channel demonstration.</w:t>
      </w:r>
      <w:r w:rsidRPr="00AF5CA8">
        <w:rPr>
          <w:rStyle w:val="FootnoteReference"/>
          <w:rFonts w:cs="Times New Roman"/>
        </w:rPr>
        <w:footnoteReference w:id="137"/>
      </w:r>
      <w:r w:rsidRPr="00AF5CA8">
        <w:rPr>
          <w:rFonts w:ascii="Times New Roman" w:hAnsi="Times New Roman" w:cs="Times New Roman"/>
        </w:rPr>
        <w:t xml:space="preserve">  In fact, I would have preferred a clear, declaratory statement that </w:t>
      </w:r>
      <w:proofErr w:type="gramStart"/>
      <w:r w:rsidRPr="00AF5CA8">
        <w:rPr>
          <w:rFonts w:ascii="Times New Roman" w:hAnsi="Times New Roman" w:cs="Times New Roman"/>
        </w:rPr>
        <w:t>the rights of full power stations would not be affected by vacant channels</w:t>
      </w:r>
      <w:proofErr w:type="gramEnd"/>
      <w:r w:rsidRPr="00AF5CA8">
        <w:rPr>
          <w:rFonts w:ascii="Times New Roman" w:hAnsi="Times New Roman" w:cs="Times New Roman"/>
        </w:rPr>
        <w:t xml:space="preserve"> at all, but I thought seeking tentative conclusions </w:t>
      </w:r>
      <w:r>
        <w:rPr>
          <w:rFonts w:ascii="Times New Roman" w:hAnsi="Times New Roman" w:cs="Times New Roman"/>
        </w:rPr>
        <w:t>was</w:t>
      </w:r>
      <w:r w:rsidRPr="00AF5CA8">
        <w:rPr>
          <w:rFonts w:ascii="Times New Roman" w:hAnsi="Times New Roman" w:cs="Times New Roman"/>
        </w:rPr>
        <w:t xml:space="preserve"> a reasonable compromise and a commonsense request that would be accepted by my colleagues.  In fact, the Chairman has repeatedly stated that NPRMs should contain tentative conclusions so that licensees have a proposal with which they can agree or </w:t>
      </w:r>
      <w:r>
        <w:rPr>
          <w:rFonts w:ascii="Times New Roman" w:hAnsi="Times New Roman" w:cs="Times New Roman"/>
        </w:rPr>
        <w:t>not</w:t>
      </w:r>
      <w:r w:rsidRPr="00AF5CA8">
        <w:rPr>
          <w:rFonts w:ascii="Times New Roman" w:hAnsi="Times New Roman" w:cs="Times New Roman"/>
        </w:rPr>
        <w:t xml:space="preserve">.  But, although many seemed to agree with my views, these edits were shockingly rejected. </w:t>
      </w:r>
    </w:p>
    <w:p w14:paraId="3B5D44FF" w14:textId="77777777" w:rsidR="00E37493" w:rsidRPr="00AF5CA8" w:rsidRDefault="00E37493" w:rsidP="00E37493">
      <w:pPr>
        <w:pStyle w:val="Body"/>
        <w:rPr>
          <w:rFonts w:ascii="Times New Roman" w:hAnsi="Times New Roman" w:cs="Times New Roman"/>
        </w:rPr>
      </w:pPr>
    </w:p>
    <w:p w14:paraId="042CBA11" w14:textId="77777777"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Any requirement that primary, full-power stations would have to protect unlicensed users in the TV band is neither good policy nor consistent with the Spectrum Act</w:t>
      </w:r>
      <w:r>
        <w:rPr>
          <w:rStyle w:val="FootnoteReference"/>
          <w:rFonts w:cs="Times New Roman"/>
        </w:rPr>
        <w:footnoteReference w:id="138"/>
      </w:r>
      <w:r w:rsidRPr="00AF5CA8">
        <w:rPr>
          <w:rFonts w:ascii="Times New Roman" w:hAnsi="Times New Roman" w:cs="Times New Roman"/>
        </w:rPr>
        <w:t xml:space="preserve"> or the more encompassing Communications Act.  Nothing in the Spectrum Act authorizes the Commission to restrict the future rights or opportunities of full-power broadcast stations post Incentive Auction, nor is there language in the Spectrum Act providing the Commission with the authority to set aside spectrum in the TV band exclusively for unlicensed use.      </w:t>
      </w:r>
    </w:p>
    <w:p w14:paraId="42EABFF8" w14:textId="77777777" w:rsidR="00E37493" w:rsidRPr="00AF5CA8" w:rsidRDefault="00E37493" w:rsidP="00E37493">
      <w:pPr>
        <w:pStyle w:val="Body"/>
        <w:rPr>
          <w:rFonts w:ascii="Times New Roman" w:hAnsi="Times New Roman" w:cs="Times New Roman"/>
        </w:rPr>
      </w:pPr>
    </w:p>
    <w:p w14:paraId="42D363DC" w14:textId="77777777"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In fact, the Spectrum Act clearly states that the Commission has the authority to reorganize the broadcast TV band “[</w:t>
      </w:r>
      <w:proofErr w:type="gramStart"/>
      <w:r w:rsidRPr="00AF5CA8">
        <w:rPr>
          <w:rFonts w:ascii="Times New Roman" w:hAnsi="Times New Roman" w:cs="Times New Roman"/>
        </w:rPr>
        <w:t>f]or</w:t>
      </w:r>
      <w:proofErr w:type="gramEnd"/>
      <w:r w:rsidRPr="00AF5CA8">
        <w:rPr>
          <w:rFonts w:ascii="Times New Roman" w:hAnsi="Times New Roman" w:cs="Times New Roman"/>
        </w:rPr>
        <w:t xml:space="preserve"> purposes of making available spectrum to carry out the forward auction. . . .”</w:t>
      </w:r>
      <w:r>
        <w:rPr>
          <w:rStyle w:val="FootnoteReference"/>
          <w:rFonts w:cs="Times New Roman"/>
        </w:rPr>
        <w:footnoteReference w:id="139"/>
      </w:r>
      <w:r w:rsidRPr="00AF5CA8">
        <w:rPr>
          <w:rFonts w:ascii="Times New Roman" w:hAnsi="Times New Roman" w:cs="Times New Roman"/>
        </w:rPr>
        <w:t xml:space="preserve">  Congress gave the Commission authority to conduct an auction whereby broadcasters could voluntarily surrender their spectrum in return for proceeds from the forward auction, thus reallocating this spectrum for licensed wireless use, along with the ability to repack the remaining broadcasters.</w:t>
      </w:r>
      <w:r>
        <w:rPr>
          <w:rStyle w:val="FootnoteReference"/>
          <w:rFonts w:cs="Times New Roman"/>
        </w:rPr>
        <w:footnoteReference w:id="140"/>
      </w:r>
      <w:r w:rsidRPr="00AF5CA8">
        <w:rPr>
          <w:rFonts w:ascii="Times New Roman" w:hAnsi="Times New Roman" w:cs="Times New Roman"/>
        </w:rPr>
        <w:t xml:space="preserve">  If it was the will of Congress for the Commission to reorganize the band in a manner to reserve six megahertz of spectrum for a class of secondary users at the expense of full-power broadcast stations or to limit the future growth of the broadcast industry by restricting station modifications or the opportunity for new stations to enter the market, Congress would have expressed such a mandate.  Having worked on the statute during my time as a Congressional staffer, I can assure everyone that at no time was there such an agreement, and I am unaware of even </w:t>
      </w:r>
      <w:r>
        <w:rPr>
          <w:rFonts w:ascii="Times New Roman" w:hAnsi="Times New Roman" w:cs="Times New Roman"/>
        </w:rPr>
        <w:t>a</w:t>
      </w:r>
      <w:r w:rsidRPr="00AF5CA8">
        <w:rPr>
          <w:rFonts w:ascii="Times New Roman" w:hAnsi="Times New Roman" w:cs="Times New Roman"/>
        </w:rPr>
        <w:t xml:space="preserve"> hint or suggestion to do so.  Instead, the related conversations focused on the interactions between licensed wireless service and unlicensed service.    </w:t>
      </w:r>
    </w:p>
    <w:p w14:paraId="42AAD5CC" w14:textId="77777777" w:rsidR="00E37493" w:rsidRPr="00AF5CA8" w:rsidRDefault="00E37493" w:rsidP="00E37493">
      <w:pPr>
        <w:pStyle w:val="Body"/>
        <w:rPr>
          <w:rFonts w:ascii="Times New Roman" w:hAnsi="Times New Roman" w:cs="Times New Roman"/>
        </w:rPr>
      </w:pPr>
    </w:p>
    <w:p w14:paraId="2ED8DC03" w14:textId="77777777"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 xml:space="preserve">Finally, as I have stated in the past, in implementing the Spectrum Act and conducting the Incentive Auction, we need to treat all parties fairly.  This includes those broadcasters that decide not to participate in the auction and are repacked.  Instead of bringing broadcasters to the table, we keep considering actions that are likely to alienate them or, like the decision today, make it harder for the broadcast industry to compete and thrive in the modern marketplace.  Apparently, localism, diversity and media ownership are really important for some people, until they are not.  And all we are doing here is starting down a path towards statutory authority challenges and further litigation. </w:t>
      </w:r>
    </w:p>
    <w:p w14:paraId="507D1DF4" w14:textId="77777777" w:rsidR="00E37493" w:rsidRPr="00AF5CA8" w:rsidRDefault="00E37493" w:rsidP="00E37493">
      <w:pPr>
        <w:pStyle w:val="Body"/>
        <w:rPr>
          <w:rFonts w:ascii="Times New Roman" w:hAnsi="Times New Roman" w:cs="Times New Roman"/>
        </w:rPr>
      </w:pPr>
    </w:p>
    <w:p w14:paraId="6AF302B0" w14:textId="77777777" w:rsidR="00650588" w:rsidRPr="00B7142D" w:rsidRDefault="00650588" w:rsidP="00E37493">
      <w:pPr>
        <w:ind w:left="720"/>
      </w:pPr>
    </w:p>
    <w:sectPr w:rsidR="00650588" w:rsidRPr="00B7142D">
      <w:footnotePr>
        <w:numRestart w:val="eachSect"/>
      </w:footnotePr>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75460" w14:textId="77777777" w:rsidR="00706162" w:rsidRDefault="00706162">
      <w:pPr>
        <w:spacing w:line="20" w:lineRule="exact"/>
      </w:pPr>
    </w:p>
  </w:endnote>
  <w:endnote w:type="continuationSeparator" w:id="0">
    <w:p w14:paraId="48212CE1" w14:textId="77777777" w:rsidR="00706162" w:rsidRDefault="00706162">
      <w:r>
        <w:t xml:space="preserve"> </w:t>
      </w:r>
    </w:p>
  </w:endnote>
  <w:endnote w:type="continuationNotice" w:id="1">
    <w:p w14:paraId="5874546D" w14:textId="77777777" w:rsidR="00706162" w:rsidRDefault="007061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26398" w14:textId="77777777" w:rsidR="00706162" w:rsidRDefault="007061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65F08" w14:textId="77777777" w:rsidR="00706162" w:rsidRPr="000F736E" w:rsidRDefault="00706162" w:rsidP="00E37493">
    <w:pPr>
      <w:pStyle w:val="Footer"/>
      <w:framePr w:wrap="around" w:vAnchor="text" w:hAnchor="page" w:x="5941" w:y="136"/>
      <w:rPr>
        <w:rStyle w:val="PageNumber"/>
      </w:rPr>
    </w:pPr>
    <w:r w:rsidRPr="000F736E">
      <w:rPr>
        <w:rStyle w:val="PageNumber"/>
      </w:rPr>
      <w:fldChar w:fldCharType="begin"/>
    </w:r>
    <w:r w:rsidRPr="000F736E">
      <w:rPr>
        <w:rStyle w:val="PageNumber"/>
      </w:rPr>
      <w:instrText xml:space="preserve">PAGE  </w:instrText>
    </w:r>
    <w:r w:rsidRPr="000F736E">
      <w:rPr>
        <w:rStyle w:val="PageNumber"/>
      </w:rPr>
      <w:fldChar w:fldCharType="separate"/>
    </w:r>
    <w:r w:rsidR="004F73C9">
      <w:rPr>
        <w:rStyle w:val="PageNumber"/>
        <w:noProof/>
      </w:rPr>
      <w:t>22</w:t>
    </w:r>
    <w:r w:rsidRPr="000F736E">
      <w:rPr>
        <w:rStyle w:val="PageNumber"/>
      </w:rPr>
      <w:fldChar w:fldCharType="end"/>
    </w:r>
  </w:p>
  <w:p w14:paraId="6CF8BBE0" w14:textId="77777777" w:rsidR="00706162" w:rsidRPr="00E37493" w:rsidRDefault="00706162" w:rsidP="00A54A99">
    <w:pPr>
      <w:pStyle w:val="Footer"/>
      <w:rPr>
        <w:b/>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D70DD" w14:textId="77777777" w:rsidR="00706162" w:rsidRDefault="007061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B8E09" w14:textId="77777777" w:rsidR="00706162" w:rsidRDefault="00706162" w:rsidP="00851BA0">
      <w:pPr>
        <w:spacing w:after="120"/>
      </w:pPr>
      <w:r>
        <w:separator/>
      </w:r>
    </w:p>
  </w:footnote>
  <w:footnote w:type="continuationSeparator" w:id="0">
    <w:p w14:paraId="70131015" w14:textId="77777777" w:rsidR="00706162" w:rsidRDefault="00706162" w:rsidP="00851BA0">
      <w:r w:rsidRPr="00CA71CB">
        <w:separator/>
      </w:r>
    </w:p>
    <w:p w14:paraId="265CF5FC" w14:textId="77777777" w:rsidR="00706162" w:rsidRDefault="00706162" w:rsidP="00851BA0">
      <w:r w:rsidRPr="00851BA0">
        <w:t>(...</w:t>
      </w:r>
      <w:proofErr w:type="gramStart"/>
      <w:r w:rsidRPr="00851BA0">
        <w:t>continued</w:t>
      </w:r>
      <w:proofErr w:type="gramEnd"/>
      <w:r w:rsidRPr="00851BA0">
        <w:t xml:space="preserve"> from previous page)</w:t>
      </w:r>
    </w:p>
    <w:p w14:paraId="57557DDE" w14:textId="77777777" w:rsidR="00706162" w:rsidRPr="00851BA0" w:rsidRDefault="00706162" w:rsidP="00851BA0"/>
  </w:footnote>
  <w:footnote w:type="continuationNotice" w:id="1">
    <w:p w14:paraId="457A7B0E" w14:textId="77777777" w:rsidR="00706162" w:rsidRPr="00851BA0" w:rsidRDefault="00706162">
      <w:pPr>
        <w:ind w:left="720"/>
        <w:jc w:val="right"/>
      </w:pPr>
      <w:r w:rsidRPr="00851BA0">
        <w:t>(</w:t>
      </w:r>
      <w:proofErr w:type="gramStart"/>
      <w:r w:rsidRPr="00851BA0">
        <w:t>continued</w:t>
      </w:r>
      <w:proofErr w:type="gramEnd"/>
      <w:r w:rsidRPr="00851BA0">
        <w:t>….)</w:t>
      </w:r>
    </w:p>
  </w:footnote>
  <w:footnote w:id="2">
    <w:p w14:paraId="70A707AF" w14:textId="77777777" w:rsidR="00706162" w:rsidRPr="00F14118" w:rsidRDefault="00706162" w:rsidP="00F14118">
      <w:pPr>
        <w:pStyle w:val="FootnoteText"/>
      </w:pPr>
      <w:r w:rsidRPr="00FD503F">
        <w:rPr>
          <w:rStyle w:val="FootnoteReference"/>
        </w:rPr>
        <w:footnoteRef/>
      </w:r>
      <w:r w:rsidRPr="00F14118">
        <w:t xml:space="preserve"> </w:t>
      </w:r>
      <w:r w:rsidRPr="00F14118">
        <w:rPr>
          <w:i/>
        </w:rPr>
        <w:t xml:space="preserve">See </w:t>
      </w:r>
      <w:r>
        <w:rPr>
          <w:i/>
          <w:iCs/>
          <w:snapToGrid w:val="0"/>
        </w:rPr>
        <w:t>Expanding the Economic and Innovation Opportunities of</w:t>
      </w:r>
      <w:r>
        <w:rPr>
          <w:snapToGrid w:val="0"/>
        </w:rPr>
        <w:t xml:space="preserve"> </w:t>
      </w:r>
      <w:r>
        <w:rPr>
          <w:i/>
          <w:iCs/>
          <w:snapToGrid w:val="0"/>
        </w:rPr>
        <w:t>Spectrum Through Incentive Auctions</w:t>
      </w:r>
      <w:proofErr w:type="gramStart"/>
      <w:r>
        <w:rPr>
          <w:snapToGrid w:val="0"/>
        </w:rPr>
        <w:t>,  GN</w:t>
      </w:r>
      <w:proofErr w:type="gramEnd"/>
      <w:r>
        <w:rPr>
          <w:snapToGrid w:val="0"/>
        </w:rPr>
        <w:t xml:space="preserve"> Docket No. 12-268, Report and Order, 29 FCC </w:t>
      </w:r>
      <w:proofErr w:type="spellStart"/>
      <w:r>
        <w:rPr>
          <w:snapToGrid w:val="0"/>
        </w:rPr>
        <w:t>Rcd</w:t>
      </w:r>
      <w:proofErr w:type="spellEnd"/>
      <w:r>
        <w:rPr>
          <w:snapToGrid w:val="0"/>
        </w:rPr>
        <w:t xml:space="preserve"> 6567 (2014) (</w:t>
      </w:r>
      <w:r>
        <w:rPr>
          <w:i/>
          <w:iCs/>
          <w:snapToGrid w:val="0"/>
        </w:rPr>
        <w:t>Incentive Auction</w:t>
      </w:r>
      <w:r>
        <w:rPr>
          <w:snapToGrid w:val="0"/>
        </w:rPr>
        <w:t xml:space="preserve"> </w:t>
      </w:r>
      <w:r>
        <w:rPr>
          <w:i/>
          <w:iCs/>
          <w:snapToGrid w:val="0"/>
        </w:rPr>
        <w:t>Report and Order</w:t>
      </w:r>
      <w:r>
        <w:rPr>
          <w:snapToGrid w:val="0"/>
        </w:rPr>
        <w:t xml:space="preserve">), </w:t>
      </w:r>
      <w:r>
        <w:rPr>
          <w:i/>
          <w:iCs/>
          <w:snapToGrid w:val="0"/>
        </w:rPr>
        <w:t>affirmed,</w:t>
      </w:r>
      <w:r>
        <w:rPr>
          <w:snapToGrid w:val="0"/>
        </w:rPr>
        <w:t xml:space="preserve"> </w:t>
      </w:r>
      <w:r>
        <w:rPr>
          <w:i/>
          <w:iCs/>
          <w:snapToGrid w:val="0"/>
        </w:rPr>
        <w:t>National Association of Broadcasters v. FCC</w:t>
      </w:r>
      <w:r>
        <w:rPr>
          <w:snapToGrid w:val="0"/>
        </w:rPr>
        <w:t xml:space="preserve">, No. 14-1154 (D.C. Cir. </w:t>
      </w:r>
      <w:proofErr w:type="gramStart"/>
      <w:r>
        <w:rPr>
          <w:snapToGrid w:val="0"/>
        </w:rPr>
        <w:t>June 12, 2015)</w:t>
      </w:r>
      <w:r w:rsidRPr="00F14118">
        <w:t>, implementing the Middle Class Tax Relief and Job Creation Act of 2012, Pub.</w:t>
      </w:r>
      <w:proofErr w:type="gramEnd"/>
      <w:r w:rsidRPr="00F14118">
        <w:t xml:space="preserve"> L. No. 112-96, §§ 6402 (codified at 47 U.S.C. § 309(j)(8)(G)), 6403 (codified at 47 U.S.C. § 47 U.S.C. § 1452), 12</w:t>
      </w:r>
      <w:r>
        <w:t>6</w:t>
      </w:r>
      <w:r w:rsidRPr="00F14118">
        <w:t xml:space="preserve"> Stat. 156 (2012)</w:t>
      </w:r>
      <w:r>
        <w:t xml:space="preserve"> </w:t>
      </w:r>
      <w:r w:rsidRPr="00F14118">
        <w:t>(Spectrum Act).</w:t>
      </w:r>
    </w:p>
  </w:footnote>
  <w:footnote w:id="3">
    <w:p w14:paraId="52DECA9F" w14:textId="77777777" w:rsidR="00706162" w:rsidRPr="00F14118" w:rsidRDefault="00706162" w:rsidP="00F14118">
      <w:pPr>
        <w:pStyle w:val="FootnoteText"/>
      </w:pPr>
      <w:r w:rsidRPr="00F14118">
        <w:rPr>
          <w:rStyle w:val="FootnoteReference"/>
        </w:rPr>
        <w:footnoteRef/>
      </w:r>
      <w:r w:rsidRPr="00F14118">
        <w:t xml:space="preserve"> </w:t>
      </w:r>
      <w:r w:rsidRPr="00F14118">
        <w:rPr>
          <w:i/>
        </w:rPr>
        <w:t>Incentive Auction Report and Order</w:t>
      </w:r>
      <w:r w:rsidRPr="00F14118">
        <w:t xml:space="preserve">, 29 FCC </w:t>
      </w:r>
      <w:proofErr w:type="spellStart"/>
      <w:r w:rsidRPr="00F14118">
        <w:t>Rcd</w:t>
      </w:r>
      <w:proofErr w:type="spellEnd"/>
      <w:r w:rsidRPr="00F14118">
        <w:t xml:space="preserve"> at 6683-84, </w:t>
      </w:r>
      <w:proofErr w:type="spellStart"/>
      <w:r w:rsidRPr="00F14118">
        <w:t>para</w:t>
      </w:r>
      <w:proofErr w:type="spellEnd"/>
      <w:r w:rsidRPr="00F14118">
        <w:t xml:space="preserve">. </w:t>
      </w:r>
      <w:proofErr w:type="gramStart"/>
      <w:r w:rsidRPr="00F14118">
        <w:t xml:space="preserve">269 and 6701, </w:t>
      </w:r>
      <w:proofErr w:type="spellStart"/>
      <w:r w:rsidRPr="00F14118">
        <w:t>para</w:t>
      </w:r>
      <w:proofErr w:type="spellEnd"/>
      <w:r w:rsidRPr="00F14118">
        <w:t>.</w:t>
      </w:r>
      <w:proofErr w:type="gramEnd"/>
      <w:r w:rsidRPr="00F14118">
        <w:t xml:space="preserve"> 309. </w:t>
      </w:r>
      <w:r>
        <w:t xml:space="preserve"> The term “wireless microphones” refers to wireless microphones and other low power auxiliary stations licensed pursuant to Part 74, subpart H, and such similar devices authorized on an unlicensed basis pursuant to waiver, as discussed below.  “White space” devices refer to unlicensed devices operating on television channels pursuant to Part 15, </w:t>
      </w:r>
      <w:proofErr w:type="gramStart"/>
      <w:r>
        <w:t>subpart</w:t>
      </w:r>
      <w:proofErr w:type="gramEnd"/>
      <w:r>
        <w:t xml:space="preserve"> H, as discussed further below. </w:t>
      </w:r>
    </w:p>
  </w:footnote>
  <w:footnote w:id="4">
    <w:p w14:paraId="48100DF4"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i/>
        </w:rPr>
        <w:t>Id.</w:t>
      </w:r>
      <w:r w:rsidRPr="00F14118">
        <w:t xml:space="preserve"> at 6683-84, </w:t>
      </w:r>
      <w:proofErr w:type="spellStart"/>
      <w:r w:rsidRPr="00F14118">
        <w:t>para</w:t>
      </w:r>
      <w:proofErr w:type="spellEnd"/>
      <w:r w:rsidRPr="00F14118">
        <w:t>.</w:t>
      </w:r>
      <w:proofErr w:type="gramEnd"/>
      <w:r w:rsidRPr="00F14118">
        <w:t xml:space="preserve"> </w:t>
      </w:r>
      <w:proofErr w:type="gramStart"/>
      <w:r w:rsidRPr="00F14118">
        <w:t>269</w:t>
      </w:r>
      <w:r>
        <w:t xml:space="preserve">, 6701, </w:t>
      </w:r>
      <w:proofErr w:type="spellStart"/>
      <w:r>
        <w:t>para</w:t>
      </w:r>
      <w:proofErr w:type="spellEnd"/>
      <w:r>
        <w:t>.</w:t>
      </w:r>
      <w:proofErr w:type="gramEnd"/>
      <w:r>
        <w:t xml:space="preserve"> 309</w:t>
      </w:r>
      <w:r w:rsidRPr="00F14118">
        <w:t xml:space="preserve">. </w:t>
      </w:r>
    </w:p>
  </w:footnote>
  <w:footnote w:id="5">
    <w:p w14:paraId="2AF41B77" w14:textId="77777777" w:rsidR="00706162" w:rsidRDefault="00706162">
      <w:pPr>
        <w:pStyle w:val="FootnoteText"/>
      </w:pPr>
      <w:r>
        <w:rPr>
          <w:rStyle w:val="FootnoteReference"/>
        </w:rPr>
        <w:footnoteRef/>
      </w:r>
      <w:r>
        <w:t xml:space="preserve"> </w:t>
      </w:r>
      <w:r w:rsidRPr="00B618DA">
        <w:t xml:space="preserve">As noted below, vacant channels cannot be assigned to a full power television station in the repacking process when separation between television stations is necessary to avoid interference between primary broadcast stations in the final channel assignment process. </w:t>
      </w:r>
      <w:r w:rsidRPr="00BB4AF1">
        <w:rPr>
          <w:i/>
        </w:rPr>
        <w:t>See</w:t>
      </w:r>
      <w:r w:rsidRPr="00B618DA">
        <w:t xml:space="preserve"> </w:t>
      </w:r>
      <w:proofErr w:type="spellStart"/>
      <w:r w:rsidRPr="00B618DA">
        <w:t>para</w:t>
      </w:r>
      <w:proofErr w:type="spellEnd"/>
      <w:r w:rsidRPr="00B618DA">
        <w:t xml:space="preserve"> 8, </w:t>
      </w:r>
      <w:r w:rsidRPr="00BB4AF1">
        <w:rPr>
          <w:i/>
        </w:rPr>
        <w:t>infra</w:t>
      </w:r>
      <w:r w:rsidRPr="00B618DA">
        <w:t>.</w:t>
      </w:r>
    </w:p>
  </w:footnote>
  <w:footnote w:id="6">
    <w:p w14:paraId="71CE6531" w14:textId="77777777" w:rsidR="00706162" w:rsidRPr="00F14118" w:rsidRDefault="00706162">
      <w:pPr>
        <w:pStyle w:val="FootnoteText"/>
      </w:pPr>
      <w:r w:rsidRPr="00F14118">
        <w:rPr>
          <w:rStyle w:val="FootnoteReference"/>
        </w:rPr>
        <w:footnoteRef/>
      </w:r>
      <w:r w:rsidRPr="00F14118">
        <w:t xml:space="preserve"> </w:t>
      </w:r>
      <w:r w:rsidRPr="00F14118">
        <w:rPr>
          <w:i/>
        </w:rPr>
        <w:t>See</w:t>
      </w:r>
      <w:r w:rsidRPr="00F14118">
        <w:t xml:space="preserve"> 47 C.F.R. § 27.4 (defining the Post-Auction Transition Period as the 39-month period </w:t>
      </w:r>
      <w:r w:rsidRPr="00F14118">
        <w:rPr>
          <w:rFonts w:eastAsia="TimesNewRoman"/>
          <w:color w:val="010101"/>
        </w:rPr>
        <w:t xml:space="preserve">commencing upon the public release of the </w:t>
      </w:r>
      <w:r w:rsidRPr="00E37493">
        <w:rPr>
          <w:rFonts w:eastAsia="TimesNewRoman"/>
          <w:i/>
          <w:color w:val="010101"/>
        </w:rPr>
        <w:t>Channel Reassignment Public Notice</w:t>
      </w:r>
      <w:r w:rsidRPr="00F14118">
        <w:rPr>
          <w:rFonts w:eastAsia="TimesNewRoman"/>
          <w:color w:val="010101"/>
        </w:rPr>
        <w:t>); 47 C.F.R. § 73.3700(a)(2) (defining the</w:t>
      </w:r>
      <w:r w:rsidRPr="00F14118">
        <w:t xml:space="preserve"> </w:t>
      </w:r>
      <w:r w:rsidRPr="00E37493">
        <w:rPr>
          <w:i/>
        </w:rPr>
        <w:t>Channel Reassignment Public Notice</w:t>
      </w:r>
      <w:r w:rsidRPr="00F14118">
        <w:t xml:space="preserve"> as the public notice to be released upon the completion of the </w:t>
      </w:r>
      <w:r w:rsidRPr="00F14118">
        <w:rPr>
          <w:iCs/>
        </w:rPr>
        <w:t xml:space="preserve">broadcast television spectrum incentive auction </w:t>
      </w:r>
      <w:r w:rsidRPr="00F14118">
        <w:t>specifying the new channel assignments and technical parameters of any broadcast television stations that are reassigned to new channels).</w:t>
      </w:r>
    </w:p>
  </w:footnote>
  <w:footnote w:id="7">
    <w:p w14:paraId="160CF526" w14:textId="77777777" w:rsidR="00706162" w:rsidRPr="00F14118" w:rsidRDefault="00706162">
      <w:pPr>
        <w:pStyle w:val="FootnoteText"/>
      </w:pPr>
      <w:r w:rsidRPr="00F14118">
        <w:rPr>
          <w:rStyle w:val="FootnoteReference"/>
        </w:rPr>
        <w:footnoteRef/>
      </w:r>
      <w:r w:rsidRPr="00F14118">
        <w:t xml:space="preserve"> </w:t>
      </w:r>
      <w:r w:rsidRPr="00F14118">
        <w:rPr>
          <w:i/>
        </w:rPr>
        <w:t xml:space="preserve">See </w:t>
      </w:r>
      <w:r w:rsidRPr="00F14118">
        <w:t xml:space="preserve">47 C.F.R. §§ 2.106 (Table of Frequency Allocations), 73.601 </w:t>
      </w:r>
      <w:proofErr w:type="gramStart"/>
      <w:r w:rsidRPr="00F14118">
        <w:rPr>
          <w:i/>
        </w:rPr>
        <w:t>et</w:t>
      </w:r>
      <w:proofErr w:type="gramEnd"/>
      <w:r w:rsidRPr="00F14118">
        <w:rPr>
          <w:i/>
        </w:rPr>
        <w:t xml:space="preserve"> seq</w:t>
      </w:r>
      <w:r w:rsidRPr="00F14118">
        <w:t>.</w:t>
      </w:r>
    </w:p>
  </w:footnote>
  <w:footnote w:id="8">
    <w:p w14:paraId="0A257F76" w14:textId="77777777" w:rsidR="00706162" w:rsidRPr="00CA4862" w:rsidRDefault="00706162" w:rsidP="002D6EDD">
      <w:pPr>
        <w:pStyle w:val="FootnoteText"/>
      </w:pPr>
      <w:r w:rsidRPr="00F14118">
        <w:rPr>
          <w:rStyle w:val="FootnoteReference"/>
        </w:rPr>
        <w:footnoteRef/>
      </w:r>
      <w:r w:rsidRPr="00B7142D">
        <w:t xml:space="preserve"> </w:t>
      </w:r>
      <w:r w:rsidRPr="00CA4862">
        <w:rPr>
          <w:i/>
        </w:rPr>
        <w:t xml:space="preserve">See </w:t>
      </w:r>
      <w:r w:rsidRPr="00CA4862">
        <w:t xml:space="preserve">47 C.F.R. § 74.702(b) (LPTV may not interfere with and must accept interference from all primary services). </w:t>
      </w:r>
    </w:p>
  </w:footnote>
  <w:footnote w:id="9">
    <w:p w14:paraId="5B977E60" w14:textId="77777777" w:rsidR="00706162" w:rsidRPr="00FD503F" w:rsidRDefault="00706162" w:rsidP="00F14118">
      <w:pPr>
        <w:pStyle w:val="FootnoteText"/>
        <w:spacing w:before="120"/>
      </w:pPr>
      <w:r w:rsidRPr="00FD503F">
        <w:rPr>
          <w:rStyle w:val="FootnoteReference"/>
        </w:rPr>
        <w:footnoteRef/>
      </w:r>
      <w:r w:rsidRPr="00F14118">
        <w:t xml:space="preserve"> </w:t>
      </w:r>
      <w:r w:rsidRPr="00F14118">
        <w:rPr>
          <w:i/>
        </w:rPr>
        <w:t xml:space="preserve">See </w:t>
      </w:r>
      <w:proofErr w:type="gramStart"/>
      <w:r w:rsidRPr="00F14118">
        <w:rPr>
          <w:i/>
        </w:rPr>
        <w:t xml:space="preserve">generally </w:t>
      </w:r>
      <w:r w:rsidRPr="00F14118">
        <w:t xml:space="preserve">47 C.F.R. §§ 74.600 </w:t>
      </w:r>
      <w:r w:rsidRPr="00F14118">
        <w:rPr>
          <w:i/>
        </w:rPr>
        <w:t>et seq.</w:t>
      </w:r>
      <w:proofErr w:type="gramEnd"/>
      <w:r w:rsidRPr="00F14118">
        <w:rPr>
          <w:i/>
        </w:rPr>
        <w:t xml:space="preserve"> </w:t>
      </w:r>
      <w:r w:rsidRPr="00F14118">
        <w:t xml:space="preserve">(Subpart F – Television Broadcast Auxiliary Stations).  Specifically, § 74.602(h) permits TV studio transmitter links (STLs), TV relay stations, and TV translator relay stations to operate fixed point-to-point service.  Only licensees of a TV broadcast station, a Class A TV station, a TV broadcast network entity, a low power TV station, or a TV translator station may hold fixed BAS licenses on </w:t>
      </w:r>
      <w:r>
        <w:t>c</w:t>
      </w:r>
      <w:r w:rsidRPr="00F14118">
        <w:t xml:space="preserve">hannels 14-51.  </w:t>
      </w:r>
      <w:r w:rsidRPr="00F14118">
        <w:rPr>
          <w:i/>
        </w:rPr>
        <w:t>See</w:t>
      </w:r>
      <w:r w:rsidRPr="00F14118">
        <w:t xml:space="preserve"> 47 C.F.R. §§ 7</w:t>
      </w:r>
      <w:r w:rsidRPr="00FD503F">
        <w:t xml:space="preserve">4.600, 74.632(a).  </w:t>
      </w:r>
    </w:p>
  </w:footnote>
  <w:footnote w:id="10">
    <w:p w14:paraId="5DD7FEAB" w14:textId="77777777" w:rsidR="00706162" w:rsidRPr="00FD503F" w:rsidRDefault="00706162">
      <w:pPr>
        <w:pStyle w:val="FootnoteText"/>
      </w:pPr>
      <w:r w:rsidRPr="00F14118">
        <w:rPr>
          <w:rStyle w:val="FootnoteReference"/>
        </w:rPr>
        <w:footnoteRef/>
      </w:r>
      <w:r w:rsidRPr="00F14118">
        <w:t xml:space="preserve"> </w:t>
      </w:r>
      <w:r>
        <w:t xml:space="preserve">Licensed wireless microphones operate pursuant to the rules for “low power auxiliary stations” set forth in Part 74, subpart H.  </w:t>
      </w:r>
      <w:r>
        <w:rPr>
          <w:i/>
        </w:rPr>
        <w:t xml:space="preserve">See </w:t>
      </w:r>
      <w:r>
        <w:t xml:space="preserve">47 C.F.R. §§ 74.801 </w:t>
      </w:r>
      <w:proofErr w:type="gramStart"/>
      <w:r>
        <w:rPr>
          <w:i/>
        </w:rPr>
        <w:t>et</w:t>
      </w:r>
      <w:proofErr w:type="gramEnd"/>
      <w:r>
        <w:rPr>
          <w:i/>
        </w:rPr>
        <w:t xml:space="preserve"> seq.  </w:t>
      </w:r>
      <w:r w:rsidRPr="00FD503F">
        <w:t xml:space="preserve">On certain channels in particular areas of the country, non-broadcast services are licensed </w:t>
      </w:r>
      <w:r w:rsidRPr="00344AA9">
        <w:t>on a primary basis</w:t>
      </w:r>
      <w:r>
        <w:t xml:space="preserve"> </w:t>
      </w:r>
      <w:r w:rsidRPr="00FD503F">
        <w:t>to use some of</w:t>
      </w:r>
      <w:r>
        <w:t xml:space="preserve"> the</w:t>
      </w:r>
      <w:r w:rsidRPr="00FD503F">
        <w:t xml:space="preserve"> spectrum</w:t>
      </w:r>
      <w:r>
        <w:t xml:space="preserve"> in the UHF band</w:t>
      </w:r>
      <w:r w:rsidRPr="00FD503F">
        <w:t xml:space="preserve">.  Specifically, in </w:t>
      </w:r>
      <w:r>
        <w:t>11</w:t>
      </w:r>
      <w:r w:rsidRPr="00FD503F">
        <w:t xml:space="preserve"> metropolitan areas, </w:t>
      </w:r>
      <w:proofErr w:type="gramStart"/>
      <w:r w:rsidRPr="00FD503F">
        <w:t xml:space="preserve">one to three channels in the range of </w:t>
      </w:r>
      <w:r>
        <w:t>C</w:t>
      </w:r>
      <w:r w:rsidRPr="00FD503F">
        <w:t>hannels 14-20 are used by licensees in the Private Land Mobile Radio Service (PLMRS) and the Commercial Mobile Radio Service (CMRS)</w:t>
      </w:r>
      <w:proofErr w:type="gramEnd"/>
      <w:r w:rsidRPr="00FD503F">
        <w:t xml:space="preserve">, and the Offshore Radiotelephone Service uses </w:t>
      </w:r>
      <w:r>
        <w:t>C</w:t>
      </w:r>
      <w:r w:rsidRPr="00FD503F">
        <w:t xml:space="preserve">hannels 15-17 in certain regions along the Gulf of Mexico.  </w:t>
      </w:r>
      <w:r w:rsidRPr="00FD503F">
        <w:rPr>
          <w:i/>
        </w:rPr>
        <w:t>See</w:t>
      </w:r>
      <w:r w:rsidRPr="00FD503F">
        <w:t xml:space="preserve"> 47 C.F.R. Part 90 Subpart L, Part 22 Subpart E, § 2.106 </w:t>
      </w:r>
      <w:proofErr w:type="gramStart"/>
      <w:r w:rsidRPr="00FD503F">
        <w:t>NG66(</w:t>
      </w:r>
      <w:proofErr w:type="gramEnd"/>
      <w:r w:rsidRPr="00FD503F">
        <w:t>b) and § 22.1007.</w:t>
      </w:r>
      <w:r>
        <w:t xml:space="preserve">  Because of how these services are licensed (</w:t>
      </w:r>
      <w:r w:rsidRPr="00E37493">
        <w:t>e.g</w:t>
      </w:r>
      <w:r w:rsidRPr="00005E93">
        <w:t>.</w:t>
      </w:r>
      <w:r>
        <w:t xml:space="preserve"> limited to operations within 80 km of the city center), the rules currently prohibit unlicensed devices from accessing this spectrum.  </w:t>
      </w:r>
      <w:r>
        <w:rPr>
          <w:i/>
        </w:rPr>
        <w:t xml:space="preserve">See </w:t>
      </w:r>
      <w:r>
        <w:t>47 C.F.R. § 15.712 (d) and (e). Thus, on the frequencies used by these services, there are no vacant channels to preserve in these areas.  The rules in this proceeding would not apply to these non-broadcast licensees.</w:t>
      </w:r>
    </w:p>
  </w:footnote>
  <w:footnote w:id="11">
    <w:p w14:paraId="4251BF23" w14:textId="77777777" w:rsidR="00706162" w:rsidRPr="00F14118" w:rsidRDefault="00706162" w:rsidP="00D675B7">
      <w:pPr>
        <w:pStyle w:val="FootnoteText"/>
      </w:pPr>
      <w:r w:rsidRPr="00F14118">
        <w:rPr>
          <w:rStyle w:val="FootnoteReference"/>
        </w:rPr>
        <w:footnoteRef/>
      </w:r>
      <w:r w:rsidRPr="00F14118">
        <w:t xml:space="preserve"> </w:t>
      </w:r>
      <w:r w:rsidRPr="00F14118">
        <w:rPr>
          <w:i/>
        </w:rPr>
        <w:t xml:space="preserve">See </w:t>
      </w:r>
      <w:r w:rsidRPr="00F14118">
        <w:t xml:space="preserve">47 C.F.R. </w:t>
      </w:r>
      <w:proofErr w:type="gramStart"/>
      <w:r w:rsidRPr="00F14118">
        <w:t>Part</w:t>
      </w:r>
      <w:proofErr w:type="gramEnd"/>
      <w:r w:rsidRPr="00F14118">
        <w:t xml:space="preserve"> 15, Subpart H.</w:t>
      </w:r>
    </w:p>
  </w:footnote>
  <w:footnote w:id="12">
    <w:p w14:paraId="551E7376" w14:textId="77777777" w:rsidR="00706162" w:rsidRPr="00FD503F" w:rsidRDefault="00706162">
      <w:pPr>
        <w:pStyle w:val="FootnoteText"/>
      </w:pPr>
      <w:r w:rsidRPr="00F14118">
        <w:rPr>
          <w:rStyle w:val="FootnoteReference"/>
        </w:rPr>
        <w:footnoteRef/>
      </w:r>
      <w:r w:rsidRPr="00F14118">
        <w:t xml:space="preserve"> </w:t>
      </w:r>
      <w:r w:rsidRPr="00F14118">
        <w:rPr>
          <w:i/>
        </w:rPr>
        <w:t>See generally In the Matter of Revisions to Rules Authorizing the Operation of Low Power Auxiliary Stations in the 698-806 MHz Band; Public Interest Spectrum Coalition, Petition for Rulemaking Regarding Low Power Auxiliary Stations, Including Wireless Microphones, and the Digital Television Transition; Amendment of Parts 15, 74, and 90 of the Commission’s Rules Regarding Low Power Auxiliary Stations, Including Wireless Microphones</w:t>
      </w:r>
      <w:r w:rsidRPr="00F14118">
        <w:t xml:space="preserve">, WT Docket Nos. 08-166 and 08-167, ET Docket No. 10-24, Report and Order and Further Notice of Proposed Rulemaking, 25 FCC </w:t>
      </w:r>
      <w:proofErr w:type="spellStart"/>
      <w:r w:rsidRPr="00F14118">
        <w:t>Rcd</w:t>
      </w:r>
      <w:proofErr w:type="spellEnd"/>
      <w:r w:rsidRPr="00F14118">
        <w:t xml:space="preserve"> 643, 676-87, </w:t>
      </w:r>
      <w:proofErr w:type="spellStart"/>
      <w:r w:rsidRPr="00F14118">
        <w:t>paras</w:t>
      </w:r>
      <w:proofErr w:type="spellEnd"/>
      <w:r w:rsidRPr="00F14118">
        <w:t xml:space="preserve">. </w:t>
      </w:r>
      <w:proofErr w:type="gramStart"/>
      <w:r w:rsidRPr="00F14118">
        <w:t>71-90 (2010) (</w:t>
      </w:r>
      <w:r w:rsidRPr="00F14118">
        <w:rPr>
          <w:i/>
        </w:rPr>
        <w:t>TV Bands Wireless Microphones R&amp;O and Further Notice</w:t>
      </w:r>
      <w:r w:rsidRPr="00FD503F">
        <w:t>).</w:t>
      </w:r>
      <w:proofErr w:type="gramEnd"/>
      <w:r w:rsidRPr="00FD503F">
        <w:t xml:space="preserve"> </w:t>
      </w:r>
    </w:p>
  </w:footnote>
  <w:footnote w:id="13">
    <w:p w14:paraId="0C40563A" w14:textId="77777777" w:rsidR="00706162" w:rsidRPr="00FD503F" w:rsidRDefault="00706162">
      <w:pPr>
        <w:pStyle w:val="FootnoteText"/>
      </w:pPr>
      <w:r w:rsidRPr="00F14118">
        <w:rPr>
          <w:rStyle w:val="FootnoteReference"/>
        </w:rPr>
        <w:footnoteRef/>
      </w:r>
      <w:r w:rsidRPr="00F14118">
        <w:t xml:space="preserve"> Unlicensed wireless microphones operate pursuant to a 2010 waiver.  </w:t>
      </w:r>
      <w:r w:rsidRPr="00F14118">
        <w:rPr>
          <w:i/>
        </w:rPr>
        <w:t>See generally</w:t>
      </w:r>
      <w:r w:rsidRPr="00F14118">
        <w:t xml:space="preserve"> </w:t>
      </w:r>
      <w:r w:rsidRPr="00F14118">
        <w:rPr>
          <w:i/>
        </w:rPr>
        <w:t>TV Bands Wireless Microphones R&amp;O and Further Notice</w:t>
      </w:r>
      <w:r w:rsidRPr="00F14118">
        <w:t xml:space="preserve">, 25 FCC </w:t>
      </w:r>
      <w:proofErr w:type="spellStart"/>
      <w:r w:rsidRPr="00F14118">
        <w:t>Rcd</w:t>
      </w:r>
      <w:proofErr w:type="spellEnd"/>
      <w:r w:rsidRPr="00F14118">
        <w:t xml:space="preserve"> at 676-87, </w:t>
      </w:r>
      <w:proofErr w:type="spellStart"/>
      <w:r w:rsidRPr="00F14118">
        <w:t>paras</w:t>
      </w:r>
      <w:proofErr w:type="spellEnd"/>
      <w:r w:rsidRPr="00F14118">
        <w:t xml:space="preserve">. 71-90.  Unlicensed white space devices operate under Part 15, Subpart H.  </w:t>
      </w:r>
      <w:r w:rsidRPr="00F14118">
        <w:rPr>
          <w:i/>
        </w:rPr>
        <w:t xml:space="preserve">See </w:t>
      </w:r>
      <w:r w:rsidRPr="00FD503F">
        <w:t xml:space="preserve">47 C.F.R. §§ 15.701 </w:t>
      </w:r>
      <w:proofErr w:type="gramStart"/>
      <w:r w:rsidRPr="00FD503F">
        <w:rPr>
          <w:i/>
        </w:rPr>
        <w:t>et</w:t>
      </w:r>
      <w:proofErr w:type="gramEnd"/>
      <w:r w:rsidRPr="00FD503F">
        <w:rPr>
          <w:i/>
        </w:rPr>
        <w:t xml:space="preserve"> seq.</w:t>
      </w:r>
    </w:p>
  </w:footnote>
  <w:footnote w:id="14">
    <w:p w14:paraId="1B38B92D" w14:textId="77777777" w:rsidR="00706162" w:rsidRPr="00FD503F" w:rsidRDefault="00706162">
      <w:pPr>
        <w:pStyle w:val="FootnoteText"/>
      </w:pPr>
      <w:r w:rsidRPr="00F14118">
        <w:rPr>
          <w:rStyle w:val="FootnoteReference"/>
        </w:rPr>
        <w:footnoteRef/>
      </w:r>
      <w:r w:rsidRPr="00F14118">
        <w:t xml:space="preserve"> The incentive auction will have three major pieces:  (1) a “reverse auction,” whereby full power and Class A television stations may opt to relinquish some or all of their spectrum usage rights in exchange for incentive payments; (2) a reorganization or “repacking” of the broadcast television bands in order to free up a portion of the UHF television band for new flexible uses; and (3) a “forward auction” of initial licenses for flexible use of the newly available spectrum.  </w:t>
      </w:r>
      <w:proofErr w:type="gramStart"/>
      <w:r w:rsidRPr="00F14118">
        <w:rPr>
          <w:i/>
        </w:rPr>
        <w:t>See Incentive Auction Report and Order</w:t>
      </w:r>
      <w:r w:rsidRPr="00F14118">
        <w:t xml:space="preserve">, 29 FCC </w:t>
      </w:r>
      <w:proofErr w:type="spellStart"/>
      <w:r w:rsidRPr="00F14118">
        <w:t>Rcd</w:t>
      </w:r>
      <w:proofErr w:type="spellEnd"/>
      <w:r w:rsidRPr="00F14118">
        <w:t xml:space="preserve"> at §§ IV.B (Reverse Auction), IV.C (Forward Auction) and III.B (Repacking the Broadcast Television Bands).</w:t>
      </w:r>
      <w:proofErr w:type="gramEnd"/>
    </w:p>
  </w:footnote>
  <w:footnote w:id="15">
    <w:p w14:paraId="6A24BF79" w14:textId="77777777" w:rsidR="00706162" w:rsidRPr="00B7142D" w:rsidRDefault="00706162">
      <w:pPr>
        <w:pStyle w:val="FootnoteText"/>
      </w:pPr>
      <w:r w:rsidRPr="00F14118">
        <w:rPr>
          <w:rStyle w:val="FootnoteReference"/>
        </w:rPr>
        <w:footnoteRef/>
      </w:r>
      <w:r w:rsidRPr="00F14118">
        <w:t xml:space="preserve"> </w:t>
      </w:r>
      <w:r w:rsidRPr="00F14118">
        <w:rPr>
          <w:i/>
        </w:rPr>
        <w:t xml:space="preserve">See generally Incentive Auction Report and Order. </w:t>
      </w:r>
      <w:r w:rsidRPr="00F14118">
        <w:t xml:space="preserve">29 FCC </w:t>
      </w:r>
      <w:proofErr w:type="spellStart"/>
      <w:r w:rsidRPr="00F14118">
        <w:t>Rcd</w:t>
      </w:r>
      <w:proofErr w:type="spellEnd"/>
      <w:r w:rsidRPr="00F14118">
        <w:t xml:space="preserve"> at §§ III.B (full power</w:t>
      </w:r>
      <w:r w:rsidRPr="00FD503F">
        <w:t xml:space="preserve">, Class A, LPTV and TV translator stations); III.C (unlicensed </w:t>
      </w:r>
      <w:r>
        <w:t xml:space="preserve">“white space” device </w:t>
      </w:r>
      <w:r w:rsidRPr="00FD503F">
        <w:t xml:space="preserve">operations); and III.D (other </w:t>
      </w:r>
      <w:r>
        <w:t>operations, including BAS and wireless microphones</w:t>
      </w:r>
      <w:r w:rsidRPr="00FD503F">
        <w:t>).</w:t>
      </w:r>
    </w:p>
  </w:footnote>
  <w:footnote w:id="16">
    <w:p w14:paraId="1ED273C7" w14:textId="77777777" w:rsidR="00706162" w:rsidRPr="00FD503F" w:rsidRDefault="00706162">
      <w:pPr>
        <w:pStyle w:val="FootnoteText"/>
      </w:pPr>
      <w:r w:rsidRPr="00FD503F">
        <w:rPr>
          <w:rStyle w:val="FootnoteReference"/>
        </w:rPr>
        <w:footnoteRef/>
      </w:r>
      <w:r w:rsidRPr="00F14118">
        <w:t xml:space="preserve"> </w:t>
      </w:r>
      <w:proofErr w:type="gramStart"/>
      <w:r w:rsidRPr="00F14118">
        <w:rPr>
          <w:i/>
        </w:rPr>
        <w:t>Id.</w:t>
      </w:r>
      <w:r w:rsidRPr="00F14118">
        <w:t xml:space="preserve"> </w:t>
      </w:r>
      <w:r>
        <w:t>at §§ III.B-D.</w:t>
      </w:r>
      <w:proofErr w:type="gramEnd"/>
      <w:r w:rsidRPr="00FD503F">
        <w:rPr>
          <w:i/>
        </w:rPr>
        <w:t xml:space="preserve"> </w:t>
      </w:r>
      <w:r w:rsidRPr="00FD503F">
        <w:t xml:space="preserve"> </w:t>
      </w:r>
    </w:p>
  </w:footnote>
  <w:footnote w:id="17">
    <w:p w14:paraId="0AB06593" w14:textId="77777777" w:rsidR="00706162" w:rsidRPr="00FD503F" w:rsidRDefault="00706162">
      <w:pPr>
        <w:pStyle w:val="FootnoteText"/>
      </w:pPr>
      <w:r w:rsidRPr="00F14118">
        <w:rPr>
          <w:rStyle w:val="FootnoteReference"/>
        </w:rPr>
        <w:footnoteRef/>
      </w:r>
      <w:r w:rsidRPr="00F14118">
        <w:t xml:space="preserve"> </w:t>
      </w:r>
      <w:r w:rsidRPr="00F14118">
        <w:rPr>
          <w:i/>
        </w:rPr>
        <w:t>See generally Incentive Auction Report and Order</w:t>
      </w:r>
      <w:r w:rsidRPr="00F14118">
        <w:t xml:space="preserve">, 29 FCC </w:t>
      </w:r>
      <w:proofErr w:type="spellStart"/>
      <w:r w:rsidRPr="00F14118">
        <w:t>Rcd</w:t>
      </w:r>
      <w:proofErr w:type="spellEnd"/>
      <w:r w:rsidRPr="00F14118">
        <w:t xml:space="preserve"> at 6681-88, </w:t>
      </w:r>
      <w:proofErr w:type="spellStart"/>
      <w:r w:rsidRPr="00F14118">
        <w:t>paras</w:t>
      </w:r>
      <w:proofErr w:type="spellEnd"/>
      <w:r w:rsidRPr="00F14118">
        <w:t xml:space="preserve">. </w:t>
      </w:r>
      <w:proofErr w:type="gramStart"/>
      <w:r w:rsidRPr="00F14118">
        <w:t xml:space="preserve">258-277, 6697-6702, </w:t>
      </w:r>
      <w:proofErr w:type="spellStart"/>
      <w:r w:rsidRPr="00F14118">
        <w:t>paras</w:t>
      </w:r>
      <w:proofErr w:type="spellEnd"/>
      <w:r w:rsidRPr="00F14118">
        <w:t>.</w:t>
      </w:r>
      <w:proofErr w:type="gramEnd"/>
      <w:r w:rsidRPr="00F14118">
        <w:t xml:space="preserve"> </w:t>
      </w:r>
      <w:proofErr w:type="gramStart"/>
      <w:r w:rsidRPr="00F14118">
        <w:t xml:space="preserve">299-311 and 6842-47, </w:t>
      </w:r>
      <w:proofErr w:type="spellStart"/>
      <w:r w:rsidRPr="00F14118">
        <w:t>paras</w:t>
      </w:r>
      <w:proofErr w:type="spellEnd"/>
      <w:r w:rsidRPr="00F14118">
        <w:t>.</w:t>
      </w:r>
      <w:proofErr w:type="gramEnd"/>
      <w:r w:rsidRPr="00F14118">
        <w:t xml:space="preserve"> 677-68.  In September 2014, the Commission initiated two new proceedings related to the incentive auction and its impact on wireless microphones and unlicensed devices.  One </w:t>
      </w:r>
      <w:r>
        <w:t>proceeding addresses</w:t>
      </w:r>
      <w:r w:rsidRPr="00F14118">
        <w:t xml:space="preserve"> possible additional steps to accommodate wireless microphone operations in various frequency bands, including the broadcast television bands.  </w:t>
      </w:r>
      <w:r w:rsidRPr="00F14118">
        <w:rPr>
          <w:i/>
        </w:rPr>
        <w:t xml:space="preserve">See generally Promoting Spectrum Access for Wireless </w:t>
      </w:r>
      <w:r w:rsidRPr="00FD503F">
        <w:rPr>
          <w:i/>
        </w:rPr>
        <w:t>Microphone Operations; Expanding the Economic and Innovation Opportunities of Spectrum Through Incentive Auctions</w:t>
      </w:r>
      <w:r w:rsidRPr="00FD503F">
        <w:t xml:space="preserve">, Notice of Proposed Rulemaking, </w:t>
      </w:r>
      <w:r>
        <w:t xml:space="preserve">29 FCC </w:t>
      </w:r>
      <w:proofErr w:type="spellStart"/>
      <w:r>
        <w:t>Rcd</w:t>
      </w:r>
      <w:proofErr w:type="spellEnd"/>
      <w:r>
        <w:t xml:space="preserve"> 12343 (</w:t>
      </w:r>
      <w:r w:rsidRPr="00FD503F">
        <w:t>2014)(“</w:t>
      </w:r>
      <w:r w:rsidRPr="00FD503F">
        <w:rPr>
          <w:i/>
        </w:rPr>
        <w:t>Wireless Microphones NPRM</w:t>
      </w:r>
      <w:r w:rsidRPr="00FD503F">
        <w:t xml:space="preserve">”).  The other </w:t>
      </w:r>
      <w:r>
        <w:t>proceeding</w:t>
      </w:r>
      <w:r w:rsidRPr="00FD503F">
        <w:t xml:space="preserve"> addresses unlicensed operations in the TV bands, the 600 MHz Band guard bands (including duplex gap), and the spectrum repurposed for 600 MHz Band wireless services.  </w:t>
      </w:r>
      <w:r w:rsidRPr="00FD503F">
        <w:rPr>
          <w:i/>
        </w:rPr>
        <w:t>See generally</w:t>
      </w:r>
      <w:r w:rsidRPr="00FD503F">
        <w:t xml:space="preserve"> </w:t>
      </w:r>
      <w:r w:rsidRPr="00FD503F">
        <w:rPr>
          <w:i/>
        </w:rPr>
        <w:t>Amendment of Part 15 of the Commission’s Rules for Unlicensed Operations in the Television Bands, Repurposed 600 MHz Band, 600 MHz Guard Bands and Duplex Gap, and Channel 37</w:t>
      </w:r>
      <w:r w:rsidRPr="00FD503F">
        <w:t xml:space="preserve">, </w:t>
      </w:r>
      <w:r>
        <w:t xml:space="preserve">ET Docket No. 14-165, </w:t>
      </w:r>
      <w:r w:rsidRPr="00FD503F">
        <w:t>Notice of Proposed Rulemaking</w:t>
      </w:r>
      <w:proofErr w:type="gramStart"/>
      <w:r w:rsidRPr="00FD503F">
        <w:t xml:space="preserve">,  </w:t>
      </w:r>
      <w:r>
        <w:t>29</w:t>
      </w:r>
      <w:proofErr w:type="gramEnd"/>
      <w:r>
        <w:t xml:space="preserve"> FCC </w:t>
      </w:r>
      <w:proofErr w:type="spellStart"/>
      <w:r>
        <w:t>Rcd</w:t>
      </w:r>
      <w:proofErr w:type="spellEnd"/>
      <w:r>
        <w:t xml:space="preserve"> 12248 (</w:t>
      </w:r>
      <w:r w:rsidRPr="00FD503F">
        <w:t>2014) (“</w:t>
      </w:r>
      <w:r w:rsidRPr="00FD503F">
        <w:rPr>
          <w:i/>
        </w:rPr>
        <w:t>Part 15 NPRM</w:t>
      </w:r>
      <w:r w:rsidRPr="00FD503F">
        <w:t>”).</w:t>
      </w:r>
    </w:p>
  </w:footnote>
  <w:footnote w:id="18">
    <w:p w14:paraId="2C35686F" w14:textId="77777777" w:rsidR="00706162" w:rsidRPr="00FD503F" w:rsidRDefault="00706162">
      <w:pPr>
        <w:pStyle w:val="FootnoteText"/>
      </w:pPr>
      <w:r w:rsidRPr="00F14118">
        <w:rPr>
          <w:rStyle w:val="FootnoteReference"/>
        </w:rPr>
        <w:footnoteRef/>
      </w:r>
      <w:r w:rsidRPr="00F14118">
        <w:t xml:space="preserve"> </w:t>
      </w:r>
      <w:r w:rsidRPr="00F14118">
        <w:rPr>
          <w:i/>
        </w:rPr>
        <w:t>See Unlicensed Operation in the TV Broadcast Bands; Additional Spectrum for Unlicensed Devices Below 900 MHz and in the 3 GHz Band</w:t>
      </w:r>
      <w:r w:rsidRPr="00F14118">
        <w:t>, ET Docket No</w:t>
      </w:r>
      <w:r>
        <w:t>s</w:t>
      </w:r>
      <w:r w:rsidRPr="00F14118">
        <w:t xml:space="preserve">. 04-186 and 02-380, Second Report and Order, 23 FCC </w:t>
      </w:r>
      <w:proofErr w:type="spellStart"/>
      <w:r w:rsidRPr="00F14118">
        <w:t>Rcd</w:t>
      </w:r>
      <w:proofErr w:type="spellEnd"/>
      <w:r w:rsidRPr="00F14118">
        <w:t xml:space="preserve"> 16807, 16808, para.1 (2008) (</w:t>
      </w:r>
      <w:r w:rsidRPr="00F14118">
        <w:rPr>
          <w:i/>
        </w:rPr>
        <w:t>TV White Spaces Second Report and Order</w:t>
      </w:r>
      <w:r w:rsidRPr="00FD503F">
        <w:t>).</w:t>
      </w:r>
    </w:p>
  </w:footnote>
  <w:footnote w:id="19">
    <w:p w14:paraId="17F42E5D" w14:textId="77777777" w:rsidR="00706162" w:rsidRPr="00FD503F" w:rsidRDefault="00706162">
      <w:pPr>
        <w:pStyle w:val="FootnoteText"/>
      </w:pPr>
      <w:r w:rsidRPr="00F14118">
        <w:rPr>
          <w:rStyle w:val="FootnoteReference"/>
        </w:rPr>
        <w:footnoteRef/>
      </w:r>
      <w:r w:rsidRPr="00F14118">
        <w:t xml:space="preserve"> Licensed wireless microphones operate pursuant to the rules for LPAS operations set forth in Part 74, Subpart H, 47 C.F.R. § 74.801 </w:t>
      </w:r>
      <w:r w:rsidRPr="00F14118">
        <w:rPr>
          <w:i/>
        </w:rPr>
        <w:t>et seq.</w:t>
      </w:r>
      <w:r w:rsidRPr="00F14118">
        <w:t xml:space="preserve">, while, as noted above, unlicensed wireless microphones operate pursuant to a 2010 waiver and certain Part 15 rules.  </w:t>
      </w:r>
      <w:r w:rsidRPr="00F14118">
        <w:rPr>
          <w:i/>
        </w:rPr>
        <w:t>See TV Bands Wireless Microphones R&amp;O and Further Notice</w:t>
      </w:r>
      <w:r w:rsidRPr="00FD503F">
        <w:t xml:space="preserve">, 25 FCC </w:t>
      </w:r>
      <w:proofErr w:type="spellStart"/>
      <w:r w:rsidRPr="00FD503F">
        <w:t>Rcd</w:t>
      </w:r>
      <w:proofErr w:type="spellEnd"/>
      <w:r w:rsidRPr="00FD503F">
        <w:t xml:space="preserve"> at 676-87, </w:t>
      </w:r>
      <w:proofErr w:type="spellStart"/>
      <w:r w:rsidRPr="00FD503F">
        <w:t>paras</w:t>
      </w:r>
      <w:proofErr w:type="spellEnd"/>
      <w:r w:rsidRPr="00FD503F">
        <w:t xml:space="preserve">. 71-90.  Unlicensed white space devices operate pursuant to Part 15, Subpart H rules.  47 C.F.R. §§ 15.701 </w:t>
      </w:r>
      <w:proofErr w:type="gramStart"/>
      <w:r w:rsidRPr="00FD503F">
        <w:rPr>
          <w:i/>
        </w:rPr>
        <w:t>et</w:t>
      </w:r>
      <w:proofErr w:type="gramEnd"/>
      <w:r w:rsidRPr="00FD503F">
        <w:rPr>
          <w:i/>
        </w:rPr>
        <w:t xml:space="preserve"> seq.</w:t>
      </w:r>
      <w:r w:rsidRPr="00FD503F">
        <w:t xml:space="preserve">  </w:t>
      </w:r>
    </w:p>
  </w:footnote>
  <w:footnote w:id="20">
    <w:p w14:paraId="0DA35691" w14:textId="77777777" w:rsidR="00706162" w:rsidRPr="00FD503F" w:rsidRDefault="00706162">
      <w:pPr>
        <w:pStyle w:val="FootnoteText"/>
      </w:pPr>
      <w:r w:rsidRPr="00F14118">
        <w:rPr>
          <w:rStyle w:val="FootnoteReference"/>
        </w:rPr>
        <w:footnoteRef/>
      </w:r>
      <w:r w:rsidRPr="00F14118">
        <w:t xml:space="preserve"> </w:t>
      </w:r>
      <w:r w:rsidRPr="00F14118">
        <w:rPr>
          <w:i/>
        </w:rPr>
        <w:t>See generally Unlicensed Operation in the TV Broadcast Bands; Additional Spectrum for Unlicensed Devices Below 900 MHz and in the 3 GHz Band</w:t>
      </w:r>
      <w:r w:rsidRPr="00F14118">
        <w:t xml:space="preserve">, ET Docket No. 04-186 and 02-380, Second Memorandum Opinion and Order, 25 FCC </w:t>
      </w:r>
      <w:proofErr w:type="spellStart"/>
      <w:r w:rsidRPr="00F14118">
        <w:t>Rcd</w:t>
      </w:r>
      <w:proofErr w:type="spellEnd"/>
      <w:r w:rsidRPr="00F14118">
        <w:t xml:space="preserve"> 18661 (2010) (</w:t>
      </w:r>
      <w:r w:rsidRPr="00F14118">
        <w:rPr>
          <w:i/>
        </w:rPr>
        <w:t>TV White Spaces Second MO&amp;O</w:t>
      </w:r>
      <w:r w:rsidRPr="00FD503F">
        <w:t>).</w:t>
      </w:r>
    </w:p>
  </w:footnote>
  <w:footnote w:id="21">
    <w:p w14:paraId="4E3CB5AB" w14:textId="77777777" w:rsidR="00706162" w:rsidRPr="00F14118" w:rsidRDefault="00706162">
      <w:pPr>
        <w:pStyle w:val="FootnoteText"/>
      </w:pPr>
      <w:r w:rsidRPr="00F14118">
        <w:rPr>
          <w:rStyle w:val="FootnoteReference"/>
        </w:rPr>
        <w:footnoteRef/>
      </w:r>
      <w:r w:rsidRPr="00F14118">
        <w:t xml:space="preserve"> </w:t>
      </w:r>
      <w:r w:rsidRPr="00F14118">
        <w:rPr>
          <w:i/>
        </w:rPr>
        <w:t>TV White Spaces Second MO&amp;O</w:t>
      </w:r>
      <w:r w:rsidRPr="00F14118">
        <w:t xml:space="preserve">, 25 FCC </w:t>
      </w:r>
      <w:proofErr w:type="spellStart"/>
      <w:r w:rsidRPr="00F14118">
        <w:t>Rcd</w:t>
      </w:r>
      <w:proofErr w:type="spellEnd"/>
      <w:r w:rsidRPr="00F14118">
        <w:t xml:space="preserve"> at 18675-76, </w:t>
      </w:r>
      <w:proofErr w:type="spellStart"/>
      <w:r w:rsidRPr="00F14118">
        <w:t>para</w:t>
      </w:r>
      <w:proofErr w:type="spellEnd"/>
      <w:r w:rsidRPr="00F14118">
        <w:t xml:space="preserve">. </w:t>
      </w:r>
      <w:proofErr w:type="gramStart"/>
      <w:r w:rsidRPr="00F14118">
        <w:t>29; 47 C.F.R. § 15.712(f).</w:t>
      </w:r>
      <w:proofErr w:type="gramEnd"/>
      <w:r w:rsidRPr="00F14118">
        <w:t xml:space="preserve">  Pursuant to this order, white space devices are not permitted on the first channel on each side of TV channel 37 that is not occupied by a licensed service.  </w:t>
      </w:r>
      <w:proofErr w:type="gramStart"/>
      <w:r w:rsidRPr="00F14118">
        <w:t>47 C.F.R. § 15.712(f)(2).</w:t>
      </w:r>
      <w:proofErr w:type="gramEnd"/>
    </w:p>
  </w:footnote>
  <w:footnote w:id="22">
    <w:p w14:paraId="0A12356B" w14:textId="77777777" w:rsidR="00706162" w:rsidRPr="00FD503F" w:rsidRDefault="00706162">
      <w:pPr>
        <w:pStyle w:val="FootnoteText"/>
      </w:pPr>
      <w:r w:rsidRPr="00F14118">
        <w:rPr>
          <w:rStyle w:val="FootnoteReference"/>
        </w:rPr>
        <w:footnoteRef/>
      </w:r>
      <w:r w:rsidRPr="00F14118">
        <w:t xml:space="preserve"> </w:t>
      </w:r>
      <w:r w:rsidRPr="00F14118">
        <w:rPr>
          <w:i/>
        </w:rPr>
        <w:t xml:space="preserve">Incentive Auction Report and Order, </w:t>
      </w:r>
      <w:r w:rsidRPr="00F14118">
        <w:t xml:space="preserve">29 FCC </w:t>
      </w:r>
      <w:proofErr w:type="spellStart"/>
      <w:r w:rsidRPr="00F14118">
        <w:t>Rcd</w:t>
      </w:r>
      <w:proofErr w:type="spellEnd"/>
      <w:r w:rsidRPr="00F14118">
        <w:rPr>
          <w:i/>
        </w:rPr>
        <w:t xml:space="preserve"> </w:t>
      </w:r>
      <w:r w:rsidRPr="00F14118">
        <w:t xml:space="preserve">at 6701-02, </w:t>
      </w:r>
      <w:proofErr w:type="spellStart"/>
      <w:r w:rsidRPr="00F14118">
        <w:t>paras</w:t>
      </w:r>
      <w:proofErr w:type="spellEnd"/>
      <w:r w:rsidRPr="00F14118">
        <w:t>. 309-10.</w:t>
      </w:r>
    </w:p>
  </w:footnote>
  <w:footnote w:id="23">
    <w:p w14:paraId="77980A9B" w14:textId="77777777" w:rsidR="00706162" w:rsidRPr="00FD503F" w:rsidRDefault="00706162">
      <w:pPr>
        <w:pStyle w:val="FootnoteText"/>
      </w:pPr>
      <w:r w:rsidRPr="00F14118">
        <w:rPr>
          <w:rStyle w:val="FootnoteReference"/>
        </w:rPr>
        <w:footnoteRef/>
      </w:r>
      <w:r w:rsidRPr="00F14118">
        <w:t xml:space="preserve"> </w:t>
      </w:r>
      <w:proofErr w:type="gramStart"/>
      <w:r w:rsidRPr="00F14118">
        <w:rPr>
          <w:i/>
        </w:rPr>
        <w:t xml:space="preserve">Id. </w:t>
      </w:r>
      <w:r w:rsidRPr="00F14118">
        <w:t xml:space="preserve">at 6683-84, </w:t>
      </w:r>
      <w:proofErr w:type="spellStart"/>
      <w:r w:rsidRPr="00F14118">
        <w:t>para</w:t>
      </w:r>
      <w:proofErr w:type="spellEnd"/>
      <w:r w:rsidRPr="00F14118">
        <w:t>.</w:t>
      </w:r>
      <w:proofErr w:type="gramEnd"/>
      <w:r w:rsidRPr="00F14118">
        <w:t xml:space="preserve"> 269.  </w:t>
      </w:r>
      <w:r>
        <w:t>T</w:t>
      </w:r>
      <w:r w:rsidRPr="00F14118">
        <w:t xml:space="preserve">he Commission noted that there </w:t>
      </w:r>
      <w:proofErr w:type="gramStart"/>
      <w:r w:rsidRPr="00F14118">
        <w:t>may</w:t>
      </w:r>
      <w:proofErr w:type="gramEnd"/>
      <w:r w:rsidRPr="00F14118">
        <w:t xml:space="preserve"> be a few areas with no spectrum available in the TV bands for wireless microphones and white space devices to share.  </w:t>
      </w:r>
      <w:proofErr w:type="gramStart"/>
      <w:r w:rsidRPr="00F14118">
        <w:rPr>
          <w:i/>
        </w:rPr>
        <w:t xml:space="preserve">Id. </w:t>
      </w:r>
      <w:r w:rsidRPr="00FD503F">
        <w:t xml:space="preserve">at 6683, </w:t>
      </w:r>
      <w:proofErr w:type="spellStart"/>
      <w:r w:rsidRPr="00FD503F">
        <w:t>para</w:t>
      </w:r>
      <w:proofErr w:type="spellEnd"/>
      <w:r w:rsidRPr="00FD503F">
        <w:t>.</w:t>
      </w:r>
      <w:proofErr w:type="gramEnd"/>
      <w:r w:rsidRPr="00FD503F">
        <w:t xml:space="preserve"> </w:t>
      </w:r>
      <w:proofErr w:type="gramStart"/>
      <w:r w:rsidRPr="00FD503F">
        <w:t>265 &amp; n.803.</w:t>
      </w:r>
      <w:proofErr w:type="gramEnd"/>
    </w:p>
  </w:footnote>
  <w:footnote w:id="24">
    <w:p w14:paraId="1EDBDA1E"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i/>
        </w:rPr>
        <w:t xml:space="preserve">Id. </w:t>
      </w:r>
      <w:r w:rsidRPr="00F14118">
        <w:t xml:space="preserve">at 6683, </w:t>
      </w:r>
      <w:proofErr w:type="spellStart"/>
      <w:r w:rsidRPr="00F14118">
        <w:t>para</w:t>
      </w:r>
      <w:proofErr w:type="spellEnd"/>
      <w:r w:rsidRPr="00F14118">
        <w:t>.</w:t>
      </w:r>
      <w:proofErr w:type="gramEnd"/>
      <w:r w:rsidRPr="00F14118">
        <w:t xml:space="preserve"> </w:t>
      </w:r>
      <w:proofErr w:type="gramStart"/>
      <w:r w:rsidRPr="00F14118">
        <w:t>269</w:t>
      </w:r>
      <w:r>
        <w:t xml:space="preserve">, 6701, </w:t>
      </w:r>
      <w:proofErr w:type="spellStart"/>
      <w:r>
        <w:t>para</w:t>
      </w:r>
      <w:proofErr w:type="spellEnd"/>
      <w:r>
        <w:t>.</w:t>
      </w:r>
      <w:proofErr w:type="gramEnd"/>
      <w:r>
        <w:t xml:space="preserve"> 309</w:t>
      </w:r>
      <w:r w:rsidRPr="00F14118">
        <w:t xml:space="preserve">. </w:t>
      </w:r>
    </w:p>
  </w:footnote>
  <w:footnote w:id="25">
    <w:p w14:paraId="734B6379" w14:textId="77777777" w:rsidR="00706162" w:rsidRPr="00FD503F" w:rsidRDefault="00706162">
      <w:pPr>
        <w:pStyle w:val="FootnoteText"/>
      </w:pPr>
      <w:r w:rsidRPr="00F14118">
        <w:rPr>
          <w:rStyle w:val="FootnoteReference"/>
        </w:rPr>
        <w:footnoteRef/>
      </w:r>
      <w:r w:rsidRPr="00F14118">
        <w:t xml:space="preserve"> </w:t>
      </w:r>
      <w:proofErr w:type="gramStart"/>
      <w:r w:rsidRPr="00F14118">
        <w:rPr>
          <w:i/>
        </w:rPr>
        <w:t>Id.</w:t>
      </w:r>
      <w:r w:rsidRPr="00F14118">
        <w:t xml:space="preserve">; </w:t>
      </w:r>
      <w:r w:rsidRPr="00F14118">
        <w:rPr>
          <w:i/>
        </w:rPr>
        <w:t>see also id.</w:t>
      </w:r>
      <w:proofErr w:type="gramEnd"/>
      <w:r w:rsidRPr="00F14118">
        <w:rPr>
          <w:i/>
        </w:rPr>
        <w:t xml:space="preserve"> </w:t>
      </w:r>
      <w:proofErr w:type="gramStart"/>
      <w:r w:rsidRPr="00F14118">
        <w:t>at</w:t>
      </w:r>
      <w:proofErr w:type="gramEnd"/>
      <w:r w:rsidRPr="00F14118">
        <w:t xml:space="preserve"> 670</w:t>
      </w:r>
      <w:r>
        <w:t>1-02</w:t>
      </w:r>
      <w:r w:rsidRPr="00F14118">
        <w:t xml:space="preserve">, </w:t>
      </w:r>
      <w:proofErr w:type="spellStart"/>
      <w:r w:rsidRPr="00F14118">
        <w:t>para</w:t>
      </w:r>
      <w:proofErr w:type="spellEnd"/>
      <w:r w:rsidRPr="00F14118">
        <w:t>. 310 (stating that the steps the Commission was taking to accommodate wireless microphone uses in the repacked television bands, including designation of one unused TV channel in each area of the United States for shared use with white space devices, as well as other actions in the order, represented “a bala</w:t>
      </w:r>
      <w:r w:rsidRPr="00FD503F">
        <w:t xml:space="preserve">nced approach to addressing the needs of wireless microphone users and the other users that seek access to the more limited television spectrum that is likely to remain available for use following the incentive auction”). </w:t>
      </w:r>
    </w:p>
  </w:footnote>
  <w:footnote w:id="26">
    <w:p w14:paraId="2E340A1A" w14:textId="77777777" w:rsidR="00706162" w:rsidRPr="00FD503F" w:rsidRDefault="00706162">
      <w:pPr>
        <w:pStyle w:val="FootnoteText"/>
      </w:pPr>
      <w:r w:rsidRPr="00F14118">
        <w:rPr>
          <w:rStyle w:val="FootnoteReference"/>
        </w:rPr>
        <w:footnoteRef/>
      </w:r>
      <w:r w:rsidRPr="00F14118">
        <w:t xml:space="preserve"> </w:t>
      </w:r>
      <w:r w:rsidRPr="00F14118">
        <w:rPr>
          <w:i/>
          <w:iCs/>
        </w:rPr>
        <w:t xml:space="preserve">See Incentive Auction Report and Order, </w:t>
      </w:r>
      <w:r w:rsidRPr="00FD503F">
        <w:t xml:space="preserve">29 FCC </w:t>
      </w:r>
      <w:proofErr w:type="spellStart"/>
      <w:r w:rsidRPr="00FD503F">
        <w:t>Rcd</w:t>
      </w:r>
      <w:proofErr w:type="spellEnd"/>
      <w:r w:rsidRPr="00FD503F">
        <w:t xml:space="preserve"> at 6683, </w:t>
      </w:r>
      <w:proofErr w:type="spellStart"/>
      <w:r w:rsidRPr="00FD503F">
        <w:t>para</w:t>
      </w:r>
      <w:proofErr w:type="spellEnd"/>
      <w:r w:rsidRPr="00FD503F">
        <w:t xml:space="preserve">. 269.  </w:t>
      </w:r>
    </w:p>
  </w:footnote>
  <w:footnote w:id="27">
    <w:p w14:paraId="1D7445B7" w14:textId="77777777" w:rsidR="00706162" w:rsidRPr="00F14118" w:rsidRDefault="00706162" w:rsidP="001B645E">
      <w:pPr>
        <w:pStyle w:val="FootnoteText"/>
      </w:pPr>
      <w:r w:rsidRPr="00F14118">
        <w:rPr>
          <w:rStyle w:val="FootnoteReference"/>
        </w:rPr>
        <w:footnoteRef/>
      </w:r>
      <w:r w:rsidRPr="00F14118">
        <w:t xml:space="preserve"> </w:t>
      </w:r>
      <w:proofErr w:type="gramStart"/>
      <w:r w:rsidRPr="00F14118">
        <w:rPr>
          <w:i/>
        </w:rPr>
        <w:t>Id.</w:t>
      </w:r>
      <w:r w:rsidRPr="00F14118">
        <w:t xml:space="preserve"> at 668</w:t>
      </w:r>
      <w:r>
        <w:t>1</w:t>
      </w:r>
      <w:r w:rsidRPr="00F14118">
        <w:t xml:space="preserve">, </w:t>
      </w:r>
      <w:proofErr w:type="spellStart"/>
      <w:r w:rsidRPr="00F14118">
        <w:t>para</w:t>
      </w:r>
      <w:proofErr w:type="spellEnd"/>
      <w:r w:rsidRPr="00F14118">
        <w:t>.</w:t>
      </w:r>
      <w:proofErr w:type="gramEnd"/>
      <w:r w:rsidRPr="00F14118">
        <w:t xml:space="preserve"> 259.</w:t>
      </w:r>
      <w:r>
        <w:t xml:space="preserve">  The Commission explained that it was taking actions to make available a significant amount of spectrum for white space device operations, including in the post-auction television bands, in order to help create certainty for the unlicensed industry and thereby promote greater innovation in new devices and services, including increased access to broadband services across the country.  </w:t>
      </w:r>
      <w:proofErr w:type="gramStart"/>
      <w:r>
        <w:rPr>
          <w:i/>
        </w:rPr>
        <w:t xml:space="preserve">Id. </w:t>
      </w:r>
      <w:r>
        <w:t xml:space="preserve">at 6682-83, </w:t>
      </w:r>
      <w:proofErr w:type="spellStart"/>
      <w:r>
        <w:t>para</w:t>
      </w:r>
      <w:proofErr w:type="spellEnd"/>
      <w:r>
        <w:t>.</w:t>
      </w:r>
      <w:proofErr w:type="gramEnd"/>
      <w:r>
        <w:t xml:space="preserve"> 264.  </w:t>
      </w:r>
    </w:p>
  </w:footnote>
  <w:footnote w:id="28">
    <w:p w14:paraId="10A32EC9"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i/>
        </w:rPr>
        <w:t>Id.</w:t>
      </w:r>
      <w:r w:rsidRPr="00F14118">
        <w:t xml:space="preserve"> at 669</w:t>
      </w:r>
      <w:r>
        <w:t>6-97</w:t>
      </w:r>
      <w:r w:rsidRPr="00F14118">
        <w:t xml:space="preserve">, </w:t>
      </w:r>
      <w:proofErr w:type="spellStart"/>
      <w:r w:rsidRPr="00F14118">
        <w:t>para</w:t>
      </w:r>
      <w:proofErr w:type="spellEnd"/>
      <w:r w:rsidRPr="00F14118">
        <w:t>.</w:t>
      </w:r>
      <w:proofErr w:type="gramEnd"/>
      <w:r w:rsidRPr="00F14118">
        <w:t xml:space="preserve"> 300.</w:t>
      </w:r>
    </w:p>
  </w:footnote>
  <w:footnote w:id="29">
    <w:p w14:paraId="5F469C6D" w14:textId="77777777" w:rsidR="00706162" w:rsidRPr="00FD503F" w:rsidRDefault="00706162">
      <w:pPr>
        <w:pStyle w:val="FootnoteText"/>
      </w:pPr>
      <w:r w:rsidRPr="00F14118">
        <w:rPr>
          <w:rStyle w:val="FootnoteReference"/>
        </w:rPr>
        <w:footnoteRef/>
      </w:r>
      <w:r w:rsidRPr="00F14118">
        <w:t xml:space="preserve"> </w:t>
      </w:r>
      <w:proofErr w:type="gramStart"/>
      <w:r w:rsidRPr="00F14118">
        <w:rPr>
          <w:i/>
        </w:rPr>
        <w:t xml:space="preserve">Id. </w:t>
      </w:r>
      <w:r w:rsidRPr="00F14118">
        <w:t xml:space="preserve">at </w:t>
      </w:r>
      <w:r w:rsidRPr="00FD503F">
        <w:t xml:space="preserve">6683-84, </w:t>
      </w:r>
      <w:proofErr w:type="spellStart"/>
      <w:r w:rsidRPr="00FD503F">
        <w:t>para</w:t>
      </w:r>
      <w:proofErr w:type="spellEnd"/>
      <w:r w:rsidRPr="00FD503F">
        <w:t>.</w:t>
      </w:r>
      <w:proofErr w:type="gramEnd"/>
      <w:r w:rsidRPr="00FD503F">
        <w:t xml:space="preserve"> </w:t>
      </w:r>
      <w:proofErr w:type="gramStart"/>
      <w:r w:rsidRPr="00FD503F">
        <w:t>269</w:t>
      </w:r>
      <w:r>
        <w:t>,</w:t>
      </w:r>
      <w:r w:rsidRPr="00FD503F">
        <w:t xml:space="preserve"> 6701, </w:t>
      </w:r>
      <w:proofErr w:type="spellStart"/>
      <w:r w:rsidRPr="00FD503F">
        <w:t>para</w:t>
      </w:r>
      <w:proofErr w:type="spellEnd"/>
      <w:r w:rsidRPr="00FD503F">
        <w:t>.</w:t>
      </w:r>
      <w:proofErr w:type="gramEnd"/>
      <w:r w:rsidRPr="00FD503F">
        <w:t xml:space="preserve"> 309. </w:t>
      </w:r>
    </w:p>
  </w:footnote>
  <w:footnote w:id="30">
    <w:p w14:paraId="32EBDF69" w14:textId="77777777" w:rsidR="00706162" w:rsidRDefault="00706162">
      <w:pPr>
        <w:pStyle w:val="FootnoteText"/>
      </w:pPr>
      <w:r>
        <w:rPr>
          <w:rStyle w:val="FootnoteReference"/>
        </w:rPr>
        <w:footnoteRef/>
      </w:r>
      <w:r>
        <w:t xml:space="preserve"> </w:t>
      </w:r>
      <w:proofErr w:type="gramStart"/>
      <w:r w:rsidRPr="00F14118">
        <w:rPr>
          <w:i/>
        </w:rPr>
        <w:t xml:space="preserve">Id. </w:t>
      </w:r>
      <w:r w:rsidRPr="00F14118">
        <w:t xml:space="preserve">at 6668-84, </w:t>
      </w:r>
      <w:proofErr w:type="spellStart"/>
      <w:r w:rsidRPr="00F14118">
        <w:t>para</w:t>
      </w:r>
      <w:proofErr w:type="spellEnd"/>
      <w:r w:rsidRPr="00F14118">
        <w:t>.</w:t>
      </w:r>
      <w:proofErr w:type="gramEnd"/>
      <w:r w:rsidRPr="00F14118">
        <w:t xml:space="preserve"> </w:t>
      </w:r>
      <w:proofErr w:type="gramStart"/>
      <w:r w:rsidRPr="00F14118">
        <w:t>269</w:t>
      </w:r>
      <w:r>
        <w:t xml:space="preserve">; </w:t>
      </w:r>
      <w:r>
        <w:rPr>
          <w:i/>
        </w:rPr>
        <w:t>see also id</w:t>
      </w:r>
      <w:r>
        <w:t>.</w:t>
      </w:r>
      <w:proofErr w:type="gramEnd"/>
      <w:r>
        <w:t xml:space="preserve"> </w:t>
      </w:r>
      <w:proofErr w:type="gramStart"/>
      <w:r>
        <w:t>at</w:t>
      </w:r>
      <w:proofErr w:type="gramEnd"/>
      <w:r>
        <w:t xml:space="preserve"> 6701-02, </w:t>
      </w:r>
      <w:proofErr w:type="spellStart"/>
      <w:r>
        <w:t>para</w:t>
      </w:r>
      <w:proofErr w:type="spellEnd"/>
      <w:r>
        <w:t>. 310</w:t>
      </w:r>
      <w:r w:rsidRPr="00F14118">
        <w:t>.</w:t>
      </w:r>
    </w:p>
  </w:footnote>
  <w:footnote w:id="31">
    <w:p w14:paraId="1DE68282" w14:textId="77777777" w:rsidR="00706162" w:rsidRDefault="00706162" w:rsidP="00C41D2C">
      <w:pPr>
        <w:pStyle w:val="FootnoteText"/>
      </w:pPr>
      <w:r>
        <w:rPr>
          <w:rStyle w:val="FootnoteReference"/>
        </w:rPr>
        <w:footnoteRef/>
      </w:r>
      <w:r>
        <w:t xml:space="preserve"> </w:t>
      </w:r>
      <w:r w:rsidRPr="007E4FD3">
        <w:rPr>
          <w:i/>
        </w:rPr>
        <w:t>See Part 15 NPRM</w:t>
      </w:r>
      <w:r>
        <w:t xml:space="preserve">, 29 FCC </w:t>
      </w:r>
      <w:proofErr w:type="spellStart"/>
      <w:r>
        <w:t>Rcd</w:t>
      </w:r>
      <w:proofErr w:type="spellEnd"/>
      <w:r>
        <w:t xml:space="preserve"> at 12256, </w:t>
      </w:r>
      <w:proofErr w:type="spellStart"/>
      <w:r>
        <w:t>para</w:t>
      </w:r>
      <w:proofErr w:type="spellEnd"/>
      <w:r>
        <w:t>. 26.</w:t>
      </w:r>
    </w:p>
  </w:footnote>
  <w:footnote w:id="32">
    <w:p w14:paraId="2F297405" w14:textId="77777777" w:rsidR="00706162" w:rsidRDefault="00706162" w:rsidP="006C66B0">
      <w:pPr>
        <w:pStyle w:val="FootnoteText"/>
      </w:pPr>
      <w:r>
        <w:rPr>
          <w:rStyle w:val="FootnoteReference"/>
        </w:rPr>
        <w:footnoteRef/>
      </w:r>
      <w:r>
        <w:t xml:space="preserve"> See Aggregate Interference Simulations, available at </w:t>
      </w:r>
      <w:hyperlink r:id="rId1" w:history="1">
        <w:r w:rsidRPr="00026EB9">
          <w:rPr>
            <w:rStyle w:val="Hyperlink"/>
          </w:rPr>
          <w:t>http://data.fcc.gov/download/incentive-auctions/Simulation_Results/</w:t>
        </w:r>
      </w:hyperlink>
      <w:r>
        <w:t xml:space="preserve">.  </w:t>
      </w:r>
    </w:p>
  </w:footnote>
  <w:footnote w:id="33">
    <w:p w14:paraId="64549F88" w14:textId="77777777" w:rsidR="00706162" w:rsidRPr="00FB5FCE" w:rsidRDefault="00706162" w:rsidP="006C66B0">
      <w:pPr>
        <w:pStyle w:val="FootnoteText"/>
      </w:pPr>
      <w:r>
        <w:rPr>
          <w:rStyle w:val="FootnoteReference"/>
        </w:rPr>
        <w:footnoteRef/>
      </w:r>
      <w:r>
        <w:t xml:space="preserve"> We arrive at this conclusion by examining spectrum availability for white space devices using the limited channel range where both wireless microphones and personal portable devices can operate under current rules. In the </w:t>
      </w:r>
      <w:r>
        <w:rPr>
          <w:i/>
        </w:rPr>
        <w:t>Part 15 NPRM</w:t>
      </w:r>
      <w:r>
        <w:t xml:space="preserve"> we proposed to permit white space devices to operate on additional TV channels, thus resulting in multiple vacant channels being available in areas encompassing the vast majority of population across the country.  </w:t>
      </w:r>
      <w:r w:rsidRPr="00F14118">
        <w:rPr>
          <w:i/>
        </w:rPr>
        <w:t>See Part 15 NPRM</w:t>
      </w:r>
      <w:r>
        <w:t xml:space="preserve">, 29 FCC </w:t>
      </w:r>
      <w:proofErr w:type="spellStart"/>
      <w:r>
        <w:t>Rcd</w:t>
      </w:r>
      <w:proofErr w:type="spellEnd"/>
      <w:r>
        <w:t xml:space="preserve"> </w:t>
      </w:r>
      <w:r w:rsidRPr="00F14118">
        <w:t xml:space="preserve">at </w:t>
      </w:r>
      <w:r>
        <w:t xml:space="preserve">12257-58, </w:t>
      </w:r>
      <w:proofErr w:type="spellStart"/>
      <w:r w:rsidRPr="00F14118">
        <w:t>paras</w:t>
      </w:r>
      <w:proofErr w:type="spellEnd"/>
      <w:r w:rsidRPr="00F14118">
        <w:t>. 2</w:t>
      </w:r>
      <w:r>
        <w:t>9</w:t>
      </w:r>
      <w:r w:rsidRPr="00F14118">
        <w:t>-31.</w:t>
      </w:r>
    </w:p>
  </w:footnote>
  <w:footnote w:id="34">
    <w:p w14:paraId="1D791BB2" w14:textId="77777777" w:rsidR="00706162" w:rsidRDefault="00706162">
      <w:pPr>
        <w:pStyle w:val="FootnoteText"/>
      </w:pPr>
      <w:r>
        <w:rPr>
          <w:rStyle w:val="FootnoteReference"/>
        </w:rPr>
        <w:footnoteRef/>
      </w:r>
      <w:r>
        <w:t xml:space="preserve"> </w:t>
      </w:r>
      <w:r w:rsidRPr="00F55775">
        <w:t>Of course, the impact in a given area will depend on the number of such applicants [and the nature of their applications] as well as on the overall availability of vacant channels after repacking and the 39-mont</w:t>
      </w:r>
      <w:r>
        <w:t>h</w:t>
      </w:r>
      <w:r w:rsidRPr="00F55775">
        <w:t xml:space="preserve"> post-auction transition period.  In some areas, independent of our proposal here, the number of vacant channels may be reduced as a result of these factors</w:t>
      </w:r>
      <w:r>
        <w:t>.</w:t>
      </w:r>
    </w:p>
  </w:footnote>
  <w:footnote w:id="35">
    <w:p w14:paraId="4A2835BC" w14:textId="77777777" w:rsidR="00706162" w:rsidRPr="00FD503F" w:rsidRDefault="00706162">
      <w:pPr>
        <w:pStyle w:val="FootnoteText"/>
      </w:pPr>
      <w:r w:rsidRPr="00F14118">
        <w:rPr>
          <w:rStyle w:val="FootnoteReference"/>
        </w:rPr>
        <w:footnoteRef/>
      </w:r>
      <w:r w:rsidRPr="00F14118">
        <w:t xml:space="preserve"> </w:t>
      </w:r>
      <w:r w:rsidRPr="00F14118">
        <w:rPr>
          <w:i/>
        </w:rPr>
        <w:t xml:space="preserve">See </w:t>
      </w:r>
      <w:r>
        <w:rPr>
          <w:i/>
        </w:rPr>
        <w:t>Incentive Auction Report and Order</w:t>
      </w:r>
      <w:r>
        <w:t xml:space="preserve">, 29 FCC </w:t>
      </w:r>
      <w:proofErr w:type="spellStart"/>
      <w:r>
        <w:t>Rcd</w:t>
      </w:r>
      <w:proofErr w:type="spellEnd"/>
      <w:r>
        <w:t xml:space="preserve"> </w:t>
      </w:r>
      <w:r w:rsidRPr="00A54A99">
        <w:t>at</w:t>
      </w:r>
      <w:r w:rsidRPr="00F14118">
        <w:t xml:space="preserve"> </w:t>
      </w:r>
      <w:r w:rsidRPr="00FD503F">
        <w:t xml:space="preserve">6674, </w:t>
      </w:r>
      <w:proofErr w:type="spellStart"/>
      <w:r w:rsidRPr="00FD503F">
        <w:t>para</w:t>
      </w:r>
      <w:proofErr w:type="spellEnd"/>
      <w:r w:rsidRPr="00FD503F">
        <w:t>. 241.</w:t>
      </w:r>
    </w:p>
  </w:footnote>
  <w:footnote w:id="36">
    <w:p w14:paraId="03A23E60" w14:textId="77777777" w:rsidR="00706162" w:rsidRPr="00FD503F" w:rsidRDefault="00706162">
      <w:pPr>
        <w:pStyle w:val="FootnoteText"/>
      </w:pPr>
      <w:r w:rsidRPr="00F14118">
        <w:rPr>
          <w:rStyle w:val="FootnoteReference"/>
        </w:rPr>
        <w:footnoteRef/>
      </w:r>
      <w:r w:rsidRPr="00F14118">
        <w:t xml:space="preserve"> </w:t>
      </w:r>
      <w:proofErr w:type="gramStart"/>
      <w:r w:rsidRPr="00F14118">
        <w:rPr>
          <w:i/>
        </w:rPr>
        <w:t>Id.</w:t>
      </w:r>
      <w:r w:rsidRPr="00F14118">
        <w:t xml:space="preserve"> at 6835-36, </w:t>
      </w:r>
      <w:proofErr w:type="spellStart"/>
      <w:r w:rsidRPr="00F14118">
        <w:t>paras</w:t>
      </w:r>
      <w:proofErr w:type="spellEnd"/>
      <w:r w:rsidRPr="00F14118">
        <w:t>.</w:t>
      </w:r>
      <w:proofErr w:type="gramEnd"/>
      <w:r w:rsidRPr="00F14118">
        <w:t xml:space="preserve"> 659-60. </w:t>
      </w:r>
      <w:r>
        <w:t xml:space="preserve"> </w:t>
      </w:r>
      <w:r w:rsidRPr="00F14118">
        <w:t xml:space="preserve">Following the release of the </w:t>
      </w:r>
      <w:r w:rsidRPr="00F14118">
        <w:rPr>
          <w:i/>
        </w:rPr>
        <w:t>Incentive Auction Report and Order</w:t>
      </w:r>
      <w:r w:rsidRPr="00F14118">
        <w:t xml:space="preserve">, the Media Bureau announced a freeze on the filing of </w:t>
      </w:r>
      <w:r>
        <w:t>digital replacement translator (“</w:t>
      </w:r>
      <w:r w:rsidRPr="00F14118">
        <w:t>DRT</w:t>
      </w:r>
      <w:r>
        <w:t>”)</w:t>
      </w:r>
      <w:r w:rsidRPr="00F14118">
        <w:t xml:space="preserve"> and displacement applications for LPTV and TV translator stations. </w:t>
      </w:r>
      <w:r w:rsidRPr="00FD503F">
        <w:rPr>
          <w:i/>
        </w:rPr>
        <w:t xml:space="preserve"> See Freeze on the Filing of Applications for Digital Replacement Translator Stations and Displacement Applications</w:t>
      </w:r>
      <w:r w:rsidRPr="00FD503F">
        <w:t xml:space="preserve">, Public Notice, 29 FCC </w:t>
      </w:r>
      <w:proofErr w:type="spellStart"/>
      <w:r w:rsidRPr="00FD503F">
        <w:t>Rcd</w:t>
      </w:r>
      <w:proofErr w:type="spellEnd"/>
      <w:r w:rsidRPr="00FD503F">
        <w:t xml:space="preserve"> 6063 (MB 2014).</w:t>
      </w:r>
    </w:p>
  </w:footnote>
  <w:footnote w:id="37">
    <w:p w14:paraId="023F8A86" w14:textId="77777777" w:rsidR="00706162" w:rsidRDefault="00706162">
      <w:pPr>
        <w:pStyle w:val="FootnoteText"/>
      </w:pPr>
      <w:r>
        <w:rPr>
          <w:rStyle w:val="FootnoteReference"/>
        </w:rPr>
        <w:footnoteRef/>
      </w:r>
      <w:r>
        <w:t xml:space="preserve"> We also note that the Commission recently released a notice of proposed rulemaking seeking comment on ways to preserve the availability of channel access for LPTV and TV translator stations in the repacked television band through such means as channel sharing.  </w:t>
      </w:r>
      <w:r>
        <w:rPr>
          <w:i/>
        </w:rPr>
        <w:t xml:space="preserve">See </w:t>
      </w:r>
      <w:r w:rsidRPr="000316A0">
        <w:rPr>
          <w:i/>
        </w:rPr>
        <w:t>Amendment of Parts 73 and 74 of the Commission’s Rules to Establish Rules for Digital Low Power Television and Television Translator Stations</w:t>
      </w:r>
      <w:r>
        <w:t xml:space="preserve">, MB Docket No. 03-185, Third Notice of Proposed Rulemaking, 29 FCC </w:t>
      </w:r>
      <w:proofErr w:type="spellStart"/>
      <w:r>
        <w:t>Rcd</w:t>
      </w:r>
      <w:proofErr w:type="spellEnd"/>
      <w:r>
        <w:t xml:space="preserve"> 12536, 12542-48</w:t>
      </w:r>
      <w:proofErr w:type="gramStart"/>
      <w:r>
        <w:t xml:space="preserve">,  </w:t>
      </w:r>
      <w:proofErr w:type="spellStart"/>
      <w:r>
        <w:t>paras</w:t>
      </w:r>
      <w:proofErr w:type="spellEnd"/>
      <w:proofErr w:type="gramEnd"/>
      <w:r>
        <w:t xml:space="preserve">. </w:t>
      </w:r>
      <w:proofErr w:type="gramStart"/>
      <w:r>
        <w:t>13-28 (2014)(</w:t>
      </w:r>
      <w:r>
        <w:rPr>
          <w:i/>
        </w:rPr>
        <w:t>LPTV DTV Third Notice</w:t>
      </w:r>
      <w:r>
        <w:t>).</w:t>
      </w:r>
      <w:proofErr w:type="gramEnd"/>
      <w:r>
        <w:t xml:space="preserve">  Channel sharing could help ensure that displaced stations can find opportunities for sharing available channel(s) in the repacked band in order to provide their services.  </w:t>
      </w:r>
    </w:p>
  </w:footnote>
  <w:footnote w:id="38">
    <w:p w14:paraId="5AB1D925" w14:textId="77777777" w:rsidR="00706162" w:rsidRPr="00FD503F" w:rsidRDefault="00706162">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Amendment of Parts 73 and 74 of the Commission’s Rules to Establish Rules for Replacement Digital Low Power Television Translator Stations</w:t>
      </w:r>
      <w:r w:rsidRPr="00FD503F">
        <w:t xml:space="preserve">, MB Docket No. 08-253, Report and Order, 24 FCC </w:t>
      </w:r>
      <w:proofErr w:type="spellStart"/>
      <w:r w:rsidRPr="00FD503F">
        <w:t>Rcd</w:t>
      </w:r>
      <w:proofErr w:type="spellEnd"/>
      <w:r w:rsidRPr="00FD503F">
        <w:t xml:space="preserve"> 5931, 5932, </w:t>
      </w:r>
      <w:proofErr w:type="spellStart"/>
      <w:r w:rsidRPr="00FD503F">
        <w:t>para</w:t>
      </w:r>
      <w:proofErr w:type="spellEnd"/>
      <w:r w:rsidRPr="00FD503F">
        <w:t xml:space="preserve">. </w:t>
      </w:r>
      <w:proofErr w:type="gramStart"/>
      <w:r w:rsidRPr="00FD503F">
        <w:t>3 (2009) (</w:t>
      </w:r>
      <w:r w:rsidRPr="00FD503F">
        <w:rPr>
          <w:i/>
        </w:rPr>
        <w:t>DRT R&amp;O</w:t>
      </w:r>
      <w:r w:rsidRPr="00FD503F">
        <w:t>).</w:t>
      </w:r>
      <w:proofErr w:type="gramEnd"/>
      <w:r w:rsidRPr="00FD503F">
        <w:t xml:space="preserve">  </w:t>
      </w:r>
    </w:p>
  </w:footnote>
  <w:footnote w:id="39">
    <w:p w14:paraId="73E44F8F" w14:textId="77777777" w:rsidR="00706162" w:rsidRPr="00F14118" w:rsidRDefault="00706162">
      <w:pPr>
        <w:pStyle w:val="FootnoteText"/>
      </w:pPr>
      <w:r w:rsidRPr="00F14118">
        <w:rPr>
          <w:rStyle w:val="FootnoteReference"/>
        </w:rPr>
        <w:footnoteRef/>
      </w:r>
      <w:r w:rsidRPr="00F14118">
        <w:t xml:space="preserve"> </w:t>
      </w:r>
      <w:r w:rsidRPr="00F14118">
        <w:rPr>
          <w:i/>
        </w:rPr>
        <w:t>See Incentive Auction Report and Order</w:t>
      </w:r>
      <w:r w:rsidRPr="00F14118">
        <w:t xml:space="preserve">, 29 FCC </w:t>
      </w:r>
      <w:proofErr w:type="spellStart"/>
      <w:r w:rsidRPr="00F14118">
        <w:t>Rcd</w:t>
      </w:r>
      <w:proofErr w:type="spellEnd"/>
      <w:r w:rsidRPr="00F14118">
        <w:t xml:space="preserve"> at 6675, </w:t>
      </w:r>
      <w:proofErr w:type="spellStart"/>
      <w:r w:rsidRPr="00F14118">
        <w:t>para</w:t>
      </w:r>
      <w:proofErr w:type="spellEnd"/>
      <w:r w:rsidRPr="00F14118">
        <w:t>. 242.</w:t>
      </w:r>
    </w:p>
  </w:footnote>
  <w:footnote w:id="40">
    <w:p w14:paraId="18CD201B" w14:textId="77777777" w:rsidR="00706162" w:rsidRPr="00FD503F" w:rsidRDefault="00706162">
      <w:pPr>
        <w:pStyle w:val="FootnoteText"/>
      </w:pPr>
      <w:r w:rsidRPr="00F14118">
        <w:rPr>
          <w:rStyle w:val="FootnoteReference"/>
        </w:rPr>
        <w:footnoteRef/>
      </w:r>
      <w:r>
        <w:t xml:space="preserve"> D</w:t>
      </w:r>
      <w:r w:rsidRPr="00F14118">
        <w:t>isplaced DRTs could seek a waiver</w:t>
      </w:r>
      <w:r w:rsidRPr="00FD503F">
        <w:t xml:space="preserve"> of the proposed rules based on our standard waiver criteria. </w:t>
      </w:r>
      <w:r w:rsidRPr="00FD503F">
        <w:rPr>
          <w:i/>
        </w:rPr>
        <w:t xml:space="preserve"> </w:t>
      </w:r>
      <w:proofErr w:type="gramStart"/>
      <w:r w:rsidRPr="00FD503F">
        <w:t>Section 1.3 of the rules states that a waiver will be granted if “good cause” is shown.</w:t>
      </w:r>
      <w:proofErr w:type="gramEnd"/>
      <w:r w:rsidRPr="00FD503F">
        <w:t xml:space="preserve">  </w:t>
      </w:r>
      <w:r w:rsidRPr="00FD503F">
        <w:rPr>
          <w:i/>
        </w:rPr>
        <w:t>See</w:t>
      </w:r>
      <w:r w:rsidRPr="00FD503F">
        <w:t xml:space="preserve"> 47 C.F.R. § 1.3.  </w:t>
      </w:r>
      <w:r w:rsidRPr="00FD503F">
        <w:rPr>
          <w:color w:val="000000"/>
        </w:rPr>
        <w:t xml:space="preserve">The Commission may exercise its discretion to waive a rule where the particular facts make strict compliance inconsistent with the public interest.  </w:t>
      </w:r>
      <w:r w:rsidRPr="00FD503F">
        <w:rPr>
          <w:i/>
          <w:iCs/>
          <w:color w:val="000000"/>
        </w:rPr>
        <w:t>See</w:t>
      </w:r>
      <w:r w:rsidRPr="00FD503F">
        <w:rPr>
          <w:color w:val="000000"/>
        </w:rPr>
        <w:t xml:space="preserve"> </w:t>
      </w:r>
      <w:r w:rsidRPr="00FD503F">
        <w:rPr>
          <w:i/>
          <w:iCs/>
          <w:color w:val="000000"/>
        </w:rPr>
        <w:t>Northeast Cellular Telephone Co. v. FCC</w:t>
      </w:r>
      <w:r w:rsidRPr="00FD503F">
        <w:rPr>
          <w:color w:val="000000"/>
        </w:rPr>
        <w:t>, 897 F.2d 1164, 1166 (D.C. Cir. 1990) (</w:t>
      </w:r>
      <w:r w:rsidRPr="00FD503F">
        <w:rPr>
          <w:i/>
          <w:iCs/>
          <w:color w:val="000000"/>
        </w:rPr>
        <w:t>Northeast Cellular</w:t>
      </w:r>
      <w:r w:rsidRPr="00FD503F">
        <w:rPr>
          <w:color w:val="000000"/>
        </w:rPr>
        <w:t xml:space="preserve">).  In addition, the Commission may take into account considerations of hardship, equity, or more effective implementation of overall policy on an individual basis.  </w:t>
      </w:r>
      <w:r w:rsidRPr="00FD503F">
        <w:rPr>
          <w:i/>
          <w:iCs/>
          <w:color w:val="000000"/>
        </w:rPr>
        <w:t>See</w:t>
      </w:r>
      <w:r w:rsidRPr="00FD503F">
        <w:rPr>
          <w:color w:val="000000"/>
        </w:rPr>
        <w:t xml:space="preserve"> </w:t>
      </w:r>
      <w:r w:rsidRPr="00FD503F">
        <w:rPr>
          <w:i/>
          <w:iCs/>
          <w:color w:val="000000"/>
        </w:rPr>
        <w:t>WAIT Radio v. FCC</w:t>
      </w:r>
      <w:r w:rsidRPr="00FD503F">
        <w:rPr>
          <w:color w:val="000000"/>
        </w:rPr>
        <w:t>, 418 F.2d 1153, 1159 (D.C. Cir. 1969)</w:t>
      </w:r>
      <w:proofErr w:type="gramStart"/>
      <w:r w:rsidRPr="00FD503F">
        <w:rPr>
          <w:color w:val="000000"/>
        </w:rPr>
        <w:t>;</w:t>
      </w:r>
      <w:proofErr w:type="gramEnd"/>
      <w:r w:rsidRPr="00FD503F">
        <w:rPr>
          <w:color w:val="000000"/>
        </w:rPr>
        <w:t xml:space="preserve"> </w:t>
      </w:r>
      <w:r w:rsidRPr="00FD503F">
        <w:rPr>
          <w:i/>
          <w:iCs/>
          <w:color w:val="000000"/>
        </w:rPr>
        <w:t>Northeast Cellular</w:t>
      </w:r>
      <w:r w:rsidRPr="00FD503F">
        <w:rPr>
          <w:color w:val="000000"/>
        </w:rPr>
        <w:t>, 897 F.2d at 1166.  Waiver of the Commission’s rules is appropriate only if both (</w:t>
      </w:r>
      <w:proofErr w:type="spellStart"/>
      <w:r w:rsidRPr="00FD503F">
        <w:rPr>
          <w:color w:val="000000"/>
        </w:rPr>
        <w:t>i</w:t>
      </w:r>
      <w:proofErr w:type="spellEnd"/>
      <w:r w:rsidRPr="00FD503F">
        <w:rPr>
          <w:color w:val="000000"/>
        </w:rPr>
        <w:t xml:space="preserve">) special circumstances warrant a deviation from the general rule, and (ii) such deviation will serve the public interest.  </w:t>
      </w:r>
      <w:r w:rsidRPr="00FD503F">
        <w:rPr>
          <w:i/>
          <w:iCs/>
          <w:color w:val="000000"/>
        </w:rPr>
        <w:t>See</w:t>
      </w:r>
      <w:r w:rsidRPr="00FD503F">
        <w:rPr>
          <w:color w:val="000000"/>
        </w:rPr>
        <w:t xml:space="preserve"> </w:t>
      </w:r>
      <w:r w:rsidRPr="00FD503F">
        <w:rPr>
          <w:i/>
          <w:iCs/>
          <w:color w:val="000000"/>
        </w:rPr>
        <w:t>id</w:t>
      </w:r>
      <w:r w:rsidRPr="00FD503F">
        <w:rPr>
          <w:color w:val="000000"/>
        </w:rPr>
        <w:t>.</w:t>
      </w:r>
      <w:r w:rsidRPr="00FD503F">
        <w:t xml:space="preserve">  </w:t>
      </w:r>
    </w:p>
  </w:footnote>
  <w:footnote w:id="41">
    <w:p w14:paraId="105568BB" w14:textId="77777777" w:rsidR="00706162" w:rsidRPr="00FD503F" w:rsidRDefault="00706162">
      <w:pPr>
        <w:pStyle w:val="FootnoteText"/>
      </w:pPr>
      <w:r w:rsidRPr="00F14118">
        <w:rPr>
          <w:rStyle w:val="FootnoteReference"/>
        </w:rPr>
        <w:footnoteRef/>
      </w:r>
      <w:r w:rsidRPr="00F14118">
        <w:t xml:space="preserve"> </w:t>
      </w:r>
      <w:r>
        <w:rPr>
          <w:i/>
        </w:rPr>
        <w:t>LPTV DTV Third Notice,</w:t>
      </w:r>
      <w:r>
        <w:t xml:space="preserve"> 29 FCC </w:t>
      </w:r>
      <w:proofErr w:type="spellStart"/>
      <w:r>
        <w:t>Rcd</w:t>
      </w:r>
      <w:proofErr w:type="spellEnd"/>
      <w:r>
        <w:t xml:space="preserve"> at 12548-52,</w:t>
      </w:r>
      <w:r w:rsidRPr="00F14118">
        <w:t xml:space="preserve"> </w:t>
      </w:r>
      <w:proofErr w:type="spellStart"/>
      <w:r w:rsidRPr="00F14118">
        <w:t>paras</w:t>
      </w:r>
      <w:proofErr w:type="spellEnd"/>
      <w:r w:rsidRPr="00F14118">
        <w:t>. 29-42.</w:t>
      </w:r>
    </w:p>
  </w:footnote>
  <w:footnote w:id="42">
    <w:p w14:paraId="379F74E6" w14:textId="77777777" w:rsidR="00706162" w:rsidRPr="00FD503F" w:rsidRDefault="00706162">
      <w:pPr>
        <w:pStyle w:val="FootnoteText"/>
      </w:pPr>
      <w:r w:rsidRPr="00F14118">
        <w:rPr>
          <w:rStyle w:val="FootnoteReference"/>
        </w:rPr>
        <w:footnoteRef/>
      </w:r>
      <w:r w:rsidRPr="00F14118">
        <w:t xml:space="preserve"> </w:t>
      </w:r>
      <w:r w:rsidRPr="00F14118">
        <w:rPr>
          <w:i/>
        </w:rPr>
        <w:t>Incentive Auction Report and Order</w:t>
      </w:r>
      <w:r w:rsidRPr="00F14118">
        <w:t xml:space="preserve">, 29 FCC </w:t>
      </w:r>
      <w:proofErr w:type="spellStart"/>
      <w:r w:rsidRPr="00F14118">
        <w:t>Rcd</w:t>
      </w:r>
      <w:proofErr w:type="spellEnd"/>
      <w:r w:rsidRPr="00F14118">
        <w:t xml:space="preserve"> at 6836, </w:t>
      </w:r>
      <w:proofErr w:type="spellStart"/>
      <w:r w:rsidRPr="00F14118">
        <w:t>para</w:t>
      </w:r>
      <w:proofErr w:type="spellEnd"/>
      <w:r w:rsidRPr="00F14118">
        <w:t xml:space="preserve">. </w:t>
      </w:r>
      <w:proofErr w:type="gramStart"/>
      <w:r w:rsidRPr="00F14118">
        <w:t>661; 47 U.S.C. § 309(j).</w:t>
      </w:r>
      <w:proofErr w:type="gramEnd"/>
      <w:r w:rsidRPr="00F14118">
        <w:t xml:space="preserve"> </w:t>
      </w:r>
      <w:r>
        <w:t xml:space="preserve"> </w:t>
      </w:r>
      <w:r w:rsidRPr="00F14118">
        <w:t xml:space="preserve">The Communications Act, however, provides that the Commission shall use engineering solutions, negotiations, threshold qualifications, service regulations and other means to avoid mutual exclusivity where the Commission determines that doing so would serve the public interest.  </w:t>
      </w:r>
      <w:proofErr w:type="gramStart"/>
      <w:r w:rsidRPr="00F14118">
        <w:rPr>
          <w:i/>
        </w:rPr>
        <w:t xml:space="preserve">See </w:t>
      </w:r>
      <w:r w:rsidRPr="00FD503F">
        <w:t>47 U.S.C. § 309(j)(6)(e).</w:t>
      </w:r>
      <w:proofErr w:type="gramEnd"/>
    </w:p>
  </w:footnote>
  <w:footnote w:id="43">
    <w:p w14:paraId="7B546069" w14:textId="77777777" w:rsidR="00706162" w:rsidRPr="00FD503F" w:rsidRDefault="00706162">
      <w:pPr>
        <w:pStyle w:val="FootnoteText"/>
      </w:pPr>
      <w:r w:rsidRPr="00F14118">
        <w:rPr>
          <w:rStyle w:val="FootnoteReference"/>
        </w:rPr>
        <w:footnoteRef/>
      </w:r>
      <w:r w:rsidRPr="00F14118">
        <w:t xml:space="preserve"> In this regard, all displacement applications submitted during the limited </w:t>
      </w:r>
      <w:proofErr w:type="gramStart"/>
      <w:r w:rsidRPr="00F14118">
        <w:t>application filing</w:t>
      </w:r>
      <w:proofErr w:type="gramEnd"/>
      <w:r w:rsidRPr="00F14118">
        <w:t xml:space="preserve"> window will be considered filed on the last day of the window. </w:t>
      </w:r>
      <w:r>
        <w:t xml:space="preserve"> </w:t>
      </w:r>
      <w:r w:rsidRPr="00F14118">
        <w:rPr>
          <w:i/>
        </w:rPr>
        <w:t>See Incentive Auction Report and Order</w:t>
      </w:r>
      <w:r w:rsidRPr="00F14118">
        <w:t xml:space="preserve">, 29 FCC </w:t>
      </w:r>
      <w:proofErr w:type="spellStart"/>
      <w:r w:rsidRPr="00F14118">
        <w:t>Rcd</w:t>
      </w:r>
      <w:proofErr w:type="spellEnd"/>
      <w:r w:rsidRPr="00F14118">
        <w:t xml:space="preserve"> at 6836 n.1837.</w:t>
      </w:r>
      <w:r w:rsidRPr="00FD503F">
        <w:t xml:space="preserve"> </w:t>
      </w:r>
      <w:r>
        <w:t xml:space="preserve"> </w:t>
      </w:r>
      <w:r w:rsidRPr="00FD503F">
        <w:t xml:space="preserve">Accordingly, displacement applications filed later in the window </w:t>
      </w:r>
      <w:r>
        <w:t>are</w:t>
      </w:r>
      <w:r w:rsidRPr="00FD503F">
        <w:t xml:space="preserve"> not </w:t>
      </w:r>
      <w:r>
        <w:t xml:space="preserve">required to </w:t>
      </w:r>
      <w:r w:rsidRPr="00FD503F">
        <w:t>consider the displacement proposals in applications filed earlier in the window.  At the close of the window, the Commission staff would make mutual exclusivity determinations.</w:t>
      </w:r>
    </w:p>
  </w:footnote>
  <w:footnote w:id="44">
    <w:p w14:paraId="6F039992" w14:textId="77777777" w:rsidR="00706162" w:rsidRPr="00F14118" w:rsidRDefault="00706162">
      <w:pPr>
        <w:pStyle w:val="FootnoteText"/>
      </w:pPr>
      <w:r w:rsidRPr="00F14118">
        <w:rPr>
          <w:rStyle w:val="FootnoteReference"/>
        </w:rPr>
        <w:footnoteRef/>
      </w:r>
      <w:r w:rsidRPr="00F14118">
        <w:t xml:space="preserve"> </w:t>
      </w:r>
      <w:proofErr w:type="gramStart"/>
      <w:r w:rsidRPr="00F14118">
        <w:t>47 C.F.R. § 73.5000(a).</w:t>
      </w:r>
      <w:proofErr w:type="gramEnd"/>
    </w:p>
  </w:footnote>
  <w:footnote w:id="45">
    <w:p w14:paraId="782778F0" w14:textId="77777777" w:rsidR="00706162" w:rsidRPr="00FD503F" w:rsidRDefault="00706162">
      <w:pPr>
        <w:pStyle w:val="FootnoteText"/>
      </w:pPr>
      <w:r w:rsidRPr="00F14118">
        <w:rPr>
          <w:rStyle w:val="FootnoteReference"/>
        </w:rPr>
        <w:footnoteRef/>
      </w:r>
      <w:r w:rsidRPr="00F14118">
        <w:t xml:space="preserve"> </w:t>
      </w:r>
      <w:proofErr w:type="gramStart"/>
      <w:r w:rsidRPr="00F14118">
        <w:rPr>
          <w:i/>
        </w:rPr>
        <w:t>See</w:t>
      </w:r>
      <w:r w:rsidRPr="00F14118">
        <w:t xml:space="preserve"> 47 C.F.R. §§ </w:t>
      </w:r>
      <w:r w:rsidRPr="00FD503F">
        <w:t>73.3572</w:t>
      </w:r>
      <w:r>
        <w:t>(a)</w:t>
      </w:r>
      <w:r w:rsidRPr="00FD503F">
        <w:t>(4)(ii)</w:t>
      </w:r>
      <w:r>
        <w:t xml:space="preserve"> and </w:t>
      </w:r>
      <w:r w:rsidRPr="00756403">
        <w:t>74.787(a)(4)</w:t>
      </w:r>
      <w:r>
        <w:t>.</w:t>
      </w:r>
      <w:proofErr w:type="gramEnd"/>
    </w:p>
  </w:footnote>
  <w:footnote w:id="46">
    <w:p w14:paraId="1D57759E" w14:textId="77777777" w:rsidR="00706162" w:rsidRDefault="00706162">
      <w:pPr>
        <w:pStyle w:val="FootnoteText"/>
      </w:pPr>
      <w:r>
        <w:rPr>
          <w:rStyle w:val="FootnoteReference"/>
        </w:rPr>
        <w:footnoteRef/>
      </w:r>
      <w:r>
        <w:t xml:space="preserve"> In that case, the new or minor change application would be dismissed.</w:t>
      </w:r>
    </w:p>
  </w:footnote>
  <w:footnote w:id="47">
    <w:p w14:paraId="3F47ED90" w14:textId="77777777" w:rsidR="00706162" w:rsidRPr="0008697D" w:rsidRDefault="00706162">
      <w:pPr>
        <w:pStyle w:val="FootnoteText"/>
      </w:pPr>
      <w:r>
        <w:rPr>
          <w:rStyle w:val="FootnoteReference"/>
        </w:rPr>
        <w:footnoteRef/>
      </w:r>
      <w:r>
        <w:t xml:space="preserve"> </w:t>
      </w:r>
      <w:r>
        <w:rPr>
          <w:i/>
        </w:rPr>
        <w:t xml:space="preserve">See supra </w:t>
      </w:r>
      <w:proofErr w:type="spellStart"/>
      <w:r>
        <w:t>paras</w:t>
      </w:r>
      <w:proofErr w:type="spellEnd"/>
      <w:r>
        <w:t>. 10-11.</w:t>
      </w:r>
    </w:p>
  </w:footnote>
  <w:footnote w:id="48">
    <w:p w14:paraId="45718BDF" w14:textId="77777777" w:rsidR="00706162" w:rsidRDefault="00706162">
      <w:pPr>
        <w:pStyle w:val="FootnoteText"/>
      </w:pPr>
      <w:r>
        <w:rPr>
          <w:rStyle w:val="FootnoteReference"/>
        </w:rPr>
        <w:footnoteRef/>
      </w:r>
      <w:r>
        <w:t xml:space="preserve"> </w:t>
      </w:r>
      <w:r w:rsidRPr="00B7142D">
        <w:t xml:space="preserve">47 U.S.C. §§ 301, </w:t>
      </w:r>
      <w:proofErr w:type="gramStart"/>
      <w:r w:rsidRPr="00B7142D">
        <w:rPr>
          <w:i/>
        </w:rPr>
        <w:t>et</w:t>
      </w:r>
      <w:proofErr w:type="gramEnd"/>
      <w:r w:rsidRPr="00B7142D">
        <w:rPr>
          <w:i/>
        </w:rPr>
        <w:t xml:space="preserve"> seq.</w:t>
      </w:r>
    </w:p>
  </w:footnote>
  <w:footnote w:id="49">
    <w:p w14:paraId="300FCCB2" w14:textId="77777777" w:rsidR="00706162" w:rsidRPr="00F14118" w:rsidRDefault="00706162">
      <w:pPr>
        <w:pStyle w:val="FootnoteText"/>
      </w:pPr>
      <w:r w:rsidRPr="00F14118">
        <w:rPr>
          <w:rStyle w:val="FootnoteReference"/>
        </w:rPr>
        <w:footnoteRef/>
      </w:r>
      <w:r w:rsidRPr="00F14118">
        <w:t xml:space="preserve"> </w:t>
      </w:r>
      <w:proofErr w:type="spellStart"/>
      <w:r w:rsidRPr="00F14118">
        <w:rPr>
          <w:i/>
        </w:rPr>
        <w:t>Cellco</w:t>
      </w:r>
      <w:proofErr w:type="spellEnd"/>
      <w:r w:rsidRPr="00F14118">
        <w:rPr>
          <w:i/>
        </w:rPr>
        <w:t xml:space="preserve"> </w:t>
      </w:r>
      <w:proofErr w:type="spellStart"/>
      <w:r w:rsidRPr="00F14118">
        <w:rPr>
          <w:i/>
        </w:rPr>
        <w:t>P’ship</w:t>
      </w:r>
      <w:proofErr w:type="spellEnd"/>
      <w:r w:rsidRPr="00F14118">
        <w:rPr>
          <w:i/>
        </w:rPr>
        <w:t xml:space="preserve"> v. FCC, </w:t>
      </w:r>
      <w:r w:rsidRPr="00F14118">
        <w:t>700 F.3d 534, 541, 542 (D.C. Cir. 2012) (internal quotes and citations omitted).</w:t>
      </w:r>
      <w:r>
        <w:t xml:space="preserve">  </w:t>
      </w:r>
      <w:r w:rsidRPr="00B7142D">
        <w:t>Determinations with respect to spectrum management policy (including allocation and assignment policies) have long been recognized to be precisely the sort that Congress intended to leave to the broad discretion of the Commission under section 303 of the Communications Act.</w:t>
      </w:r>
      <w:r>
        <w:t xml:space="preserve">  </w:t>
      </w:r>
      <w:r w:rsidRPr="00F14118">
        <w:rPr>
          <w:i/>
        </w:rPr>
        <w:t xml:space="preserve">See Nat’l </w:t>
      </w:r>
      <w:proofErr w:type="spellStart"/>
      <w:r w:rsidRPr="00F14118">
        <w:rPr>
          <w:i/>
        </w:rPr>
        <w:t>Ass’n</w:t>
      </w:r>
      <w:proofErr w:type="spellEnd"/>
      <w:r w:rsidRPr="00F14118">
        <w:rPr>
          <w:i/>
        </w:rPr>
        <w:t xml:space="preserve"> of Regulatory Util. </w:t>
      </w:r>
      <w:proofErr w:type="spellStart"/>
      <w:r w:rsidRPr="00F14118">
        <w:rPr>
          <w:i/>
        </w:rPr>
        <w:t>Comm’rs</w:t>
      </w:r>
      <w:proofErr w:type="spellEnd"/>
      <w:r w:rsidRPr="00F14118">
        <w:rPr>
          <w:i/>
        </w:rPr>
        <w:t xml:space="preserve"> v. FCC</w:t>
      </w:r>
      <w:r w:rsidRPr="00F14118">
        <w:t xml:space="preserve">, 525 F.2d 630, 635-36 (D.C. Cir. 1976) (initial allocation of spectrum for land mobile radio service).   </w:t>
      </w:r>
    </w:p>
  </w:footnote>
  <w:footnote w:id="50">
    <w:p w14:paraId="692C849B" w14:textId="77777777" w:rsidR="00706162" w:rsidRPr="00F14118" w:rsidRDefault="00706162">
      <w:pPr>
        <w:pStyle w:val="FootnoteText"/>
      </w:pPr>
      <w:r w:rsidRPr="00F14118">
        <w:rPr>
          <w:rStyle w:val="FootnoteReference"/>
        </w:rPr>
        <w:footnoteRef/>
      </w:r>
      <w:r w:rsidRPr="00F14118">
        <w:t xml:space="preserve"> </w:t>
      </w:r>
      <w:proofErr w:type="gramStart"/>
      <w:r w:rsidRPr="00F14118">
        <w:t>Spectrum Act at § 6403(b)(5).</w:t>
      </w:r>
      <w:proofErr w:type="gramEnd"/>
    </w:p>
  </w:footnote>
  <w:footnote w:id="51">
    <w:p w14:paraId="6BE81422" w14:textId="77777777" w:rsidR="00706162" w:rsidRPr="00FD503F" w:rsidRDefault="00706162" w:rsidP="00B2703B">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Incentive Auction Report and Order</w:t>
      </w:r>
      <w:r w:rsidRPr="00FD503F">
        <w:t xml:space="preserve">, 29 FCC </w:t>
      </w:r>
      <w:proofErr w:type="spellStart"/>
      <w:r w:rsidRPr="00FD503F">
        <w:t>Rcd</w:t>
      </w:r>
      <w:proofErr w:type="spellEnd"/>
      <w:r w:rsidRPr="00FD503F">
        <w:t xml:space="preserve"> at 6673, </w:t>
      </w:r>
      <w:proofErr w:type="spellStart"/>
      <w:r w:rsidRPr="00FD503F">
        <w:t>para</w:t>
      </w:r>
      <w:proofErr w:type="spellEnd"/>
      <w:r w:rsidRPr="00FD503F">
        <w:t xml:space="preserve">. </w:t>
      </w:r>
      <w:proofErr w:type="gramStart"/>
      <w:r w:rsidRPr="00FD503F">
        <w:t>239 (“This provision simply clarifies the meaning and scope of section 6403; it does not limit the Commission’s spectrum management authority.”).</w:t>
      </w:r>
      <w:proofErr w:type="gramEnd"/>
      <w:r w:rsidRPr="00FD503F">
        <w:t xml:space="preserve">  </w:t>
      </w:r>
      <w:r w:rsidRPr="00FD503F">
        <w:rPr>
          <w:i/>
        </w:rPr>
        <w:t>Cf</w:t>
      </w:r>
      <w:r w:rsidRPr="00FD503F">
        <w:t xml:space="preserve">. </w:t>
      </w:r>
      <w:r w:rsidRPr="00FD503F">
        <w:rPr>
          <w:i/>
        </w:rPr>
        <w:t xml:space="preserve">AT&amp;T Corp. v. Iowa </w:t>
      </w:r>
      <w:proofErr w:type="spellStart"/>
      <w:r w:rsidRPr="00FD503F">
        <w:rPr>
          <w:i/>
        </w:rPr>
        <w:t>Utils</w:t>
      </w:r>
      <w:proofErr w:type="spellEnd"/>
      <w:r w:rsidRPr="00FD503F">
        <w:rPr>
          <w:i/>
        </w:rPr>
        <w:t xml:space="preserve">. Bd., </w:t>
      </w:r>
      <w:r w:rsidRPr="00FD503F">
        <w:t xml:space="preserve">525 U.S. 366, 378 (1999) (statutory provision specifying that “nothing . . </w:t>
      </w:r>
      <w:proofErr w:type="gramStart"/>
      <w:r w:rsidRPr="00FD503F">
        <w:t>.  shall</w:t>
      </w:r>
      <w:proofErr w:type="gramEnd"/>
      <w:r w:rsidRPr="00FD503F">
        <w:t xml:space="preserve"> be construed” to apply to certain subject matters did not limit general rulemaking authority).</w:t>
      </w:r>
    </w:p>
  </w:footnote>
  <w:footnote w:id="52">
    <w:p w14:paraId="415956C9" w14:textId="77777777" w:rsidR="00706162" w:rsidRPr="00F14118" w:rsidRDefault="00706162" w:rsidP="00B2703B">
      <w:pPr>
        <w:pStyle w:val="FootnoteText"/>
      </w:pPr>
      <w:r w:rsidRPr="00F14118">
        <w:rPr>
          <w:rStyle w:val="FootnoteReference"/>
        </w:rPr>
        <w:footnoteRef/>
      </w:r>
      <w:r w:rsidRPr="00F14118">
        <w:t xml:space="preserve"> </w:t>
      </w:r>
      <w:proofErr w:type="gramStart"/>
      <w:r w:rsidRPr="00F14118">
        <w:t>Spectrum Act at § 6403(</w:t>
      </w:r>
      <w:proofErr w:type="spellStart"/>
      <w:r w:rsidRPr="00F14118">
        <w:t>i</w:t>
      </w:r>
      <w:proofErr w:type="spellEnd"/>
      <w:r w:rsidRPr="00F14118">
        <w:t>)(1).</w:t>
      </w:r>
      <w:proofErr w:type="gramEnd"/>
    </w:p>
  </w:footnote>
  <w:footnote w:id="53">
    <w:p w14:paraId="1B632F5E"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i/>
        </w:rPr>
        <w:t xml:space="preserve">Id. </w:t>
      </w:r>
      <w:r w:rsidRPr="00E37493">
        <w:t>at</w:t>
      </w:r>
      <w:r w:rsidRPr="00F14118">
        <w:rPr>
          <w:i/>
        </w:rPr>
        <w:t xml:space="preserve"> </w:t>
      </w:r>
      <w:r w:rsidRPr="00F14118">
        <w:t xml:space="preserve">§ </w:t>
      </w:r>
      <w:r w:rsidRPr="00F14118">
        <w:rPr>
          <w:color w:val="000000"/>
        </w:rPr>
        <w:t>6403(</w:t>
      </w:r>
      <w:proofErr w:type="spellStart"/>
      <w:r w:rsidRPr="00F14118">
        <w:rPr>
          <w:color w:val="000000"/>
        </w:rPr>
        <w:t>i</w:t>
      </w:r>
      <w:proofErr w:type="spellEnd"/>
      <w:r w:rsidRPr="00F14118">
        <w:rPr>
          <w:color w:val="000000"/>
        </w:rPr>
        <w:t>)(2).</w:t>
      </w:r>
      <w:proofErr w:type="gramEnd"/>
    </w:p>
  </w:footnote>
  <w:footnote w:id="54">
    <w:p w14:paraId="471CF487" w14:textId="77777777" w:rsidR="00706162" w:rsidRPr="00FD503F" w:rsidRDefault="00706162" w:rsidP="005A6773">
      <w:pPr>
        <w:pStyle w:val="FootnoteText"/>
      </w:pPr>
      <w:r w:rsidRPr="00F14118">
        <w:rPr>
          <w:rStyle w:val="FootnoteReference"/>
        </w:rPr>
        <w:footnoteRef/>
      </w:r>
      <w:r w:rsidRPr="00F14118">
        <w:t xml:space="preserve"> </w:t>
      </w:r>
      <w:r w:rsidRPr="00F14118">
        <w:rPr>
          <w:i/>
        </w:rPr>
        <w:t>See generally TV White Spaces Second Report and Order</w:t>
      </w:r>
      <w:r w:rsidRPr="00FD503F">
        <w:t>.</w:t>
      </w:r>
    </w:p>
  </w:footnote>
  <w:footnote w:id="55">
    <w:p w14:paraId="3CDDAE8B" w14:textId="77777777" w:rsidR="00706162" w:rsidRPr="00FD503F" w:rsidRDefault="00706162">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TV White Spaces Second Report and Order</w:t>
      </w:r>
      <w:r w:rsidRPr="00FD503F">
        <w:t xml:space="preserve">, </w:t>
      </w:r>
      <w:r w:rsidRPr="00FD503F">
        <w:rPr>
          <w:color w:val="000000"/>
        </w:rPr>
        <w:t xml:space="preserve">23 FCC </w:t>
      </w:r>
      <w:proofErr w:type="spellStart"/>
      <w:r w:rsidRPr="00FD503F">
        <w:rPr>
          <w:color w:val="000000"/>
        </w:rPr>
        <w:t>Rcd</w:t>
      </w:r>
      <w:proofErr w:type="spellEnd"/>
      <w:r w:rsidRPr="00FD503F">
        <w:rPr>
          <w:color w:val="000000"/>
        </w:rPr>
        <w:t xml:space="preserve"> at 16827, </w:t>
      </w:r>
      <w:proofErr w:type="spellStart"/>
      <w:r w:rsidRPr="00FD503F">
        <w:rPr>
          <w:color w:val="000000"/>
        </w:rPr>
        <w:t>para</w:t>
      </w:r>
      <w:proofErr w:type="spellEnd"/>
      <w:r w:rsidRPr="00FD503F">
        <w:rPr>
          <w:color w:val="000000"/>
        </w:rPr>
        <w:t>. 50 (“[</w:t>
      </w:r>
      <w:proofErr w:type="gramStart"/>
      <w:r w:rsidRPr="00FD503F">
        <w:rPr>
          <w:color w:val="000000"/>
        </w:rPr>
        <w:t>F]</w:t>
      </w:r>
      <w:proofErr w:type="spellStart"/>
      <w:r w:rsidRPr="00FD503F">
        <w:rPr>
          <w:color w:val="000000"/>
        </w:rPr>
        <w:t>uture</w:t>
      </w:r>
      <w:proofErr w:type="spellEnd"/>
      <w:proofErr w:type="gramEnd"/>
      <w:r w:rsidRPr="00FD503F">
        <w:rPr>
          <w:color w:val="000000"/>
        </w:rPr>
        <w:t xml:space="preserve"> broadcast uses of the television band will have the right to interference protection from TV band devices.”).  </w:t>
      </w:r>
      <w:r w:rsidRPr="00FD503F">
        <w:rPr>
          <w:i/>
          <w:color w:val="000000"/>
        </w:rPr>
        <w:t>Cf.</w:t>
      </w:r>
      <w:r w:rsidRPr="00FD503F">
        <w:rPr>
          <w:color w:val="000000"/>
        </w:rPr>
        <w:t xml:space="preserve"> </w:t>
      </w:r>
      <w:r w:rsidRPr="00FD503F">
        <w:rPr>
          <w:i/>
          <w:color w:val="000000"/>
        </w:rPr>
        <w:t>Amendment of Parts 73 and 74 of the Commission’s Rules to Establish Rules for Digital Low Power Television</w:t>
      </w:r>
      <w:r w:rsidRPr="00FD503F">
        <w:rPr>
          <w:color w:val="000000"/>
        </w:rPr>
        <w:t xml:space="preserve">, Further Notice of Proposed Rulemaking and Memorandum Opinion and Order, 25 FCC </w:t>
      </w:r>
      <w:proofErr w:type="spellStart"/>
      <w:r w:rsidRPr="00FD503F">
        <w:rPr>
          <w:color w:val="000000"/>
        </w:rPr>
        <w:t>Rcd</w:t>
      </w:r>
      <w:proofErr w:type="spellEnd"/>
      <w:r w:rsidRPr="00FD503F">
        <w:rPr>
          <w:color w:val="000000"/>
        </w:rPr>
        <w:t xml:space="preserve"> 13833, 13849, </w:t>
      </w:r>
      <w:proofErr w:type="spellStart"/>
      <w:r w:rsidRPr="00FD503F">
        <w:rPr>
          <w:color w:val="000000"/>
        </w:rPr>
        <w:t>para</w:t>
      </w:r>
      <w:proofErr w:type="spellEnd"/>
      <w:r w:rsidRPr="00FD503F">
        <w:rPr>
          <w:color w:val="000000"/>
        </w:rPr>
        <w:t>. 47 (2010) (dismissing as moot request to condition the authorization of LPTV digital companion channels on the acceptance of unlicensed operations on the channel, stating that “[</w:t>
      </w:r>
      <w:proofErr w:type="spellStart"/>
      <w:proofErr w:type="gramStart"/>
      <w:r w:rsidRPr="00FD503F">
        <w:rPr>
          <w:color w:val="000000"/>
        </w:rPr>
        <w:t>i</w:t>
      </w:r>
      <w:proofErr w:type="spellEnd"/>
      <w:r w:rsidRPr="00FD503F">
        <w:rPr>
          <w:color w:val="000000"/>
        </w:rPr>
        <w:t>]</w:t>
      </w:r>
      <w:proofErr w:type="spellStart"/>
      <w:r w:rsidRPr="00FD503F">
        <w:rPr>
          <w:color w:val="000000"/>
        </w:rPr>
        <w:t>ssues</w:t>
      </w:r>
      <w:proofErr w:type="spellEnd"/>
      <w:proofErr w:type="gramEnd"/>
      <w:r w:rsidRPr="00FD503F">
        <w:rPr>
          <w:color w:val="000000"/>
        </w:rPr>
        <w:t xml:space="preserve"> related to the relative spectrum use priorities of licensed stations and unlicensed devices were appropriately addressed in the unlicensed devices proceeding (citing </w:t>
      </w:r>
      <w:r w:rsidRPr="00FD503F">
        <w:rPr>
          <w:i/>
        </w:rPr>
        <w:t>TV White Spaces Second Report and Order</w:t>
      </w:r>
      <w:r w:rsidRPr="00FD503F">
        <w:rPr>
          <w:color w:val="000000"/>
        </w:rPr>
        <w:t xml:space="preserve">)); </w:t>
      </w:r>
      <w:r w:rsidRPr="00FD503F">
        <w:rPr>
          <w:i/>
        </w:rPr>
        <w:t>Digital Television Distributed Transmission System Technologies</w:t>
      </w:r>
      <w:r w:rsidRPr="00FD503F">
        <w:t xml:space="preserve">, </w:t>
      </w:r>
      <w:r>
        <w:t xml:space="preserve">MB Docket No. 05-312, </w:t>
      </w:r>
      <w:r w:rsidRPr="00FD503F">
        <w:t xml:space="preserve">Report and Order, 23 FCC </w:t>
      </w:r>
      <w:proofErr w:type="spellStart"/>
      <w:r w:rsidRPr="00FD503F">
        <w:t>Rcd</w:t>
      </w:r>
      <w:proofErr w:type="spellEnd"/>
      <w:r w:rsidRPr="00FD503F">
        <w:t xml:space="preserve"> 16731, 16743, </w:t>
      </w:r>
      <w:proofErr w:type="spellStart"/>
      <w:r>
        <w:t>para</w:t>
      </w:r>
      <w:proofErr w:type="spellEnd"/>
      <w:r>
        <w:t>.</w:t>
      </w:r>
      <w:r w:rsidRPr="00FD503F">
        <w:t xml:space="preserve"> </w:t>
      </w:r>
      <w:proofErr w:type="gramStart"/>
      <w:r w:rsidRPr="00FD503F">
        <w:t xml:space="preserve">19 (2008) </w:t>
      </w:r>
      <w:r w:rsidRPr="00FD503F">
        <w:rPr>
          <w:color w:val="000000"/>
        </w:rPr>
        <w:t>(declining to restrict TV operations to provide “more vacant channels” for the operation of unlicensed devices).</w:t>
      </w:r>
      <w:proofErr w:type="gramEnd"/>
    </w:p>
  </w:footnote>
  <w:footnote w:id="56">
    <w:p w14:paraId="1F7DD99F" w14:textId="77777777" w:rsidR="00706162" w:rsidRPr="00FD503F" w:rsidRDefault="00706162">
      <w:pPr>
        <w:pStyle w:val="FootnoteText"/>
      </w:pPr>
      <w:r w:rsidRPr="00F14118">
        <w:rPr>
          <w:rStyle w:val="FootnoteReference"/>
        </w:rPr>
        <w:footnoteRef/>
      </w:r>
      <w:r w:rsidRPr="00F14118">
        <w:t xml:space="preserve"> </w:t>
      </w:r>
      <w:r w:rsidRPr="00F14118">
        <w:rPr>
          <w:i/>
        </w:rPr>
        <w:t xml:space="preserve">See supra </w:t>
      </w:r>
      <w:r w:rsidRPr="00F14118">
        <w:t xml:space="preserve">Section </w:t>
      </w:r>
      <w:r w:rsidRPr="00FD503F">
        <w:t>III.A.</w:t>
      </w:r>
    </w:p>
  </w:footnote>
  <w:footnote w:id="57">
    <w:p w14:paraId="3A127B69" w14:textId="77777777" w:rsidR="00706162" w:rsidRPr="00A371A5" w:rsidRDefault="00706162">
      <w:pPr>
        <w:pStyle w:val="FootnoteText"/>
      </w:pPr>
      <w:r w:rsidRPr="00F14118">
        <w:rPr>
          <w:rStyle w:val="FootnoteReference"/>
        </w:rPr>
        <w:footnoteRef/>
      </w:r>
      <w:r w:rsidRPr="00F14118">
        <w:t xml:space="preserve"> </w:t>
      </w:r>
      <w:r w:rsidRPr="00F14118">
        <w:rPr>
          <w:i/>
        </w:rPr>
        <w:t>Id.</w:t>
      </w:r>
    </w:p>
  </w:footnote>
  <w:footnote w:id="58">
    <w:p w14:paraId="72152C08" w14:textId="77777777" w:rsidR="00706162" w:rsidRDefault="00706162">
      <w:pPr>
        <w:pStyle w:val="FootnoteText"/>
      </w:pPr>
      <w:r>
        <w:rPr>
          <w:rStyle w:val="FootnoteReference"/>
        </w:rPr>
        <w:footnoteRef/>
      </w:r>
      <w:r>
        <w:t xml:space="preserve"> </w:t>
      </w:r>
      <w:r w:rsidRPr="00AC4670">
        <w:rPr>
          <w:i/>
        </w:rPr>
        <w:t>S</w:t>
      </w:r>
      <w:r w:rsidRPr="00FD503F">
        <w:rPr>
          <w:i/>
        </w:rPr>
        <w:t>ee Incentive Auction Report and Order</w:t>
      </w:r>
      <w:r w:rsidRPr="00FD503F">
        <w:t xml:space="preserve">, 29 FCC </w:t>
      </w:r>
      <w:proofErr w:type="spellStart"/>
      <w:r w:rsidRPr="00FD503F">
        <w:t>Rcd</w:t>
      </w:r>
      <w:proofErr w:type="spellEnd"/>
      <w:r w:rsidRPr="00FD503F">
        <w:t xml:space="preserve"> at 6791, </w:t>
      </w:r>
      <w:proofErr w:type="spellStart"/>
      <w:r w:rsidRPr="00FD503F">
        <w:t>paras</w:t>
      </w:r>
      <w:proofErr w:type="spellEnd"/>
      <w:r w:rsidRPr="00FD503F">
        <w:t xml:space="preserve">. </w:t>
      </w:r>
      <w:proofErr w:type="gramStart"/>
      <w:r w:rsidRPr="00FD503F">
        <w:t xml:space="preserve">547-48 (stations reassigned to channels within their existing band may slightly extend their coverage contour as defined by the technical parameters specified in the </w:t>
      </w:r>
      <w:r w:rsidRPr="00FD503F">
        <w:rPr>
          <w:i/>
        </w:rPr>
        <w:t>Channel Reassignment PN</w:t>
      </w:r>
      <w:r w:rsidRPr="00FD503F">
        <w:t xml:space="preserve">); </w:t>
      </w:r>
      <w:r w:rsidRPr="00FD503F">
        <w:rPr>
          <w:i/>
        </w:rPr>
        <w:t>id</w:t>
      </w:r>
      <w:r w:rsidRPr="00FD503F">
        <w:t>.</w:t>
      </w:r>
      <w:proofErr w:type="gramEnd"/>
      <w:r w:rsidRPr="00FD503F">
        <w:t xml:space="preserve"> </w:t>
      </w:r>
      <w:proofErr w:type="gramStart"/>
      <w:r w:rsidRPr="00FD503F">
        <w:t>at</w:t>
      </w:r>
      <w:proofErr w:type="gramEnd"/>
      <w:r w:rsidRPr="00FD503F">
        <w:t xml:space="preserve"> 6792-95, </w:t>
      </w:r>
      <w:proofErr w:type="spellStart"/>
      <w:r w:rsidRPr="00FD503F">
        <w:t>paras</w:t>
      </w:r>
      <w:proofErr w:type="spellEnd"/>
      <w:r w:rsidRPr="00FD503F">
        <w:t xml:space="preserve">. </w:t>
      </w:r>
      <w:proofErr w:type="gramStart"/>
      <w:r w:rsidRPr="00FD503F">
        <w:t>552-56 (reassigned stations may apply for alternate channels and expanded facilities).</w:t>
      </w:r>
      <w:proofErr w:type="gramEnd"/>
      <w:r w:rsidRPr="00FD503F">
        <w:t xml:space="preserve">  </w:t>
      </w:r>
    </w:p>
  </w:footnote>
  <w:footnote w:id="59">
    <w:p w14:paraId="31471449" w14:textId="77777777" w:rsidR="00706162" w:rsidRPr="00F14118" w:rsidRDefault="00706162">
      <w:pPr>
        <w:pStyle w:val="FootnoteText"/>
      </w:pPr>
      <w:r w:rsidRPr="00F14118">
        <w:rPr>
          <w:rStyle w:val="FootnoteReference"/>
        </w:rPr>
        <w:footnoteRef/>
      </w:r>
      <w:r w:rsidRPr="00F14118">
        <w:t xml:space="preserve"> Spectrum Act </w:t>
      </w:r>
      <w:r>
        <w:t xml:space="preserve">at </w:t>
      </w:r>
      <w:r w:rsidRPr="00F14118">
        <w:t>§ 6403(b)(4)(D).</w:t>
      </w:r>
    </w:p>
  </w:footnote>
  <w:footnote w:id="60">
    <w:p w14:paraId="0EE20538" w14:textId="77777777" w:rsidR="00706162" w:rsidRPr="00F14118" w:rsidRDefault="00706162">
      <w:pPr>
        <w:pStyle w:val="FootnoteText"/>
      </w:pPr>
      <w:r w:rsidRPr="00F14118">
        <w:rPr>
          <w:rStyle w:val="FootnoteReference"/>
        </w:rPr>
        <w:footnoteRef/>
      </w:r>
      <w:r w:rsidRPr="00F14118">
        <w:t xml:space="preserve"> </w:t>
      </w:r>
      <w:r w:rsidRPr="00B7142D">
        <w:rPr>
          <w:i/>
        </w:rPr>
        <w:t>Incentive Auction Report and Order</w:t>
      </w:r>
      <w:r w:rsidRPr="00F14118">
        <w:t xml:space="preserve">, 29 FCC </w:t>
      </w:r>
      <w:proofErr w:type="spellStart"/>
      <w:r w:rsidRPr="00F14118">
        <w:t>Rcd</w:t>
      </w:r>
      <w:proofErr w:type="spellEnd"/>
      <w:r w:rsidRPr="00F14118">
        <w:t xml:space="preserve"> at 6670-71, </w:t>
      </w:r>
      <w:proofErr w:type="spellStart"/>
      <w:r w:rsidRPr="00F14118">
        <w:t>para</w:t>
      </w:r>
      <w:proofErr w:type="spellEnd"/>
      <w:r w:rsidRPr="00F14118">
        <w:t>. 233.</w:t>
      </w:r>
    </w:p>
  </w:footnote>
  <w:footnote w:id="61">
    <w:p w14:paraId="0FEF00E0" w14:textId="77777777" w:rsidR="00706162" w:rsidRPr="00F14118" w:rsidRDefault="00706162">
      <w:pPr>
        <w:pStyle w:val="FootnoteText"/>
      </w:pPr>
      <w:r w:rsidRPr="00F14118">
        <w:rPr>
          <w:rStyle w:val="FootnoteReference"/>
        </w:rPr>
        <w:footnoteRef/>
      </w:r>
      <w:r w:rsidRPr="00F14118">
        <w:t xml:space="preserve"> </w:t>
      </w:r>
      <w:proofErr w:type="gramStart"/>
      <w:r w:rsidRPr="00B7142D">
        <w:rPr>
          <w:i/>
        </w:rPr>
        <w:t>Id.</w:t>
      </w:r>
      <w:r w:rsidRPr="00F14118">
        <w:t xml:space="preserve"> at 6671, </w:t>
      </w:r>
      <w:proofErr w:type="spellStart"/>
      <w:r w:rsidRPr="00F14118">
        <w:t>para</w:t>
      </w:r>
      <w:proofErr w:type="spellEnd"/>
      <w:r w:rsidRPr="00F14118">
        <w:t>.</w:t>
      </w:r>
      <w:proofErr w:type="gramEnd"/>
      <w:r w:rsidRPr="00F14118">
        <w:t xml:space="preserve"> 234.</w:t>
      </w:r>
    </w:p>
  </w:footnote>
  <w:footnote w:id="62">
    <w:p w14:paraId="5F014872" w14:textId="77777777" w:rsidR="00706162" w:rsidRDefault="00706162">
      <w:pPr>
        <w:pStyle w:val="FootnoteText"/>
      </w:pPr>
      <w:r>
        <w:rPr>
          <w:rStyle w:val="FootnoteReference"/>
        </w:rPr>
        <w:footnoteRef/>
      </w:r>
      <w:r>
        <w:t xml:space="preserve"> </w:t>
      </w:r>
      <w:r w:rsidRPr="00F14118">
        <w:rPr>
          <w:i/>
        </w:rPr>
        <w:t>See infra</w:t>
      </w:r>
      <w:r w:rsidRPr="00F14118">
        <w:t xml:space="preserve"> Section III. B. 3. a. </w:t>
      </w:r>
      <w:r w:rsidRPr="00FD503F">
        <w:t>(</w:t>
      </w:r>
      <w:proofErr w:type="gramStart"/>
      <w:r w:rsidRPr="00FD503F">
        <w:t>discussing</w:t>
      </w:r>
      <w:proofErr w:type="gramEnd"/>
      <w:r w:rsidRPr="00FD503F">
        <w:t xml:space="preserve"> small likelihood that a full power television station modification would eliminate the last remaining vacant channel in an area).</w:t>
      </w:r>
    </w:p>
  </w:footnote>
  <w:footnote w:id="63">
    <w:p w14:paraId="4F452AA9" w14:textId="77777777" w:rsidR="00706162" w:rsidRDefault="00706162">
      <w:pPr>
        <w:pStyle w:val="FootnoteText"/>
      </w:pPr>
      <w:r>
        <w:rPr>
          <w:rStyle w:val="FootnoteReference"/>
        </w:rPr>
        <w:footnoteRef/>
      </w:r>
      <w:r>
        <w:t xml:space="preserve"> </w:t>
      </w:r>
      <w:proofErr w:type="gramStart"/>
      <w:r w:rsidRPr="00F14118">
        <w:rPr>
          <w:i/>
        </w:rPr>
        <w:t>See</w:t>
      </w:r>
      <w:r w:rsidRPr="00F14118">
        <w:t xml:space="preserve"> 47 C.F.R. § 74.35(b).</w:t>
      </w:r>
      <w:proofErr w:type="gramEnd"/>
    </w:p>
  </w:footnote>
  <w:footnote w:id="64">
    <w:p w14:paraId="2B8268CB" w14:textId="77777777" w:rsidR="00706162" w:rsidRPr="00FD503F" w:rsidRDefault="00706162">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 xml:space="preserve">infra </w:t>
      </w:r>
      <w:r w:rsidRPr="00F14118">
        <w:t>Section III.B.1.</w:t>
      </w:r>
    </w:p>
  </w:footnote>
  <w:footnote w:id="65">
    <w:p w14:paraId="44FAED97" w14:textId="77777777" w:rsidR="00706162" w:rsidRPr="00FD503F" w:rsidRDefault="00706162">
      <w:pPr>
        <w:pStyle w:val="FootnoteText"/>
      </w:pPr>
      <w:r w:rsidRPr="00F14118">
        <w:rPr>
          <w:rStyle w:val="FootnoteReference"/>
        </w:rPr>
        <w:footnoteRef/>
      </w:r>
      <w:r w:rsidRPr="00F14118">
        <w:t xml:space="preserve"> Section 6403(b)(5) </w:t>
      </w:r>
      <w:r w:rsidRPr="00F14118">
        <w:rPr>
          <w:color w:val="000000"/>
        </w:rPr>
        <w:t>provides that “[</w:t>
      </w:r>
      <w:proofErr w:type="gramStart"/>
      <w:r w:rsidRPr="00F14118">
        <w:rPr>
          <w:color w:val="000000"/>
        </w:rPr>
        <w:t>n]</w:t>
      </w:r>
      <w:proofErr w:type="spellStart"/>
      <w:r w:rsidRPr="00F14118">
        <w:rPr>
          <w:color w:val="000000"/>
        </w:rPr>
        <w:t>othing</w:t>
      </w:r>
      <w:proofErr w:type="spellEnd"/>
      <w:proofErr w:type="gramEnd"/>
      <w:r w:rsidRPr="00F14118">
        <w:rPr>
          <w:color w:val="000000"/>
        </w:rPr>
        <w:t xml:space="preserve"> in [section 6403(b)] shall be construed to alter the spectrum usage rights of </w:t>
      </w:r>
      <w:r w:rsidRPr="00F14118">
        <w:rPr>
          <w:i/>
          <w:color w:val="000000"/>
        </w:rPr>
        <w:t>low-power television stations</w:t>
      </w:r>
      <w:r w:rsidRPr="00F14118">
        <w:rPr>
          <w:color w:val="000000"/>
        </w:rPr>
        <w:t xml:space="preserve">.”  Spectrum Act at § 6403(b)(5) (emphasis added).  The Spectrum Act categorizes Class </w:t>
      </w:r>
      <w:proofErr w:type="gramStart"/>
      <w:r w:rsidRPr="00F14118">
        <w:rPr>
          <w:color w:val="000000"/>
        </w:rPr>
        <w:t>A</w:t>
      </w:r>
      <w:proofErr w:type="gramEnd"/>
      <w:r w:rsidRPr="00F14118">
        <w:rPr>
          <w:color w:val="000000"/>
        </w:rPr>
        <w:t xml:space="preserve"> stations as “broadcast television l</w:t>
      </w:r>
      <w:r w:rsidRPr="00FD503F">
        <w:rPr>
          <w:color w:val="000000"/>
        </w:rPr>
        <w:t xml:space="preserve">icensees,” not as low-power television stations.  </w:t>
      </w:r>
      <w:proofErr w:type="gramStart"/>
      <w:r w:rsidRPr="00FD503F">
        <w:rPr>
          <w:i/>
          <w:color w:val="000000"/>
        </w:rPr>
        <w:t>Id</w:t>
      </w:r>
      <w:r w:rsidRPr="00FD503F">
        <w:rPr>
          <w:color w:val="000000"/>
        </w:rPr>
        <w:t xml:space="preserve">. at § </w:t>
      </w:r>
      <w:r w:rsidRPr="00FD503F">
        <w:t>6001(6).</w:t>
      </w:r>
      <w:proofErr w:type="gramEnd"/>
    </w:p>
  </w:footnote>
  <w:footnote w:id="66">
    <w:p w14:paraId="69799C62" w14:textId="77777777" w:rsidR="00706162" w:rsidRPr="00FD503F" w:rsidRDefault="00706162">
      <w:pPr>
        <w:pStyle w:val="FootnoteText"/>
      </w:pPr>
      <w:r w:rsidRPr="00F14118">
        <w:rPr>
          <w:rStyle w:val="FootnoteReference"/>
        </w:rPr>
        <w:footnoteRef/>
      </w:r>
      <w:r w:rsidRPr="00F14118">
        <w:t xml:space="preserve"> </w:t>
      </w:r>
      <w:r w:rsidRPr="00F14118">
        <w:rPr>
          <w:color w:val="000000"/>
        </w:rPr>
        <w:t xml:space="preserve">Section 336(f)(7)(B) provides that the Commission may not grant a Class A license or approve a Class A license modification unless the applicant or licensee shows that it “will not cause . . . </w:t>
      </w:r>
      <w:r w:rsidRPr="00F14118">
        <w:rPr>
          <w:i/>
          <w:color w:val="000000"/>
        </w:rPr>
        <w:t>interference</w:t>
      </w:r>
      <w:r w:rsidRPr="00FD503F">
        <w:rPr>
          <w:color w:val="000000"/>
        </w:rPr>
        <w:t xml:space="preserve">” within the protected contour of any LPTV or TV translator station that was licensed prior to the date on which the application was filed, was authorized by construction permit prior to such date, or had a pending application submitted prior to such date.  47 U.S.C. § 336(f)(7)(B) (emphasis added); </w:t>
      </w:r>
      <w:r w:rsidRPr="00FD503F">
        <w:rPr>
          <w:i/>
          <w:color w:val="000000"/>
        </w:rPr>
        <w:t>see</w:t>
      </w:r>
      <w:r w:rsidRPr="00FD503F">
        <w:rPr>
          <w:color w:val="000000"/>
        </w:rPr>
        <w:t xml:space="preserve"> 47 C.F.R. §§ 73.6012, 73.6019 (providing that an application for a Class A modification will not be accepted if it “fails to protect” LPTV and TV translator stations).  </w:t>
      </w:r>
      <w:r w:rsidRPr="00FD503F">
        <w:t xml:space="preserve">Our interference prediction analysis is based on interference thresholds (D/U signal strength ratios) using OET-69 methodology.  </w:t>
      </w:r>
      <w:r w:rsidRPr="00FD503F">
        <w:rPr>
          <w:i/>
        </w:rPr>
        <w:t>See</w:t>
      </w:r>
      <w:r w:rsidRPr="00FD503F">
        <w:t xml:space="preserve"> 47 C.F.R. § 74.793.</w:t>
      </w:r>
    </w:p>
  </w:footnote>
  <w:footnote w:id="67">
    <w:p w14:paraId="79715655" w14:textId="77777777" w:rsidR="00706162" w:rsidRPr="00FD503F" w:rsidRDefault="00706162">
      <w:pPr>
        <w:pStyle w:val="FootnoteText"/>
      </w:pPr>
      <w:r w:rsidRPr="00F14118">
        <w:rPr>
          <w:rStyle w:val="FootnoteReference"/>
        </w:rPr>
        <w:footnoteRef/>
      </w:r>
      <w:r w:rsidRPr="00F14118">
        <w:t xml:space="preserve"> Due to engineering reasons, there may be a few areas in the country that will not have a vacant channel after repacking.  </w:t>
      </w:r>
      <w:r w:rsidRPr="00F14118">
        <w:rPr>
          <w:i/>
        </w:rPr>
        <w:t>Incentive Auction Report and Order</w:t>
      </w:r>
      <w:r w:rsidRPr="00FD503F">
        <w:t xml:space="preserve">, 29 FCC </w:t>
      </w:r>
      <w:proofErr w:type="spellStart"/>
      <w:r w:rsidRPr="00FD503F">
        <w:t>Rcd</w:t>
      </w:r>
      <w:proofErr w:type="spellEnd"/>
      <w:r w:rsidRPr="00FD503F">
        <w:t xml:space="preserve"> at 6683 n.803.  </w:t>
      </w:r>
    </w:p>
  </w:footnote>
  <w:footnote w:id="68">
    <w:p w14:paraId="0C09E8F4" w14:textId="77777777" w:rsidR="00706162" w:rsidRPr="00F14118" w:rsidRDefault="00706162">
      <w:pPr>
        <w:pStyle w:val="FootnoteText"/>
      </w:pPr>
      <w:r w:rsidRPr="00F14118">
        <w:rPr>
          <w:rStyle w:val="FootnoteReference"/>
        </w:rPr>
        <w:footnoteRef/>
      </w:r>
      <w:r w:rsidRPr="00F14118">
        <w:t xml:space="preserve"> </w:t>
      </w:r>
      <w:r w:rsidRPr="00F14118">
        <w:rPr>
          <w:i/>
        </w:rPr>
        <w:t>See</w:t>
      </w:r>
      <w:r>
        <w:rPr>
          <w:i/>
        </w:rPr>
        <w:t xml:space="preserve"> Unlicensed Operation in the TV Broadcast Band</w:t>
      </w:r>
      <w:r>
        <w:t xml:space="preserve">, ET Docket No. 04-186, First Report and Order and Further Notice of Proposed Rulemaking, </w:t>
      </w:r>
      <w:r w:rsidRPr="00F14118">
        <w:t xml:space="preserve">21 FCC </w:t>
      </w:r>
      <w:proofErr w:type="spellStart"/>
      <w:r w:rsidRPr="00F14118">
        <w:t>Rcd</w:t>
      </w:r>
      <w:proofErr w:type="spellEnd"/>
      <w:r w:rsidRPr="00F14118">
        <w:t xml:space="preserve"> 1226</w:t>
      </w:r>
      <w:r>
        <w:t>6</w:t>
      </w:r>
      <w:r w:rsidRPr="00F14118">
        <w:t xml:space="preserve">, </w:t>
      </w:r>
      <w:r>
        <w:t xml:space="preserve">12269, </w:t>
      </w:r>
      <w:proofErr w:type="spellStart"/>
      <w:r w:rsidRPr="00F14118">
        <w:t>para</w:t>
      </w:r>
      <w:proofErr w:type="spellEnd"/>
      <w:r w:rsidRPr="00F14118">
        <w:t xml:space="preserve">. </w:t>
      </w:r>
      <w:proofErr w:type="gramStart"/>
      <w:r w:rsidRPr="00F14118">
        <w:t>6 (2006).</w:t>
      </w:r>
      <w:proofErr w:type="gramEnd"/>
    </w:p>
  </w:footnote>
  <w:footnote w:id="69">
    <w:p w14:paraId="733A85AB" w14:textId="77777777" w:rsidR="00706162" w:rsidRPr="00F14118" w:rsidRDefault="00706162">
      <w:pPr>
        <w:pStyle w:val="FootnoteText"/>
      </w:pPr>
      <w:r w:rsidRPr="00F14118">
        <w:rPr>
          <w:rStyle w:val="FootnoteReference"/>
        </w:rPr>
        <w:footnoteRef/>
      </w:r>
      <w:r w:rsidRPr="00F14118">
        <w:t xml:space="preserve"> </w:t>
      </w:r>
      <w:r w:rsidRPr="00F14118">
        <w:rPr>
          <w:i/>
        </w:rPr>
        <w:t xml:space="preserve">See </w:t>
      </w:r>
      <w:r w:rsidRPr="00F14118">
        <w:t xml:space="preserve">Spectrum Act </w:t>
      </w:r>
      <w:r>
        <w:t xml:space="preserve">at </w:t>
      </w:r>
      <w:r w:rsidRPr="00F14118">
        <w:t>§ 6403(b)(2).</w:t>
      </w:r>
    </w:p>
  </w:footnote>
  <w:footnote w:id="70">
    <w:p w14:paraId="2726F7B2" w14:textId="77777777" w:rsidR="00706162" w:rsidRPr="00F14118" w:rsidRDefault="00706162">
      <w:pPr>
        <w:pStyle w:val="FootnoteText"/>
      </w:pPr>
      <w:r w:rsidRPr="00F14118">
        <w:rPr>
          <w:rStyle w:val="FootnoteReference"/>
        </w:rPr>
        <w:footnoteRef/>
      </w:r>
      <w:r w:rsidRPr="00F14118">
        <w:t xml:space="preserve"> </w:t>
      </w:r>
      <w:r w:rsidRPr="00F14118">
        <w:rPr>
          <w:i/>
        </w:rPr>
        <w:t xml:space="preserve">See </w:t>
      </w:r>
      <w:r>
        <w:rPr>
          <w:i/>
        </w:rPr>
        <w:t>supra</w:t>
      </w:r>
      <w:r w:rsidRPr="00F14118">
        <w:rPr>
          <w:i/>
        </w:rPr>
        <w:t xml:space="preserve"> </w:t>
      </w:r>
      <w:r w:rsidRPr="00F14118">
        <w:t>Section III. B. 2.</w:t>
      </w:r>
    </w:p>
  </w:footnote>
  <w:footnote w:id="71">
    <w:p w14:paraId="1CF923D5" w14:textId="77777777" w:rsidR="00706162" w:rsidRPr="00F14118" w:rsidRDefault="00706162">
      <w:pPr>
        <w:pStyle w:val="FootnoteText"/>
      </w:pPr>
      <w:r w:rsidRPr="00F14118">
        <w:rPr>
          <w:rStyle w:val="FootnoteReference"/>
        </w:rPr>
        <w:footnoteRef/>
      </w:r>
      <w:r w:rsidRPr="00F14118">
        <w:t xml:space="preserve"> </w:t>
      </w:r>
      <w:r w:rsidRPr="00F14118">
        <w:rPr>
          <w:i/>
        </w:rPr>
        <w:t>Id.</w:t>
      </w:r>
    </w:p>
  </w:footnote>
  <w:footnote w:id="72">
    <w:p w14:paraId="1CE076C0" w14:textId="77777777" w:rsidR="00706162" w:rsidRPr="00FD503F" w:rsidRDefault="00706162">
      <w:pPr>
        <w:pStyle w:val="FootnoteText"/>
      </w:pPr>
      <w:r w:rsidRPr="00F14118">
        <w:rPr>
          <w:rStyle w:val="FootnoteReference"/>
        </w:rPr>
        <w:footnoteRef/>
      </w:r>
      <w:r w:rsidRPr="00F14118">
        <w:t xml:space="preserve"> </w:t>
      </w:r>
      <w:r w:rsidRPr="00F14118">
        <w:rPr>
          <w:i/>
        </w:rPr>
        <w:t>Compare</w:t>
      </w:r>
      <w:r w:rsidRPr="00F14118">
        <w:t xml:space="preserve"> </w:t>
      </w:r>
      <w:r w:rsidRPr="00F14118">
        <w:rPr>
          <w:i/>
        </w:rPr>
        <w:t xml:space="preserve">infra </w:t>
      </w:r>
      <w:r w:rsidRPr="00F14118">
        <w:t xml:space="preserve">Section III. B. 2. </w:t>
      </w:r>
      <w:r w:rsidRPr="00FD503F">
        <w:t xml:space="preserve">(Class A) </w:t>
      </w:r>
      <w:proofErr w:type="gramStart"/>
      <w:r w:rsidRPr="00FD503F">
        <w:rPr>
          <w:i/>
        </w:rPr>
        <w:t>with</w:t>
      </w:r>
      <w:r w:rsidRPr="00FD503F">
        <w:t xml:space="preserve"> Section III.</w:t>
      </w:r>
      <w:proofErr w:type="gramEnd"/>
      <w:r w:rsidRPr="00FD503F">
        <w:t xml:space="preserve"> B. 3. (</w:t>
      </w:r>
      <w:proofErr w:type="gramStart"/>
      <w:r w:rsidRPr="00FD503F">
        <w:t>full</w:t>
      </w:r>
      <w:proofErr w:type="gramEnd"/>
      <w:r w:rsidRPr="00FD503F">
        <w:t xml:space="preserve"> power).</w:t>
      </w:r>
    </w:p>
  </w:footnote>
  <w:footnote w:id="73">
    <w:p w14:paraId="6A386B74" w14:textId="77777777" w:rsidR="00706162" w:rsidRPr="0008697D" w:rsidRDefault="00706162">
      <w:pPr>
        <w:pStyle w:val="FootnoteText"/>
      </w:pPr>
      <w:r>
        <w:rPr>
          <w:rStyle w:val="FootnoteReference"/>
        </w:rPr>
        <w:footnoteRef/>
      </w:r>
      <w:r>
        <w:t xml:space="preserve"> </w:t>
      </w:r>
      <w:r>
        <w:rPr>
          <w:i/>
        </w:rPr>
        <w:t>See supra</w:t>
      </w:r>
      <w:r>
        <w:t xml:space="preserve"> </w:t>
      </w:r>
      <w:proofErr w:type="spellStart"/>
      <w:r>
        <w:t>para</w:t>
      </w:r>
      <w:proofErr w:type="spellEnd"/>
      <w:r>
        <w:t xml:space="preserve">. </w:t>
      </w:r>
      <w:proofErr w:type="gramStart"/>
      <w:r>
        <w:t>18 and n. 48-49.</w:t>
      </w:r>
      <w:proofErr w:type="gramEnd"/>
    </w:p>
  </w:footnote>
  <w:footnote w:id="74">
    <w:p w14:paraId="117F3AD4" w14:textId="77777777" w:rsidR="00706162" w:rsidRPr="00FD503F" w:rsidRDefault="00706162">
      <w:pPr>
        <w:pStyle w:val="FootnoteText"/>
      </w:pPr>
      <w:r w:rsidRPr="00F14118">
        <w:rPr>
          <w:rStyle w:val="FootnoteReference"/>
        </w:rPr>
        <w:footnoteRef/>
      </w:r>
      <w:r w:rsidRPr="00F14118">
        <w:t xml:space="preserve">  </w:t>
      </w:r>
      <w:r w:rsidRPr="00F14118">
        <w:rPr>
          <w:i/>
        </w:rPr>
        <w:t>See Freeze on the Filing of Certain TV and DTV Requests for Allotment or Service Area Changes</w:t>
      </w:r>
      <w:r w:rsidRPr="00F14118">
        <w:t xml:space="preserve">, Public Notice, 19 FCC </w:t>
      </w:r>
      <w:proofErr w:type="spellStart"/>
      <w:r w:rsidRPr="00F14118">
        <w:t>Rcd</w:t>
      </w:r>
      <w:proofErr w:type="spellEnd"/>
      <w:r w:rsidRPr="00F14118">
        <w:t xml:space="preserve"> 14810 (MB 2004); </w:t>
      </w:r>
      <w:r w:rsidRPr="00F14118">
        <w:rPr>
          <w:i/>
        </w:rPr>
        <w:t>Freeze on the Filing of Petitions for Digital Channel Substitutions, Effective Immediately</w:t>
      </w:r>
      <w:r w:rsidRPr="00F14118">
        <w:t xml:space="preserve">, </w:t>
      </w:r>
      <w:r w:rsidRPr="00FD503F">
        <w:t xml:space="preserve">Public Notice, 26 FCC </w:t>
      </w:r>
      <w:proofErr w:type="spellStart"/>
      <w:r w:rsidRPr="00FD503F">
        <w:t>Rcd</w:t>
      </w:r>
      <w:proofErr w:type="spellEnd"/>
      <w:r w:rsidRPr="00FD503F">
        <w:t xml:space="preserve"> 7721 (MB 2011).</w:t>
      </w:r>
    </w:p>
  </w:footnote>
  <w:footnote w:id="75">
    <w:p w14:paraId="590089E4" w14:textId="77777777" w:rsidR="00706162" w:rsidRPr="00F14118" w:rsidRDefault="00706162">
      <w:pPr>
        <w:pStyle w:val="FootnoteText"/>
      </w:pPr>
      <w:r w:rsidRPr="00F14118">
        <w:rPr>
          <w:rStyle w:val="FootnoteReference"/>
        </w:rPr>
        <w:footnoteRef/>
      </w:r>
      <w:r w:rsidRPr="00F14118">
        <w:t xml:space="preserve"> </w:t>
      </w:r>
      <w:r w:rsidRPr="00F14118">
        <w:rPr>
          <w:i/>
        </w:rPr>
        <w:t>See Incentive Auction Report and Order</w:t>
      </w:r>
      <w:r w:rsidRPr="00F14118">
        <w:t xml:space="preserve">, 29 FCC </w:t>
      </w:r>
      <w:proofErr w:type="spellStart"/>
      <w:r w:rsidRPr="00F14118">
        <w:t>Rcd</w:t>
      </w:r>
      <w:proofErr w:type="spellEnd"/>
      <w:r w:rsidRPr="00F14118">
        <w:t xml:space="preserve"> at 6795, </w:t>
      </w:r>
      <w:proofErr w:type="spellStart"/>
      <w:r w:rsidRPr="00F14118">
        <w:t>para</w:t>
      </w:r>
      <w:proofErr w:type="spellEnd"/>
      <w:r w:rsidRPr="00F14118">
        <w:t>. 556.</w:t>
      </w:r>
    </w:p>
  </w:footnote>
  <w:footnote w:id="76">
    <w:p w14:paraId="04B6D67C" w14:textId="77777777" w:rsidR="00706162" w:rsidRPr="00F14118" w:rsidRDefault="00706162">
      <w:pPr>
        <w:pStyle w:val="FootnoteText"/>
      </w:pPr>
      <w:r w:rsidRPr="00F14118">
        <w:rPr>
          <w:rStyle w:val="FootnoteReference"/>
        </w:rPr>
        <w:footnoteRef/>
      </w:r>
      <w:r w:rsidRPr="00F14118">
        <w:t xml:space="preserve"> Unless a station propose</w:t>
      </w:r>
      <w:r>
        <w:t>s</w:t>
      </w:r>
      <w:r w:rsidRPr="00F14118">
        <w:t xml:space="preserve"> to move </w:t>
      </w:r>
      <w:r>
        <w:t xml:space="preserve">from below channel 21 </w:t>
      </w:r>
      <w:r w:rsidRPr="00F14118">
        <w:t xml:space="preserve">to </w:t>
      </w:r>
      <w:r>
        <w:t>c</w:t>
      </w:r>
      <w:r w:rsidRPr="00F14118">
        <w:t xml:space="preserve">hannel 21 </w:t>
      </w:r>
      <w:r>
        <w:t xml:space="preserve">or </w:t>
      </w:r>
      <w:r w:rsidRPr="00F14118">
        <w:t xml:space="preserve">above, it is unlikely that a petition to change channels would have an impact on vacant channel availability, since the channel </w:t>
      </w:r>
      <w:proofErr w:type="gramStart"/>
      <w:r w:rsidRPr="00F14118">
        <w:t>proposed to be relinquished</w:t>
      </w:r>
      <w:proofErr w:type="gramEnd"/>
      <w:r w:rsidRPr="00F14118">
        <w:t xml:space="preserve"> would become vacant.</w:t>
      </w:r>
      <w:r>
        <w:t xml:space="preserve">  </w:t>
      </w:r>
      <w:r w:rsidRPr="00105DC8">
        <w:rPr>
          <w:i/>
        </w:rPr>
        <w:t>See infra</w:t>
      </w:r>
      <w:r>
        <w:t xml:space="preserve"> Section III.C.1 (proposing that the vacant channel will be in the </w:t>
      </w:r>
      <w:r w:rsidRPr="00B7142D">
        <w:t>range of 21 and above</w:t>
      </w:r>
      <w:r>
        <w:t>).</w:t>
      </w:r>
      <w:r w:rsidRPr="00F14118">
        <w:t xml:space="preserve">  Similarly, in the case of a channel swap between stations, the channel being swapped would become vacant in each station’s service area.</w:t>
      </w:r>
    </w:p>
  </w:footnote>
  <w:footnote w:id="77">
    <w:p w14:paraId="754F00AD" w14:textId="77777777" w:rsidR="00706162" w:rsidRDefault="00706162" w:rsidP="00421F94">
      <w:pPr>
        <w:pStyle w:val="FootnoteText"/>
      </w:pPr>
      <w:r>
        <w:rPr>
          <w:rStyle w:val="FootnoteReference"/>
        </w:rPr>
        <w:footnoteRef/>
      </w:r>
      <w:r>
        <w:t xml:space="preserve"> </w:t>
      </w:r>
      <w:r w:rsidRPr="00CA7173">
        <w:rPr>
          <w:i/>
        </w:rPr>
        <w:t>See</w:t>
      </w:r>
      <w:r>
        <w:t xml:space="preserve"> </w:t>
      </w:r>
      <w:r w:rsidRPr="00F14118">
        <w:rPr>
          <w:i/>
        </w:rPr>
        <w:t>Incentive Auction Report and Order</w:t>
      </w:r>
      <w:r w:rsidRPr="00F14118">
        <w:t xml:space="preserve">, 29 FCC </w:t>
      </w:r>
      <w:proofErr w:type="spellStart"/>
      <w:r w:rsidRPr="00F14118">
        <w:t>Rcd</w:t>
      </w:r>
      <w:proofErr w:type="spellEnd"/>
      <w:r w:rsidRPr="00F14118">
        <w:t xml:space="preserve"> at 6</w:t>
      </w:r>
      <w:r>
        <w:t xml:space="preserve">724-25, </w:t>
      </w:r>
      <w:proofErr w:type="spellStart"/>
      <w:r w:rsidRPr="00F14118">
        <w:t>para</w:t>
      </w:r>
      <w:proofErr w:type="spellEnd"/>
      <w:r w:rsidRPr="00F14118">
        <w:t xml:space="preserve">. </w:t>
      </w:r>
      <w:r>
        <w:t>368</w:t>
      </w:r>
      <w:r w:rsidRPr="00F14118">
        <w:t xml:space="preserve"> </w:t>
      </w:r>
      <w:r>
        <w:t>(explaining that the Commission is “</w:t>
      </w:r>
      <w:r w:rsidRPr="005842F0">
        <w:t>committed to the goals of section 307(b)</w:t>
      </w:r>
      <w:r>
        <w:t>” and that, “[</w:t>
      </w:r>
      <w:proofErr w:type="gramStart"/>
      <w:r>
        <w:t>t]o</w:t>
      </w:r>
      <w:proofErr w:type="gramEnd"/>
      <w:r w:rsidRPr="005842F0">
        <w:t xml:space="preserve"> the extent that any loss in service results from the reverse auction, we will consider appropriate actions to address such losses, such as by inviting applications to serve areas that have lost service</w:t>
      </w:r>
      <w:r>
        <w:t xml:space="preserve">”).  </w:t>
      </w:r>
      <w:proofErr w:type="gramStart"/>
      <w:r w:rsidRPr="00A07FD1">
        <w:rPr>
          <w:i/>
        </w:rPr>
        <w:t>See also</w:t>
      </w:r>
      <w:r w:rsidRPr="00A07FD1">
        <w:t xml:space="preserve"> </w:t>
      </w:r>
      <w:r>
        <w:t>47 U.S.C. § 307(b) (</w:t>
      </w:r>
      <w:r w:rsidRPr="005842F0">
        <w:t>requir</w:t>
      </w:r>
      <w:r>
        <w:t xml:space="preserve">ing </w:t>
      </w:r>
      <w:r w:rsidRPr="005842F0">
        <w:t>the Commission to make a “fair, efficient, and equitable” distribution of television service when considering applications for licenses</w:t>
      </w:r>
      <w:r>
        <w:t>).</w:t>
      </w:r>
      <w:proofErr w:type="gramEnd"/>
      <w:r>
        <w:t xml:space="preserve">  The Commission has adopted television allotment policies to implement the goals underlying section 307(b).  </w:t>
      </w:r>
      <w:r w:rsidRPr="004E6DA5">
        <w:rPr>
          <w:i/>
        </w:rPr>
        <w:t xml:space="preserve">See Amendment of Section </w:t>
      </w:r>
      <w:r>
        <w:rPr>
          <w:i/>
        </w:rPr>
        <w:t>7</w:t>
      </w:r>
      <w:r w:rsidRPr="004E6DA5">
        <w:rPr>
          <w:i/>
        </w:rPr>
        <w:t>3.606 of the Commission’s Rules and Regulations</w:t>
      </w:r>
      <w:r>
        <w:t>, Sixth Report and Order, 41 F.C.C. 148, 167 (1952),</w:t>
      </w:r>
    </w:p>
  </w:footnote>
  <w:footnote w:id="78">
    <w:p w14:paraId="72D9DE70" w14:textId="77777777" w:rsidR="00706162" w:rsidRDefault="00706162">
      <w:pPr>
        <w:pStyle w:val="FootnoteText"/>
      </w:pPr>
      <w:r>
        <w:rPr>
          <w:rStyle w:val="FootnoteReference"/>
        </w:rPr>
        <w:footnoteRef/>
      </w:r>
      <w:r>
        <w:t xml:space="preserve"> </w:t>
      </w:r>
      <w:r w:rsidRPr="00FD2D58">
        <w:rPr>
          <w:highlight w:val="yellow"/>
        </w:rPr>
        <w:t xml:space="preserve">We also </w:t>
      </w:r>
      <w:r w:rsidRPr="00FD2D58">
        <w:rPr>
          <w:highlight w:val="green"/>
        </w:rPr>
        <w:t>seek</w:t>
      </w:r>
      <w:r w:rsidRPr="00FD2D58">
        <w:rPr>
          <w:highlight w:val="yellow"/>
        </w:rPr>
        <w:t xml:space="preserve"> comment on whether we should have a similar exception for commercial allotments in the event a community has lost all of its commercial full power television service as a result of the auction.</w:t>
      </w:r>
      <w:r w:rsidRPr="005D01BC">
        <w:t xml:space="preserve">  </w:t>
      </w:r>
    </w:p>
  </w:footnote>
  <w:footnote w:id="79">
    <w:p w14:paraId="2B37569D" w14:textId="77777777" w:rsidR="00706162" w:rsidRDefault="00706162">
      <w:pPr>
        <w:pStyle w:val="FootnoteText"/>
      </w:pPr>
      <w:r>
        <w:rPr>
          <w:rStyle w:val="FootnoteReference"/>
        </w:rPr>
        <w:footnoteRef/>
      </w:r>
      <w:r>
        <w:t xml:space="preserve"> </w:t>
      </w:r>
      <w:r w:rsidRPr="00F14118">
        <w:t xml:space="preserve">Fixed white space devices may operate only when both adjacent TV channels are vacant, meaning they need three contiguous vacant channels to operate.  However, personal/portable devices may operate at locations where both adjacent TV channels are occupied if their power does not exceed 40 </w:t>
      </w:r>
      <w:proofErr w:type="spellStart"/>
      <w:r w:rsidRPr="00F14118">
        <w:t>milliwatts</w:t>
      </w:r>
      <w:proofErr w:type="spellEnd"/>
      <w:r w:rsidRPr="00F14118">
        <w:t xml:space="preserve">.  </w:t>
      </w:r>
      <w:r w:rsidRPr="00F14118">
        <w:rPr>
          <w:i/>
        </w:rPr>
        <w:t>See</w:t>
      </w:r>
      <w:r w:rsidRPr="00F14118">
        <w:t xml:space="preserve"> 47 C.F.R. § 15.712(a)(2).</w:t>
      </w:r>
    </w:p>
  </w:footnote>
  <w:footnote w:id="80">
    <w:p w14:paraId="05029C7B"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i/>
        </w:rPr>
        <w:t xml:space="preserve">See </w:t>
      </w:r>
      <w:r w:rsidRPr="00F14118">
        <w:t>47 C.F.R. §§ 74.802(a) and 15.707(a)-(b).</w:t>
      </w:r>
      <w:proofErr w:type="gramEnd"/>
    </w:p>
  </w:footnote>
  <w:footnote w:id="81">
    <w:p w14:paraId="5039CD2F" w14:textId="77777777" w:rsidR="00706162" w:rsidRPr="00F14118" w:rsidRDefault="00706162">
      <w:pPr>
        <w:pStyle w:val="FootnoteText"/>
      </w:pPr>
      <w:r w:rsidRPr="00F14118">
        <w:rPr>
          <w:rStyle w:val="FootnoteReference"/>
        </w:rPr>
        <w:footnoteRef/>
      </w:r>
      <w:r w:rsidRPr="00F14118">
        <w:t xml:space="preserve"> </w:t>
      </w:r>
      <w:r w:rsidRPr="00F14118">
        <w:rPr>
          <w:i/>
        </w:rPr>
        <w:t>See Part 15 NPRM</w:t>
      </w:r>
      <w:r>
        <w:t xml:space="preserve">, 29 FCC </w:t>
      </w:r>
      <w:proofErr w:type="spellStart"/>
      <w:r>
        <w:t>Rcd</w:t>
      </w:r>
      <w:proofErr w:type="spellEnd"/>
      <w:r>
        <w:t xml:space="preserve"> </w:t>
      </w:r>
      <w:r w:rsidRPr="00F14118">
        <w:t xml:space="preserve">at </w:t>
      </w:r>
      <w:r>
        <w:t xml:space="preserve">12257-58, </w:t>
      </w:r>
      <w:proofErr w:type="spellStart"/>
      <w:r w:rsidRPr="00F14118">
        <w:t>paras</w:t>
      </w:r>
      <w:proofErr w:type="spellEnd"/>
      <w:r w:rsidRPr="00F14118">
        <w:t>. 2</w:t>
      </w:r>
      <w:r>
        <w:t>9</w:t>
      </w:r>
      <w:r w:rsidRPr="00F14118">
        <w:t>-31.</w:t>
      </w:r>
      <w:r w:rsidRPr="00F14118">
        <w:rPr>
          <w:i/>
        </w:rPr>
        <w:t xml:space="preserve"> </w:t>
      </w:r>
    </w:p>
  </w:footnote>
  <w:footnote w:id="82">
    <w:p w14:paraId="54816E3F" w14:textId="77777777" w:rsidR="00706162" w:rsidRPr="00FD503F" w:rsidRDefault="00706162">
      <w:pPr>
        <w:pStyle w:val="FootnoteText"/>
      </w:pPr>
      <w:r w:rsidRPr="00F14118">
        <w:rPr>
          <w:rStyle w:val="FootnoteReference"/>
        </w:rPr>
        <w:footnoteRef/>
      </w:r>
      <w:r w:rsidRPr="00F14118">
        <w:t xml:space="preserve"> White space devices protect fixed BAS </w:t>
      </w:r>
      <w:proofErr w:type="gramStart"/>
      <w:r w:rsidRPr="00F14118">
        <w:t>station receive</w:t>
      </w:r>
      <w:proofErr w:type="gramEnd"/>
      <w:r w:rsidRPr="00F14118">
        <w:t xml:space="preserve"> sites by avoiding co-channel and adjacent channel operation within keyhole-shaped exclusion zones.  These zones are defined by an arc of ±30 degrees from a line between the BAS receive site and its associated permanent transmitter within a distance of 80 kilometers from the receive site for co-channel operation and 20 kilometers for adjacent channel operation.  Outside this ±30 degree arc, white space devices may not operate within eight kilometers from the receive site for co-channel operation and two kilometers from the receive site for adjacent channel operation.  </w:t>
      </w:r>
      <w:proofErr w:type="gramStart"/>
      <w:r w:rsidRPr="00F14118">
        <w:rPr>
          <w:i/>
        </w:rPr>
        <w:t xml:space="preserve">See </w:t>
      </w:r>
      <w:r w:rsidRPr="00FD503F">
        <w:t>47 C.F.R. § 15.712(c).</w:t>
      </w:r>
      <w:proofErr w:type="gramEnd"/>
      <w:r w:rsidRPr="00FD503F">
        <w:t xml:space="preserve">  Wireless microphones are not prohibited from operating in these exclusion zones.</w:t>
      </w:r>
    </w:p>
  </w:footnote>
  <w:footnote w:id="83">
    <w:p w14:paraId="046F4F7E"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i/>
        </w:rPr>
        <w:t>See</w:t>
      </w:r>
      <w:r w:rsidRPr="00F14118">
        <w:t xml:space="preserve"> 47 C.F.R. §§ 74.802(b)(1) and 15.712(a)(2).</w:t>
      </w:r>
      <w:proofErr w:type="gramEnd"/>
    </w:p>
  </w:footnote>
  <w:footnote w:id="84">
    <w:p w14:paraId="3D4937C4" w14:textId="77777777" w:rsidR="00706162" w:rsidRPr="00D55ED6" w:rsidRDefault="00706162" w:rsidP="00B7142D">
      <w:pPr>
        <w:pStyle w:val="ParaNum"/>
        <w:numPr>
          <w:ilvl w:val="0"/>
          <w:numId w:val="0"/>
        </w:numPr>
        <w:rPr>
          <w:sz w:val="20"/>
        </w:rPr>
      </w:pPr>
      <w:r w:rsidRPr="00D55ED6">
        <w:rPr>
          <w:rStyle w:val="FootnoteReference"/>
        </w:rPr>
        <w:footnoteRef/>
      </w:r>
      <w:r w:rsidRPr="00D55ED6">
        <w:rPr>
          <w:sz w:val="20"/>
        </w:rPr>
        <w:t xml:space="preserve"> Personal/portable devices and fixed devices with a low antenna height (less than three meters height above average terrain (HAAT)) must operate at least four kilometers outside the protected contour of co-channel TV stations.  Fixed devices operating with higher antenna heights must comply with greater co-channel separation distances, and all fixed devices, as well as personal/portable devices operating at greater than 40 </w:t>
      </w:r>
      <w:proofErr w:type="spellStart"/>
      <w:r w:rsidRPr="00D55ED6">
        <w:rPr>
          <w:sz w:val="20"/>
        </w:rPr>
        <w:t>milliwatts</w:t>
      </w:r>
      <w:proofErr w:type="spellEnd"/>
      <w:r w:rsidRPr="00D55ED6">
        <w:rPr>
          <w:sz w:val="20"/>
        </w:rPr>
        <w:t xml:space="preserve">, must comply with adjacent channel separation distances as well.  </w:t>
      </w:r>
      <w:r w:rsidRPr="00D55ED6">
        <w:rPr>
          <w:i/>
          <w:sz w:val="20"/>
        </w:rPr>
        <w:t>See</w:t>
      </w:r>
      <w:r w:rsidRPr="00D55ED6">
        <w:rPr>
          <w:sz w:val="20"/>
        </w:rPr>
        <w:t xml:space="preserve"> 47 C.F.R. § 15.712(a)(2).  The requirement to comply with adjacent channel separation distances means that all fixed devices and personal/portable devices with a power level greater than 40 </w:t>
      </w:r>
      <w:proofErr w:type="spellStart"/>
      <w:r w:rsidRPr="00D55ED6">
        <w:rPr>
          <w:sz w:val="20"/>
        </w:rPr>
        <w:t>milliwatts</w:t>
      </w:r>
      <w:proofErr w:type="spellEnd"/>
      <w:r w:rsidRPr="00D55ED6">
        <w:rPr>
          <w:sz w:val="20"/>
        </w:rPr>
        <w:t xml:space="preserve"> may operate only at locations where there are three contiguous vacant TV channels, while personal/portable devices operating at 40 </w:t>
      </w:r>
      <w:proofErr w:type="spellStart"/>
      <w:r w:rsidRPr="00D55ED6">
        <w:rPr>
          <w:sz w:val="20"/>
        </w:rPr>
        <w:t>milliwatts</w:t>
      </w:r>
      <w:proofErr w:type="spellEnd"/>
      <w:r w:rsidRPr="00D55ED6">
        <w:rPr>
          <w:sz w:val="20"/>
        </w:rPr>
        <w:t xml:space="preserve"> need only a single available channel.</w:t>
      </w:r>
    </w:p>
  </w:footnote>
  <w:footnote w:id="85">
    <w:p w14:paraId="3CED2D60" w14:textId="77777777" w:rsidR="00706162" w:rsidRPr="00717E7D" w:rsidRDefault="00706162" w:rsidP="00BE3759">
      <w:pPr>
        <w:pStyle w:val="FootnoteText"/>
      </w:pPr>
      <w:r>
        <w:rPr>
          <w:rStyle w:val="FootnoteReference"/>
        </w:rPr>
        <w:footnoteRef/>
      </w:r>
      <w:r>
        <w:t xml:space="preserve"> </w:t>
      </w:r>
      <w:r>
        <w:rPr>
          <w:i/>
        </w:rPr>
        <w:t>See Part 15 NPRM</w:t>
      </w:r>
      <w:r>
        <w:t xml:space="preserve">, 29 FCC </w:t>
      </w:r>
      <w:proofErr w:type="spellStart"/>
      <w:r>
        <w:t>Rcd</w:t>
      </w:r>
      <w:proofErr w:type="spellEnd"/>
      <w:r>
        <w:t xml:space="preserve"> at 12268-69, </w:t>
      </w:r>
      <w:proofErr w:type="spellStart"/>
      <w:r>
        <w:t>para</w:t>
      </w:r>
      <w:proofErr w:type="spellEnd"/>
      <w:r>
        <w:t xml:space="preserve">. 66.  The Commission also proposed to apply this separation distance to 40 </w:t>
      </w:r>
      <w:proofErr w:type="spellStart"/>
      <w:r>
        <w:t>milliwatt</w:t>
      </w:r>
      <w:proofErr w:type="spellEnd"/>
      <w:r>
        <w:t xml:space="preserve"> fixed devices with an antenna HAAT of less than three meters.</w:t>
      </w:r>
    </w:p>
  </w:footnote>
  <w:footnote w:id="86">
    <w:p w14:paraId="71F2872D" w14:textId="77777777" w:rsidR="00706162" w:rsidRDefault="00706162" w:rsidP="00BE3759">
      <w:pPr>
        <w:pStyle w:val="FootnoteText"/>
      </w:pPr>
      <w:r>
        <w:rPr>
          <w:rStyle w:val="FootnoteReference"/>
        </w:rPr>
        <w:footnoteRef/>
      </w:r>
      <w:r>
        <w:t xml:space="preserve"> </w:t>
      </w:r>
      <w:r>
        <w:rPr>
          <w:i/>
        </w:rPr>
        <w:t xml:space="preserve">See id. </w:t>
      </w:r>
      <w:proofErr w:type="gramStart"/>
      <w:r>
        <w:t>at</w:t>
      </w:r>
      <w:proofErr w:type="gramEnd"/>
      <w:r>
        <w:t xml:space="preserve"> 12295, </w:t>
      </w:r>
      <w:proofErr w:type="spellStart"/>
      <w:r>
        <w:t>para</w:t>
      </w:r>
      <w:proofErr w:type="spellEnd"/>
      <w:r>
        <w:t>. 156.</w:t>
      </w:r>
    </w:p>
  </w:footnote>
  <w:footnote w:id="87">
    <w:p w14:paraId="0038B83F" w14:textId="77777777" w:rsidR="00706162" w:rsidRPr="00F14118" w:rsidRDefault="00706162" w:rsidP="00F14118">
      <w:pPr>
        <w:pStyle w:val="FootnoteText"/>
      </w:pPr>
      <w:r w:rsidRPr="00F14118">
        <w:rPr>
          <w:rStyle w:val="FootnoteReference"/>
        </w:rPr>
        <w:footnoteRef/>
      </w:r>
      <w:r w:rsidRPr="00F14118">
        <w:t xml:space="preserve"> The protection distances for wireless microphones are one kilometer from fixed white space devices, and 400 meters from personal/portable white space devices.  </w:t>
      </w:r>
      <w:proofErr w:type="gramStart"/>
      <w:r w:rsidRPr="00F14118">
        <w:rPr>
          <w:i/>
        </w:rPr>
        <w:t xml:space="preserve">See </w:t>
      </w:r>
      <w:r w:rsidRPr="00F14118">
        <w:t>47 C.F.R. § 15.712(f).</w:t>
      </w:r>
      <w:proofErr w:type="gramEnd"/>
    </w:p>
  </w:footnote>
  <w:footnote w:id="88">
    <w:p w14:paraId="1B00F5C5" w14:textId="77777777" w:rsidR="00706162" w:rsidRPr="00FE20FD" w:rsidRDefault="00706162" w:rsidP="00E167D4">
      <w:pPr>
        <w:pStyle w:val="FootnoteText"/>
      </w:pPr>
      <w:r>
        <w:rPr>
          <w:rStyle w:val="FootnoteReference"/>
        </w:rPr>
        <w:footnoteRef/>
      </w:r>
      <w:r>
        <w:t xml:space="preserve"> </w:t>
      </w:r>
      <w:proofErr w:type="gramStart"/>
      <w:r>
        <w:rPr>
          <w:i/>
        </w:rPr>
        <w:t>See</w:t>
      </w:r>
      <w:r>
        <w:t xml:space="preserve"> 47 C.F.R. § 15.703(n).</w:t>
      </w:r>
      <w:proofErr w:type="gramEnd"/>
      <w:r>
        <w:t xml:space="preserve">  A white space device must contact a database to obtain a list of available channels before transmitting and must contact a database at least once per day thereafter to ensure that its operating channel continues to remain available.  </w:t>
      </w:r>
      <w:proofErr w:type="gramStart"/>
      <w:r>
        <w:rPr>
          <w:i/>
        </w:rPr>
        <w:t xml:space="preserve">See </w:t>
      </w:r>
      <w:r>
        <w:t>47 C.F.R. 15.711(b)(3).</w:t>
      </w:r>
      <w:proofErr w:type="gramEnd"/>
    </w:p>
  </w:footnote>
  <w:footnote w:id="89">
    <w:p w14:paraId="0EE158D8" w14:textId="77777777" w:rsidR="00706162" w:rsidRPr="005B1724" w:rsidRDefault="00706162" w:rsidP="00E167D4">
      <w:pPr>
        <w:pStyle w:val="FootnoteText"/>
      </w:pPr>
      <w:r>
        <w:rPr>
          <w:rStyle w:val="FootnoteReference"/>
        </w:rPr>
        <w:footnoteRef/>
      </w:r>
      <w:r>
        <w:t xml:space="preserve"> </w:t>
      </w:r>
      <w:proofErr w:type="gramStart"/>
      <w:r>
        <w:rPr>
          <w:i/>
        </w:rPr>
        <w:t>See</w:t>
      </w:r>
      <w:r>
        <w:t xml:space="preserve"> 47 C.F.R. </w:t>
      </w:r>
      <w:r w:rsidRPr="00F14118">
        <w:t>§§ 74.802(b)(1) and 15.712(a)(2).</w:t>
      </w:r>
      <w:proofErr w:type="gramEnd"/>
    </w:p>
  </w:footnote>
  <w:footnote w:id="90">
    <w:p w14:paraId="761A02E6" w14:textId="77777777" w:rsidR="00706162" w:rsidRDefault="00706162" w:rsidP="00C41D2C">
      <w:pPr>
        <w:pStyle w:val="FootnoteText"/>
      </w:pPr>
      <w:r>
        <w:rPr>
          <w:rStyle w:val="FootnoteReference"/>
        </w:rPr>
        <w:footnoteRef/>
      </w:r>
      <w:r>
        <w:t xml:space="preserve"> </w:t>
      </w:r>
      <w:r w:rsidRPr="00915DDA">
        <w:t xml:space="preserve">The channel availability to be analyzed for each cell is discussed in </w:t>
      </w:r>
      <w:proofErr w:type="spellStart"/>
      <w:r w:rsidRPr="00915DDA">
        <w:t>paras</w:t>
      </w:r>
      <w:proofErr w:type="spellEnd"/>
      <w:r w:rsidRPr="00915DDA">
        <w:t>. 33-34.</w:t>
      </w:r>
    </w:p>
  </w:footnote>
  <w:footnote w:id="91">
    <w:p w14:paraId="5EEE26BE" w14:textId="77777777" w:rsidR="00706162" w:rsidRDefault="00706162" w:rsidP="00E167D4">
      <w:pPr>
        <w:pStyle w:val="FootnoteText"/>
      </w:pPr>
      <w:r>
        <w:rPr>
          <w:rStyle w:val="FootnoteReference"/>
        </w:rPr>
        <w:footnoteRef/>
      </w:r>
      <w:r>
        <w:t xml:space="preserve"> A larger grid size reduces the number of points that must be analyzed, while a smaller grid size increases the number of points.</w:t>
      </w:r>
    </w:p>
  </w:footnote>
  <w:footnote w:id="92">
    <w:p w14:paraId="71512428" w14:textId="77777777" w:rsidR="00706162" w:rsidRPr="007018A7" w:rsidRDefault="00706162" w:rsidP="00E167D4">
      <w:pPr>
        <w:pStyle w:val="FootnoteText"/>
      </w:pPr>
      <w:r>
        <w:rPr>
          <w:rStyle w:val="FootnoteReference"/>
        </w:rPr>
        <w:footnoteRef/>
      </w:r>
      <w:r>
        <w:t xml:space="preserve"> </w:t>
      </w:r>
      <w:proofErr w:type="gramStart"/>
      <w:r>
        <w:rPr>
          <w:i/>
        </w:rPr>
        <w:t>See</w:t>
      </w:r>
      <w:r>
        <w:t xml:space="preserve"> OET Bulletin 69 at 5 </w:t>
      </w:r>
      <w:r w:rsidRPr="008839B1">
        <w:rPr>
          <w:i/>
        </w:rPr>
        <w:t>available at</w:t>
      </w:r>
      <w:r w:rsidRPr="00CF0D1E">
        <w:t xml:space="preserve"> </w:t>
      </w:r>
      <w:hyperlink r:id="rId2" w:history="1">
        <w:r w:rsidRPr="00CF0D1E">
          <w:rPr>
            <w:rStyle w:val="Hyperlink"/>
          </w:rPr>
          <w:t>http://transition.fcc.gov/Bureaus/Engineering_Technology/Documents/bulletins/oet69/oet69.pdf</w:t>
        </w:r>
      </w:hyperlink>
      <w:r>
        <w:rPr>
          <w:rStyle w:val="Hyperlink"/>
        </w:rPr>
        <w:t>;</w:t>
      </w:r>
      <w:r>
        <w:t xml:space="preserve"> </w:t>
      </w:r>
      <w:r>
        <w:rPr>
          <w:i/>
        </w:rPr>
        <w:t xml:space="preserve">see also </w:t>
      </w:r>
      <w:r w:rsidRPr="006B0E4F">
        <w:t>47 C.F.R. 73.616(e)(1).</w:t>
      </w:r>
      <w:proofErr w:type="gramEnd"/>
      <w:r>
        <w:t xml:space="preserve">  We note, however, that in its 2004 Report and Order adopting the digital rules for LPTV, TV translator and Class A stations, the Commission concluded that use of a 1 square kilometer grid resolution should be the maximum permitted in evaluating the interference to Class A, LPTV and TV translator facilities, whose smaller service area require a finer grid resolution analysis.  </w:t>
      </w:r>
      <w:r>
        <w:rPr>
          <w:i/>
        </w:rPr>
        <w:t>See</w:t>
      </w:r>
      <w:r>
        <w:t xml:space="preserve"> </w:t>
      </w:r>
      <w:r>
        <w:rPr>
          <w:i/>
        </w:rPr>
        <w:t>Amendment of Parts 73 and 74 of the Commission’s Rules to Establish Rules for Digital Low Power Television, Television Translator, and Television Booster Stations and to Amend Rules for Digital Class A Television Stations</w:t>
      </w:r>
      <w:r>
        <w:t xml:space="preserve">, MM Docket No. 00-10, Report and Order, 19 FCC </w:t>
      </w:r>
      <w:proofErr w:type="spellStart"/>
      <w:r>
        <w:t>Rcd</w:t>
      </w:r>
      <w:proofErr w:type="spellEnd"/>
      <w:r>
        <w:t xml:space="preserve"> 19331, 19367-8, </w:t>
      </w:r>
      <w:proofErr w:type="spellStart"/>
      <w:r>
        <w:t>paras</w:t>
      </w:r>
      <w:proofErr w:type="spellEnd"/>
      <w:r>
        <w:t xml:space="preserve">. </w:t>
      </w:r>
      <w:proofErr w:type="gramStart"/>
      <w:r>
        <w:t>99 and 103 (2004).</w:t>
      </w:r>
      <w:proofErr w:type="gramEnd"/>
    </w:p>
  </w:footnote>
  <w:footnote w:id="93">
    <w:p w14:paraId="50E50A44" w14:textId="77777777" w:rsidR="00706162" w:rsidRPr="00F14118" w:rsidRDefault="00706162">
      <w:pPr>
        <w:pStyle w:val="FootnoteText"/>
      </w:pPr>
      <w:r w:rsidRPr="00F14118">
        <w:rPr>
          <w:rStyle w:val="FootnoteReference"/>
        </w:rPr>
        <w:footnoteRef/>
      </w:r>
      <w:r w:rsidRPr="00F14118">
        <w:t xml:space="preserve"> Wireless microphones and </w:t>
      </w:r>
      <w:proofErr w:type="gramStart"/>
      <w:r w:rsidRPr="00F14118">
        <w:t xml:space="preserve">40 </w:t>
      </w:r>
      <w:proofErr w:type="spellStart"/>
      <w:r w:rsidRPr="00F14118">
        <w:t>milliwatt</w:t>
      </w:r>
      <w:proofErr w:type="spellEnd"/>
      <w:proofErr w:type="gramEnd"/>
      <w:r w:rsidRPr="00F14118">
        <w:t xml:space="preserve"> white space devices must operate at least four kilometers outside the protected contour of co-channel television stations.</w:t>
      </w:r>
    </w:p>
  </w:footnote>
  <w:footnote w:id="94">
    <w:p w14:paraId="7DC7B6BB"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i/>
        </w:rPr>
        <w:t>See</w:t>
      </w:r>
      <w:r w:rsidRPr="00F14118">
        <w:t xml:space="preserve"> 47 C.F.R. § 15.712(c).</w:t>
      </w:r>
      <w:proofErr w:type="gramEnd"/>
      <w:r w:rsidRPr="00F14118">
        <w:t xml:space="preserve">  Wireless microphones are not required to avoid the BAS receive site exclusion zones that white space devices must avoid.  Thus, a channel that is available for white space devices would also be available for wireless microphones.</w:t>
      </w:r>
    </w:p>
  </w:footnote>
  <w:footnote w:id="95">
    <w:p w14:paraId="71BA1094" w14:textId="77777777" w:rsidR="00706162" w:rsidRPr="00F14118" w:rsidRDefault="00706162">
      <w:pPr>
        <w:pStyle w:val="FootnoteText"/>
      </w:pPr>
      <w:r w:rsidRPr="00F14118">
        <w:rPr>
          <w:rStyle w:val="FootnoteReference"/>
        </w:rPr>
        <w:footnoteRef/>
      </w:r>
      <w:r w:rsidRPr="00F14118">
        <w:t xml:space="preserve"> For example, an applicant for a BAS station on channel 22 would have to perform analyses on channels 21, 22 and 23.  An applicant for a BAS station on channel 20 would have to perform an analysis on only channel 21.</w:t>
      </w:r>
    </w:p>
  </w:footnote>
  <w:footnote w:id="96">
    <w:p w14:paraId="0A1AE64B" w14:textId="77777777" w:rsidR="00706162" w:rsidRPr="00F14118" w:rsidRDefault="00706162">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e.g.</w:t>
      </w:r>
      <w:r w:rsidRPr="00F14118">
        <w:t xml:space="preserve">, 47 C.F.R. § 73.3572(f).  We note, however, that applications filed during the post-incentive auction displacement window will be considered as filed on the last day of the window.  </w:t>
      </w:r>
      <w:r w:rsidRPr="00FD503F">
        <w:rPr>
          <w:i/>
        </w:rPr>
        <w:t>See Incentive Auction Report and Order</w:t>
      </w:r>
      <w:r w:rsidRPr="00FD503F">
        <w:t xml:space="preserve">, 29 FCC </w:t>
      </w:r>
      <w:proofErr w:type="spellStart"/>
      <w:r w:rsidRPr="00FD503F">
        <w:t>Rcd</w:t>
      </w:r>
      <w:proofErr w:type="spellEnd"/>
      <w:r w:rsidRPr="00FD503F">
        <w:t xml:space="preserve"> at 6836 n.1837.  </w:t>
      </w:r>
      <w:proofErr w:type="gramStart"/>
      <w:r w:rsidRPr="004F73C9">
        <w:rPr>
          <w:highlight w:val="yellow"/>
        </w:rPr>
        <w:t>In Section III.A</w:t>
      </w:r>
      <w:r w:rsidRPr="004F73C9">
        <w:rPr>
          <w:i/>
          <w:highlight w:val="yellow"/>
        </w:rPr>
        <w:t>.</w:t>
      </w:r>
      <w:proofErr w:type="gramEnd"/>
      <w:r w:rsidRPr="004F73C9">
        <w:rPr>
          <w:highlight w:val="yellow"/>
        </w:rPr>
        <w:t xml:space="preserve"> </w:t>
      </w:r>
      <w:proofErr w:type="gramStart"/>
      <w:r w:rsidRPr="004F73C9">
        <w:rPr>
          <w:i/>
          <w:highlight w:val="yellow"/>
        </w:rPr>
        <w:t>supra</w:t>
      </w:r>
      <w:proofErr w:type="gramEnd"/>
      <w:r w:rsidRPr="004F73C9">
        <w:rPr>
          <w:highlight w:val="yellow"/>
        </w:rPr>
        <w:t xml:space="preserve">, we </w:t>
      </w:r>
      <w:r w:rsidRPr="004F73C9">
        <w:rPr>
          <w:highlight w:val="green"/>
        </w:rPr>
        <w:t xml:space="preserve">seek comment </w:t>
      </w:r>
      <w:bookmarkStart w:id="55" w:name="_GoBack"/>
      <w:bookmarkEnd w:id="55"/>
      <w:r w:rsidRPr="004F73C9">
        <w:rPr>
          <w:highlight w:val="yellow"/>
        </w:rPr>
        <w:t>on procedures for resolving mutually exclusive displacement applications filed by two or more stations that together would eliminate the sole remaining vacant channel in an area.</w:t>
      </w:r>
    </w:p>
  </w:footnote>
  <w:footnote w:id="97">
    <w:p w14:paraId="45018DB5" w14:textId="77777777" w:rsidR="00706162" w:rsidRPr="00F14118" w:rsidRDefault="00706162">
      <w:pPr>
        <w:pStyle w:val="FootnoteText"/>
        <w:spacing w:before="120"/>
        <w:rPr>
          <w:i/>
          <w:iCs/>
        </w:rPr>
      </w:pPr>
      <w:r w:rsidRPr="00F14118">
        <w:rPr>
          <w:rStyle w:val="FootnoteReference"/>
        </w:rPr>
        <w:footnoteRef/>
      </w:r>
      <w:r w:rsidRPr="00F14118">
        <w:t xml:space="preserve"> 47 C.F.R. §§ 1.1200 </w:t>
      </w:r>
      <w:proofErr w:type="gramStart"/>
      <w:r w:rsidRPr="00F14118">
        <w:rPr>
          <w:i/>
          <w:iCs/>
        </w:rPr>
        <w:t>et</w:t>
      </w:r>
      <w:proofErr w:type="gramEnd"/>
      <w:r w:rsidRPr="00F14118">
        <w:rPr>
          <w:i/>
          <w:iCs/>
        </w:rPr>
        <w:t xml:space="preserve"> seq.</w:t>
      </w:r>
    </w:p>
  </w:footnote>
  <w:footnote w:id="98">
    <w:p w14:paraId="67A63703" w14:textId="77777777" w:rsidR="00706162" w:rsidRPr="00F14118" w:rsidRDefault="00706162">
      <w:pPr>
        <w:pStyle w:val="FootnoteText"/>
      </w:pPr>
      <w:r w:rsidRPr="00F14118">
        <w:rPr>
          <w:rStyle w:val="FootnoteReference"/>
        </w:rPr>
        <w:footnoteRef/>
      </w:r>
      <w:r w:rsidRPr="00F14118">
        <w:t xml:space="preserve"> </w:t>
      </w:r>
      <w:r w:rsidRPr="00F14118">
        <w:rPr>
          <w:i/>
        </w:rPr>
        <w:t xml:space="preserve">See </w:t>
      </w:r>
      <w:r w:rsidRPr="00F14118">
        <w:t>47 C.F.R. § 1.1203.</w:t>
      </w:r>
    </w:p>
  </w:footnote>
  <w:footnote w:id="99">
    <w:p w14:paraId="6E995B42" w14:textId="77777777" w:rsidR="00706162" w:rsidRPr="00F14118" w:rsidRDefault="00706162">
      <w:pPr>
        <w:pStyle w:val="FootnoteText"/>
      </w:pPr>
      <w:r w:rsidRPr="00F14118">
        <w:rPr>
          <w:rStyle w:val="FootnoteReference"/>
        </w:rPr>
        <w:footnoteRef/>
      </w:r>
      <w:r w:rsidRPr="00F14118">
        <w:t xml:space="preserve"> </w:t>
      </w:r>
      <w:proofErr w:type="gramStart"/>
      <w:r w:rsidRPr="00F14118">
        <w:t>47 C.F.R. § 1.206(b).</w:t>
      </w:r>
      <w:proofErr w:type="gramEnd"/>
    </w:p>
  </w:footnote>
  <w:footnote w:id="100">
    <w:p w14:paraId="0C4EE5C5" w14:textId="77777777" w:rsidR="00706162" w:rsidRPr="00F14118" w:rsidRDefault="00706162">
      <w:pPr>
        <w:pStyle w:val="FootnoteText"/>
      </w:pPr>
      <w:r w:rsidRPr="00F14118">
        <w:rPr>
          <w:rStyle w:val="FootnoteReference"/>
        </w:rPr>
        <w:footnoteRef/>
      </w:r>
      <w:r w:rsidRPr="00F14118">
        <w:t xml:space="preserve"> </w:t>
      </w:r>
      <w:proofErr w:type="gramStart"/>
      <w:r w:rsidRPr="00F14118">
        <w:t>47 C.F.R. § 1.49(f).</w:t>
      </w:r>
      <w:proofErr w:type="gramEnd"/>
    </w:p>
  </w:footnote>
  <w:footnote w:id="101">
    <w:p w14:paraId="49D17488" w14:textId="77777777" w:rsidR="00706162" w:rsidRPr="00FD503F" w:rsidRDefault="00706162">
      <w:pPr>
        <w:pStyle w:val="FootnoteText"/>
      </w:pPr>
      <w:r w:rsidRPr="00F14118">
        <w:rPr>
          <w:rStyle w:val="FootnoteReference"/>
        </w:rPr>
        <w:footnoteRef/>
      </w:r>
      <w:r w:rsidRPr="00F14118">
        <w:t xml:space="preserve"> </w:t>
      </w:r>
      <w:r w:rsidRPr="00F14118">
        <w:rPr>
          <w:i/>
        </w:rPr>
        <w:t>See</w:t>
      </w:r>
      <w:r w:rsidRPr="00F14118">
        <w:t xml:space="preserve"> 5 U.S.C. § 603.  The RFA, </w:t>
      </w:r>
      <w:r w:rsidRPr="00F14118">
        <w:rPr>
          <w:i/>
        </w:rPr>
        <w:t>see</w:t>
      </w:r>
      <w:r w:rsidRPr="00F14118">
        <w:t xml:space="preserve"> 5 U.S.C. § 601 </w:t>
      </w:r>
      <w:proofErr w:type="gramStart"/>
      <w:r w:rsidRPr="00F14118">
        <w:t>et</w:t>
      </w:r>
      <w:proofErr w:type="gramEnd"/>
      <w:r w:rsidRPr="00F14118">
        <w:t xml:space="preserve">. </w:t>
      </w:r>
      <w:proofErr w:type="gramStart"/>
      <w:r w:rsidRPr="00F14118">
        <w:t>seq</w:t>
      </w:r>
      <w:proofErr w:type="gramEnd"/>
      <w:r w:rsidRPr="00F14118">
        <w:t>., has been amended by the Small Business Regulatory Enforcement Fairness Act of 1996 (“SBREFA”), Pub. L. No. 104-121, Title II, 110 Stat. 847 (1996).  The SBREFA was enacted as Title II of the Contract With America Advancement Act o</w:t>
      </w:r>
      <w:r w:rsidRPr="00FD503F">
        <w:t xml:space="preserve">f 1996 (“CWAAA”). </w:t>
      </w:r>
    </w:p>
  </w:footnote>
  <w:footnote w:id="102">
    <w:p w14:paraId="03706791" w14:textId="77777777" w:rsidR="00706162" w:rsidRPr="00F14118" w:rsidRDefault="00706162">
      <w:pPr>
        <w:pStyle w:val="FootnoteText"/>
      </w:pPr>
      <w:r w:rsidRPr="00F14118">
        <w:rPr>
          <w:rStyle w:val="FootnoteReference"/>
        </w:rPr>
        <w:footnoteRef/>
      </w:r>
      <w:r w:rsidRPr="00F14118">
        <w:t xml:space="preserve"> </w:t>
      </w:r>
      <w:r w:rsidRPr="00F14118">
        <w:rPr>
          <w:i/>
        </w:rPr>
        <w:t>See</w:t>
      </w:r>
      <w:r w:rsidRPr="00F14118">
        <w:t xml:space="preserve"> 5 U.S.C. § 603(a).</w:t>
      </w:r>
    </w:p>
  </w:footnote>
  <w:footnote w:id="103">
    <w:p w14:paraId="0A41D735" w14:textId="77777777" w:rsidR="00706162" w:rsidRPr="00F14118" w:rsidRDefault="00706162">
      <w:pPr>
        <w:pStyle w:val="FootnoteText"/>
      </w:pPr>
      <w:r w:rsidRPr="00F14118">
        <w:rPr>
          <w:rStyle w:val="FootnoteReference"/>
        </w:rPr>
        <w:footnoteRef/>
      </w:r>
      <w:r w:rsidRPr="00F14118">
        <w:t xml:space="preserve"> </w:t>
      </w:r>
      <w:r w:rsidRPr="00F14118">
        <w:rPr>
          <w:i/>
        </w:rPr>
        <w:t>Id.</w:t>
      </w:r>
    </w:p>
  </w:footnote>
  <w:footnote w:id="104">
    <w:p w14:paraId="1AE9C234"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i/>
        </w:rPr>
        <w:t>Id</w:t>
      </w:r>
      <w:r w:rsidRPr="00F14118">
        <w:t>. at § 603(b)(3).</w:t>
      </w:r>
      <w:proofErr w:type="gramEnd"/>
    </w:p>
  </w:footnote>
  <w:footnote w:id="105">
    <w:p w14:paraId="14CC1657" w14:textId="77777777" w:rsidR="00706162" w:rsidRPr="00F14118" w:rsidRDefault="00706162">
      <w:pPr>
        <w:pStyle w:val="FootnoteText"/>
      </w:pPr>
      <w:r w:rsidRPr="00F14118">
        <w:rPr>
          <w:rStyle w:val="FootnoteReference"/>
        </w:rPr>
        <w:footnoteRef/>
      </w:r>
      <w:r w:rsidRPr="00F14118">
        <w:t xml:space="preserve"> </w:t>
      </w:r>
      <w:proofErr w:type="gramStart"/>
      <w:r w:rsidRPr="00F14118">
        <w:t>5 U.S.C. § 601(6).</w:t>
      </w:r>
      <w:proofErr w:type="gramEnd"/>
    </w:p>
  </w:footnote>
  <w:footnote w:id="106">
    <w:p w14:paraId="7481CC16" w14:textId="77777777" w:rsidR="00706162" w:rsidRPr="00F14118" w:rsidRDefault="00706162">
      <w:pPr>
        <w:pStyle w:val="FootnoteText"/>
      </w:pPr>
      <w:r w:rsidRPr="00F14118">
        <w:rPr>
          <w:rStyle w:val="FootnoteReference"/>
        </w:rPr>
        <w:footnoteRef/>
      </w:r>
      <w:r w:rsidRPr="00F14118">
        <w:t xml:space="preserve"> </w:t>
      </w:r>
      <w:proofErr w:type="gramStart"/>
      <w:r w:rsidRPr="00E37493">
        <w:rPr>
          <w:i/>
        </w:rPr>
        <w:t>Id.</w:t>
      </w:r>
      <w:r w:rsidRPr="00F14118">
        <w:t xml:space="preserve"> at § 601(3) (incorporating by reference the definition of “small business concern” in 15 U.S.C. § 632).</w:t>
      </w:r>
      <w:proofErr w:type="gramEnd"/>
      <w:r w:rsidRPr="00F14118">
        <w:t xml:space="preserve">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roofErr w:type="gramStart"/>
      <w:r w:rsidRPr="00F14118">
        <w:t>5 U.S.C. § 601(3).</w:t>
      </w:r>
      <w:proofErr w:type="gramEnd"/>
    </w:p>
  </w:footnote>
  <w:footnote w:id="107">
    <w:p w14:paraId="327F68F2" w14:textId="77777777" w:rsidR="00706162" w:rsidRPr="00F14118" w:rsidRDefault="00706162">
      <w:pPr>
        <w:pStyle w:val="FootnoteText"/>
      </w:pPr>
      <w:r w:rsidRPr="00F14118">
        <w:rPr>
          <w:rStyle w:val="FootnoteReference"/>
        </w:rPr>
        <w:footnoteRef/>
      </w:r>
      <w:r w:rsidRPr="00F14118">
        <w:t xml:space="preserve"> </w:t>
      </w:r>
      <w:proofErr w:type="gramStart"/>
      <w:r w:rsidRPr="00F14118">
        <w:t>15 U.S.C. § 632.</w:t>
      </w:r>
      <w:proofErr w:type="gramEnd"/>
      <w:r w:rsidRPr="00F14118">
        <w:t xml:space="preserve">  Application of the statutory criteria of dominance in its field of operation and independence are sometimes difficult to apply in the context of broadcast television.  Accordingly, the Commission’s statistical account of television stations may be over-inclusive.</w:t>
      </w:r>
    </w:p>
  </w:footnote>
  <w:footnote w:id="108">
    <w:p w14:paraId="5CE9D69E" w14:textId="77777777" w:rsidR="00706162" w:rsidRPr="00F14118" w:rsidRDefault="00706162">
      <w:pPr>
        <w:pStyle w:val="FootnoteText"/>
      </w:pPr>
      <w:r w:rsidRPr="00F14118">
        <w:rPr>
          <w:rStyle w:val="FootnoteReference"/>
        </w:rPr>
        <w:footnoteRef/>
      </w:r>
      <w:r w:rsidRPr="00F14118">
        <w:t xml:space="preserve"> </w:t>
      </w:r>
      <w:r w:rsidRPr="00F14118">
        <w:rPr>
          <w:i/>
        </w:rPr>
        <w:t>See</w:t>
      </w:r>
      <w:r w:rsidRPr="00F14118">
        <w:t xml:space="preserve"> 5 U.S.C. §§ 601(3)–(6).</w:t>
      </w:r>
    </w:p>
  </w:footnote>
  <w:footnote w:id="109">
    <w:p w14:paraId="11DB48E9" w14:textId="77777777" w:rsidR="00706162" w:rsidRPr="00F14118" w:rsidRDefault="00706162">
      <w:pPr>
        <w:pStyle w:val="FootnoteText"/>
      </w:pPr>
      <w:r w:rsidRPr="00F14118">
        <w:rPr>
          <w:rStyle w:val="FootnoteReference"/>
        </w:rPr>
        <w:footnoteRef/>
      </w:r>
      <w:r w:rsidRPr="00F14118">
        <w:t xml:space="preserve"> </w:t>
      </w:r>
      <w:r w:rsidRPr="00F14118">
        <w:rPr>
          <w:i/>
        </w:rPr>
        <w:t>See</w:t>
      </w:r>
      <w:r w:rsidRPr="00F14118">
        <w:t xml:space="preserve"> SBA, Office of Advocacy, </w:t>
      </w:r>
      <w:proofErr w:type="gramStart"/>
      <w:r w:rsidRPr="00F14118">
        <w:t xml:space="preserve">“Frequently Asked Questions,” </w:t>
      </w:r>
      <w:hyperlink r:id="rId3" w:history="1">
        <w:r w:rsidRPr="00FD503F">
          <w:rPr>
            <w:rStyle w:val="Hyperlink"/>
          </w:rPr>
          <w:t>http://www.sba.gov/sites/default/files/FAQ_March_2014_0.pdf</w:t>
        </w:r>
        <w:proofErr w:type="gramEnd"/>
      </w:hyperlink>
      <w:r w:rsidRPr="00F14118">
        <w:t xml:space="preserve"> (last visited May 2, 2014; figures are from 2011).</w:t>
      </w:r>
    </w:p>
  </w:footnote>
  <w:footnote w:id="110">
    <w:p w14:paraId="2488E07F" w14:textId="77777777" w:rsidR="00706162" w:rsidRPr="00F14118" w:rsidRDefault="00706162">
      <w:pPr>
        <w:pStyle w:val="FootnoteText"/>
      </w:pPr>
      <w:r w:rsidRPr="00F14118">
        <w:rPr>
          <w:rStyle w:val="FootnoteReference"/>
        </w:rPr>
        <w:footnoteRef/>
      </w:r>
      <w:r w:rsidRPr="00F14118">
        <w:t xml:space="preserve"> </w:t>
      </w:r>
      <w:proofErr w:type="gramStart"/>
      <w:r w:rsidRPr="00F14118">
        <w:rPr>
          <w:spacing w:val="-2"/>
        </w:rPr>
        <w:t>5 U.S.C.</w:t>
      </w:r>
      <w:r w:rsidRPr="00F14118">
        <w:t xml:space="preserve"> § 601(4).</w:t>
      </w:r>
      <w:proofErr w:type="gramEnd"/>
    </w:p>
  </w:footnote>
  <w:footnote w:id="111">
    <w:p w14:paraId="32193769" w14:textId="77777777" w:rsidR="00706162" w:rsidRPr="00FD503F" w:rsidRDefault="00706162">
      <w:pPr>
        <w:pStyle w:val="FootnoteText"/>
      </w:pPr>
      <w:r w:rsidRPr="00F14118">
        <w:rPr>
          <w:rStyle w:val="FootnoteReference"/>
        </w:rPr>
        <w:footnoteRef/>
      </w:r>
      <w:r w:rsidRPr="00F14118">
        <w:t xml:space="preserve"> </w:t>
      </w:r>
      <w:proofErr w:type="gramStart"/>
      <w:r w:rsidRPr="00F14118">
        <w:rPr>
          <w:smallCaps/>
        </w:rPr>
        <w:t>National Center for Charitable Statistics</w:t>
      </w:r>
      <w:r w:rsidRPr="00F14118">
        <w:t xml:space="preserve">, </w:t>
      </w:r>
      <w:r w:rsidRPr="00F14118">
        <w:rPr>
          <w:smallCaps/>
        </w:rPr>
        <w:t xml:space="preserve">The Nonprofit Almanac </w:t>
      </w:r>
      <w:r w:rsidRPr="00F14118">
        <w:t>(2012).</w:t>
      </w:r>
      <w:proofErr w:type="gramEnd"/>
    </w:p>
  </w:footnote>
  <w:footnote w:id="112">
    <w:p w14:paraId="0C6F97BB" w14:textId="77777777" w:rsidR="00706162" w:rsidRPr="00F14118" w:rsidRDefault="00706162">
      <w:pPr>
        <w:pStyle w:val="FootnoteText"/>
      </w:pPr>
      <w:r w:rsidRPr="00F14118">
        <w:rPr>
          <w:rStyle w:val="FootnoteReference"/>
          <w:spacing w:val="-2"/>
        </w:rPr>
        <w:footnoteRef/>
      </w:r>
      <w:r w:rsidRPr="00F14118">
        <w:t xml:space="preserve"> </w:t>
      </w:r>
      <w:proofErr w:type="gramStart"/>
      <w:r w:rsidRPr="00F14118">
        <w:t>5 U.S.C. § 601(5).</w:t>
      </w:r>
      <w:proofErr w:type="gramEnd"/>
    </w:p>
  </w:footnote>
  <w:footnote w:id="113">
    <w:p w14:paraId="301C9995" w14:textId="77777777" w:rsidR="00706162" w:rsidRPr="00F14118" w:rsidRDefault="00706162">
      <w:pPr>
        <w:pStyle w:val="FootnoteText"/>
      </w:pPr>
      <w:r w:rsidRPr="00F14118">
        <w:rPr>
          <w:rStyle w:val="FootnoteReference"/>
          <w:spacing w:val="-2"/>
        </w:rPr>
        <w:footnoteRef/>
      </w:r>
      <w:r w:rsidRPr="00F14118">
        <w:t xml:space="preserve"> </w:t>
      </w:r>
      <w:r w:rsidRPr="00F14118">
        <w:rPr>
          <w:smallCaps/>
        </w:rPr>
        <w:t>U.S. Census Bureau, Government Organization Summary Report: 2012</w:t>
      </w:r>
      <w:r w:rsidRPr="00F14118">
        <w:t xml:space="preserve"> (rel. Sep. 26, 2013), </w:t>
      </w:r>
      <w:hyperlink r:id="rId4" w:history="1">
        <w:r w:rsidRPr="00FD503F">
          <w:rPr>
            <w:rStyle w:val="Hyperlink"/>
          </w:rPr>
          <w:t>http://www2.census.gov/govs/cog/g12_org.pdf</w:t>
        </w:r>
      </w:hyperlink>
      <w:r w:rsidRPr="00F14118">
        <w:t xml:space="preserve"> (last visited </w:t>
      </w:r>
      <w:r>
        <w:t>June 11</w:t>
      </w:r>
      <w:r w:rsidRPr="00F14118">
        <w:t>, 201</w:t>
      </w:r>
      <w:r>
        <w:t>5</w:t>
      </w:r>
      <w:r w:rsidRPr="00F14118">
        <w:t xml:space="preserve">). </w:t>
      </w:r>
    </w:p>
  </w:footnote>
  <w:footnote w:id="114">
    <w:p w14:paraId="543CA8E4" w14:textId="77777777" w:rsidR="00706162" w:rsidRDefault="00706162" w:rsidP="001705DA">
      <w:pPr>
        <w:pStyle w:val="FootnoteText"/>
      </w:pPr>
      <w:r>
        <w:rPr>
          <w:rStyle w:val="FootnoteReference"/>
        </w:rPr>
        <w:footnoteRef/>
      </w:r>
      <w:r>
        <w:t xml:space="preserve"> U.S. Census Bureau, </w:t>
      </w:r>
      <w:r w:rsidRPr="00A70DD8">
        <w:rPr>
          <w:i/>
        </w:rPr>
        <w:t>2012 NAICS Definitions</w:t>
      </w:r>
      <w:r>
        <w:rPr>
          <w:i/>
        </w:rPr>
        <w:t>:</w:t>
      </w:r>
      <w:r w:rsidRPr="00A70DD8">
        <w:rPr>
          <w:i/>
        </w:rPr>
        <w:t xml:space="preserve"> </w:t>
      </w:r>
      <w:r w:rsidRPr="00A70DD8">
        <w:rPr>
          <w:bCs/>
          <w:i/>
        </w:rPr>
        <w:t>515120 Television Broadcasting</w:t>
      </w:r>
      <w:r>
        <w:rPr>
          <w:bCs/>
        </w:rPr>
        <w:t xml:space="preserve">, </w:t>
      </w:r>
      <w:hyperlink r:id="rId5" w:history="1">
        <w:r w:rsidRPr="00953257">
          <w:rPr>
            <w:rStyle w:val="Hyperlink"/>
            <w:bCs/>
          </w:rPr>
          <w:t>http://www.census.gov/cgi-bin/sssd/naics/naicsrch?code=515120&amp;search=2012</w:t>
        </w:r>
      </w:hyperlink>
      <w:hyperlink r:id="rId6" w:history="1">
        <w:r w:rsidRPr="00953257">
          <w:rPr>
            <w:rStyle w:val="Hyperlink"/>
            <w:bCs/>
          </w:rPr>
          <w:t>http://www.census.gov/cgi-bin/sssd/naics/naicsrch?code=515120&amp;search=2012</w:t>
        </w:r>
      </w:hyperlink>
      <w:hyperlink r:id="rId7" w:history="1">
        <w:r w:rsidRPr="00953257">
          <w:rPr>
            <w:rStyle w:val="Hyperlink"/>
            <w:bCs/>
          </w:rPr>
          <w:t>http://www.census.gov/cgi-bin/sssd/naics/naicsrch?code=515120&amp;search=2012</w:t>
        </w:r>
      </w:hyperlink>
      <w:r>
        <w:rPr>
          <w:bCs/>
        </w:rPr>
        <w:t xml:space="preserve"> (last visited June 11, 2015).</w:t>
      </w:r>
    </w:p>
  </w:footnote>
  <w:footnote w:id="115">
    <w:p w14:paraId="362822C6" w14:textId="77777777" w:rsidR="00706162" w:rsidRDefault="00706162" w:rsidP="001705DA">
      <w:pPr>
        <w:pStyle w:val="FootnoteText"/>
      </w:pPr>
      <w:r>
        <w:rPr>
          <w:rStyle w:val="FootnoteReference"/>
        </w:rPr>
        <w:footnoteRef/>
      </w:r>
      <w:r>
        <w:t xml:space="preserve"> </w:t>
      </w:r>
      <w:proofErr w:type="gramStart"/>
      <w:r>
        <w:t>13 C.F.R. § 121.201 (NAICS code 515120) (updated for inflation in 2010).</w:t>
      </w:r>
      <w:proofErr w:type="gramEnd"/>
    </w:p>
  </w:footnote>
  <w:footnote w:id="116">
    <w:p w14:paraId="3CCAC7A4" w14:textId="77777777" w:rsidR="00706162" w:rsidRDefault="00706162" w:rsidP="001705DA">
      <w:pPr>
        <w:pStyle w:val="FootnoteText"/>
      </w:pPr>
      <w:r>
        <w:rPr>
          <w:rStyle w:val="FootnoteReference"/>
        </w:rPr>
        <w:footnoteRef/>
      </w:r>
      <w:r>
        <w:t xml:space="preserve"> </w:t>
      </w:r>
      <w:r>
        <w:rPr>
          <w:i/>
        </w:rPr>
        <w:t>See</w:t>
      </w:r>
      <w:r>
        <w:t xml:space="preserve"> FCC News Release, Broadcast Station Totals as of March 31, 2015 (rel. April 8, 2015), available at</w:t>
      </w:r>
      <w:proofErr w:type="gramStart"/>
      <w:r>
        <w:t xml:space="preserve">:  </w:t>
      </w:r>
      <w:proofErr w:type="gramEnd"/>
      <w:r>
        <w:fldChar w:fldCharType="begin"/>
      </w:r>
      <w:r>
        <w:instrText xml:space="preserve"> HYPERLINK "https://www.fcc.gov/document/broadcast-station-totals-march-31-2015" </w:instrText>
      </w:r>
      <w:r>
        <w:fldChar w:fldCharType="separate"/>
      </w:r>
      <w:r w:rsidRPr="009B12BA">
        <w:rPr>
          <w:rStyle w:val="Hyperlink"/>
        </w:rPr>
        <w:t>https://www.fcc.gov/document/broadcast-station-totals-march-31-2015</w:t>
      </w:r>
      <w:r>
        <w:rPr>
          <w:rStyle w:val="Hyperlink"/>
        </w:rPr>
        <w:fldChar w:fldCharType="end"/>
      </w:r>
      <w:r>
        <w:t>.</w:t>
      </w:r>
    </w:p>
  </w:footnote>
  <w:footnote w:id="117">
    <w:p w14:paraId="4A59C3E2" w14:textId="77777777" w:rsidR="00706162" w:rsidRDefault="00706162" w:rsidP="001705DA">
      <w:pPr>
        <w:pStyle w:val="FootnoteText"/>
      </w:pPr>
      <w:r>
        <w:rPr>
          <w:rStyle w:val="FootnoteReference"/>
        </w:rPr>
        <w:footnoteRef/>
      </w:r>
      <w:r>
        <w:t xml:space="preserve"> We recognize that BIA’s estimate differs slightly from the FCC total given the information provided above.</w:t>
      </w:r>
    </w:p>
  </w:footnote>
  <w:footnote w:id="118">
    <w:p w14:paraId="70BC7EC1" w14:textId="77777777" w:rsidR="00706162" w:rsidRDefault="00706162" w:rsidP="001705DA">
      <w:pPr>
        <w:pStyle w:val="FootnoteText"/>
      </w:pPr>
      <w:r>
        <w:rPr>
          <w:rStyle w:val="FootnoteReference"/>
        </w:rPr>
        <w:footnoteRef/>
      </w:r>
      <w:r>
        <w:t xml:space="preserve"> “[Business concerns] are affiliates of each other when one concern controls or has the power to control the other, or a third party or parties controls or has the power to control both.”  </w:t>
      </w:r>
      <w:proofErr w:type="gramStart"/>
      <w:r>
        <w:t>13 C.F.R. § 121.103(a)(1).</w:t>
      </w:r>
      <w:proofErr w:type="gramEnd"/>
    </w:p>
  </w:footnote>
  <w:footnote w:id="119">
    <w:p w14:paraId="0A57A129" w14:textId="77777777" w:rsidR="00706162" w:rsidRDefault="00706162" w:rsidP="001705DA">
      <w:pPr>
        <w:pStyle w:val="FootnoteText"/>
      </w:pPr>
      <w:r>
        <w:rPr>
          <w:rStyle w:val="FootnoteReference"/>
        </w:rPr>
        <w:footnoteRef/>
      </w:r>
      <w:r>
        <w:t xml:space="preserve"> </w:t>
      </w:r>
      <w:r>
        <w:rPr>
          <w:i/>
        </w:rPr>
        <w:t>See</w:t>
      </w:r>
      <w:r>
        <w:t xml:space="preserve"> FCC News Release, Broadcast Station Totals as of March 31, 2015 (rel. April 8, 2015). </w:t>
      </w:r>
    </w:p>
  </w:footnote>
  <w:footnote w:id="120">
    <w:p w14:paraId="5ECE5CDD" w14:textId="77777777" w:rsidR="00706162" w:rsidRDefault="00706162" w:rsidP="001705DA">
      <w:pPr>
        <w:pStyle w:val="FootnoteText"/>
      </w:pPr>
      <w:r>
        <w:rPr>
          <w:rStyle w:val="FootnoteReference"/>
        </w:rPr>
        <w:footnoteRef/>
      </w:r>
      <w:r>
        <w:t xml:space="preserve"> </w:t>
      </w:r>
      <w:r>
        <w:rPr>
          <w:i/>
        </w:rPr>
        <w:t>See generally</w:t>
      </w:r>
      <w:r>
        <w:t xml:space="preserve"> 5 U.S.C. §§ 601(4), (6).</w:t>
      </w:r>
    </w:p>
  </w:footnote>
  <w:footnote w:id="121">
    <w:p w14:paraId="2DCD6241" w14:textId="77777777" w:rsidR="00706162" w:rsidRDefault="00706162" w:rsidP="001705DA">
      <w:pPr>
        <w:pStyle w:val="FootnoteText"/>
      </w:pPr>
      <w:r>
        <w:rPr>
          <w:rStyle w:val="FootnoteReference"/>
        </w:rPr>
        <w:footnoteRef/>
      </w:r>
      <w:r>
        <w:t xml:space="preserve"> </w:t>
      </w:r>
      <w:r>
        <w:rPr>
          <w:i/>
        </w:rPr>
        <w:t>See</w:t>
      </w:r>
      <w:r>
        <w:t xml:space="preserve"> FCC News Release, Broadcast Station Totals as of March 31, 2015 (rel. April 8, 2015).</w:t>
      </w:r>
    </w:p>
  </w:footnote>
  <w:footnote w:id="122">
    <w:p w14:paraId="3B3F1488" w14:textId="77777777" w:rsidR="00706162" w:rsidRPr="00F14118" w:rsidRDefault="00706162">
      <w:pPr>
        <w:pStyle w:val="FootnoteText"/>
      </w:pPr>
      <w:r w:rsidRPr="00F14118">
        <w:rPr>
          <w:rStyle w:val="FootnoteReference"/>
        </w:rPr>
        <w:footnoteRef/>
      </w:r>
      <w:r w:rsidRPr="00F14118">
        <w:t xml:space="preserve"> FCC, Universal Licensing System (ULS), </w:t>
      </w:r>
      <w:r w:rsidRPr="00F14118">
        <w:rPr>
          <w:i/>
        </w:rPr>
        <w:t>available at</w:t>
      </w:r>
      <w:r w:rsidRPr="00F14118">
        <w:t xml:space="preserve"> </w:t>
      </w:r>
      <w:hyperlink r:id="rId8" w:history="1">
        <w:r w:rsidRPr="00FD503F">
          <w:rPr>
            <w:rStyle w:val="Hyperlink"/>
          </w:rPr>
          <w:t>http://wireless.fcc.gov/uls/index.htm?job=home</w:t>
        </w:r>
      </w:hyperlink>
      <w:r w:rsidRPr="00F14118">
        <w:t xml:space="preserve"> (last visited </w:t>
      </w:r>
      <w:r>
        <w:t>June 11, 2015</w:t>
      </w:r>
      <w:r w:rsidRPr="00F14118">
        <w:t>).</w:t>
      </w:r>
    </w:p>
  </w:footnote>
  <w:footnote w:id="123">
    <w:p w14:paraId="7E0372BB" w14:textId="77777777" w:rsidR="00706162" w:rsidRPr="00F14118" w:rsidRDefault="00706162">
      <w:pPr>
        <w:pStyle w:val="FootnoteText"/>
      </w:pPr>
      <w:r w:rsidRPr="00F14118">
        <w:rPr>
          <w:rStyle w:val="FootnoteReference"/>
        </w:rPr>
        <w:footnoteRef/>
      </w:r>
      <w:r w:rsidRPr="00F14118">
        <w:t xml:space="preserve"> </w:t>
      </w:r>
      <w:proofErr w:type="gramStart"/>
      <w:r w:rsidRPr="00F14118">
        <w:t>47 C.F.R. § 74.801.</w:t>
      </w:r>
      <w:proofErr w:type="gramEnd"/>
    </w:p>
  </w:footnote>
  <w:footnote w:id="124">
    <w:p w14:paraId="65555B27" w14:textId="77777777" w:rsidR="00706162" w:rsidRPr="00F14118" w:rsidRDefault="00706162">
      <w:pPr>
        <w:pStyle w:val="FootnoteText"/>
      </w:pPr>
      <w:r w:rsidRPr="00F14118">
        <w:rPr>
          <w:rStyle w:val="FootnoteReference"/>
        </w:rPr>
        <w:footnoteRef/>
      </w:r>
      <w:r w:rsidRPr="00F14118">
        <w:t xml:space="preserve">  U.S. Census Bureau,</w:t>
      </w:r>
      <w:r w:rsidRPr="00F14118">
        <w:rPr>
          <w:i/>
        </w:rPr>
        <w:t xml:space="preserve"> </w:t>
      </w:r>
      <w:r w:rsidRPr="00F14118">
        <w:t xml:space="preserve">2012 NAICS Definitions: 334220 Radio and Television Broadcasting and Wireless Communications Equipment Manufacturing, </w:t>
      </w:r>
      <w:hyperlink r:id="rId9" w:history="1">
        <w:r w:rsidRPr="00FD503F">
          <w:rPr>
            <w:rStyle w:val="Hyperlink"/>
          </w:rPr>
          <w:t>http://www.census.gov/cgi-bin/sssd/naics/naicsrch?code=334220</w:t>
        </w:r>
        <w:r w:rsidRPr="00FD503F">
          <w:rPr>
            <w:rStyle w:val="Hyperlink"/>
          </w:rPr>
          <w:br/>
          <w:t>&amp;search=2012</w:t>
        </w:r>
      </w:hyperlink>
      <w:r w:rsidRPr="00F14118">
        <w:t xml:space="preserve"> (last visited May 6, 2014).</w:t>
      </w:r>
    </w:p>
  </w:footnote>
  <w:footnote w:id="125">
    <w:p w14:paraId="1696E4AD" w14:textId="77777777" w:rsidR="00706162" w:rsidRPr="00F14118" w:rsidRDefault="00706162">
      <w:pPr>
        <w:pStyle w:val="FootnoteText"/>
      </w:pPr>
      <w:r w:rsidRPr="00F14118">
        <w:rPr>
          <w:rStyle w:val="FootnoteReference"/>
        </w:rPr>
        <w:footnoteRef/>
      </w:r>
      <w:r w:rsidRPr="00F14118">
        <w:rPr>
          <w:lang w:val="fr-FR"/>
        </w:rPr>
        <w:t xml:space="preserve"> 13 C.F.R. § 121.201, NAICS code 334220.</w:t>
      </w:r>
    </w:p>
  </w:footnote>
  <w:footnote w:id="126">
    <w:p w14:paraId="35CF7DD7" w14:textId="77777777" w:rsidR="00706162" w:rsidRPr="00F14118" w:rsidRDefault="00706162">
      <w:pPr>
        <w:pStyle w:val="FootnoteText"/>
      </w:pPr>
      <w:r w:rsidRPr="00F14118">
        <w:rPr>
          <w:rStyle w:val="FootnoteReference"/>
        </w:rPr>
        <w:footnoteRef/>
      </w:r>
      <w:r w:rsidRPr="00F14118">
        <w:t xml:space="preserve"> </w:t>
      </w:r>
      <w:proofErr w:type="gramStart"/>
      <w:r w:rsidRPr="00F14118">
        <w:t>U.S. Census Bureau, Table No.</w:t>
      </w:r>
      <w:proofErr w:type="gramEnd"/>
      <w:r w:rsidRPr="00F14118">
        <w:t xml:space="preserve"> EC0731SG3, Manufacturing: Summary Series: General Summary: Industry Statistics for Subsectors and Industries by Employment Size: 2007 (NAICS code 334220), </w:t>
      </w:r>
      <w:hyperlink r:id="rId10" w:history="1">
        <w:r w:rsidRPr="00FD503F">
          <w:rPr>
            <w:rStyle w:val="Hyperlink"/>
          </w:rPr>
          <w:t>http://factfinder2.census.gov/faces/tableservices/jsf/pages/productview.xhtml?pid=ECN_2007_US_31SG3</w:t>
        </w:r>
      </w:hyperlink>
      <w:r w:rsidRPr="00F14118">
        <w:t xml:space="preserve">.  The number of “establishments” is a less helpful indicator of small business prevalence in this context than would be the number of “firms” or “companies,” because the latter take into account the concept of common ownership or control.  Any single physical location for an entity is an establishment, even though </w:t>
      </w:r>
      <w:proofErr w:type="gramStart"/>
      <w:r w:rsidRPr="00F14118">
        <w:t>that location may be owned by a different establishment</w:t>
      </w:r>
      <w:proofErr w:type="gramEnd"/>
      <w:r w:rsidRPr="00F14118">
        <w:t xml:space="preserve">.  Thus, the numbers given may reflect inflated numbers of businesses in this category, including the numbers of small businesses.  </w:t>
      </w:r>
    </w:p>
  </w:footnote>
  <w:footnote w:id="127">
    <w:p w14:paraId="741B7566" w14:textId="77777777" w:rsidR="00706162" w:rsidRPr="00F14118" w:rsidRDefault="00706162">
      <w:pPr>
        <w:pStyle w:val="FootnoteText"/>
      </w:pPr>
      <w:r w:rsidRPr="00F14118">
        <w:rPr>
          <w:rStyle w:val="FootnoteReference"/>
        </w:rPr>
        <w:footnoteRef/>
      </w:r>
      <w:r w:rsidRPr="00F14118">
        <w:t xml:space="preserve"> </w:t>
      </w:r>
      <w:r w:rsidRPr="00F14118">
        <w:rPr>
          <w:i/>
        </w:rPr>
        <w:t>Id</w:t>
      </w:r>
      <w:r w:rsidRPr="00F14118">
        <w:t>.  An additional 17 establishments had employment of 1,000 or more.</w:t>
      </w:r>
    </w:p>
  </w:footnote>
  <w:footnote w:id="128">
    <w:p w14:paraId="5C73B128" w14:textId="77777777" w:rsidR="00706162" w:rsidRPr="00F14118" w:rsidRDefault="00706162">
      <w:pPr>
        <w:pStyle w:val="FootnoteText"/>
      </w:pPr>
      <w:r w:rsidRPr="00F14118">
        <w:rPr>
          <w:rStyle w:val="FootnoteReference"/>
        </w:rPr>
        <w:footnoteRef/>
      </w:r>
      <w:r w:rsidRPr="00F14118">
        <w:t xml:space="preserve"> U.S. Census Bureau,</w:t>
      </w:r>
      <w:r w:rsidRPr="00F14118">
        <w:rPr>
          <w:i/>
        </w:rPr>
        <w:t xml:space="preserve"> 2012 NAICS Definitions: 334290 Other Communications Equipment Manufacturing</w:t>
      </w:r>
      <w:r w:rsidRPr="00F14118">
        <w:rPr>
          <w:bCs/>
        </w:rPr>
        <w:t>,</w:t>
      </w:r>
      <w:r w:rsidRPr="00F14118">
        <w:t xml:space="preserve"> </w:t>
      </w:r>
      <w:hyperlink r:id="rId11" w:history="1">
        <w:r w:rsidRPr="00FD503F">
          <w:rPr>
            <w:rStyle w:val="Hyperlink"/>
          </w:rPr>
          <w:t>http://www.census.gov/cgi-bin/sssd/naics/naicsrch?code=334290&amp;search=2012</w:t>
        </w:r>
      </w:hyperlink>
      <w:r w:rsidRPr="00F14118">
        <w:t xml:space="preserve"> (last visited May 6, 2014).</w:t>
      </w:r>
    </w:p>
  </w:footnote>
  <w:footnote w:id="129">
    <w:p w14:paraId="5D6022F9" w14:textId="77777777" w:rsidR="00706162" w:rsidRPr="00F14118" w:rsidRDefault="00706162">
      <w:pPr>
        <w:pStyle w:val="FootnoteText"/>
      </w:pPr>
      <w:r w:rsidRPr="00F14118">
        <w:rPr>
          <w:rStyle w:val="FootnoteReference"/>
        </w:rPr>
        <w:footnoteRef/>
      </w:r>
      <w:r w:rsidRPr="00F14118">
        <w:rPr>
          <w:lang w:val="fr-FR"/>
        </w:rPr>
        <w:t xml:space="preserve"> 13 C.F.R. § 121.201, NAICS code 334290.</w:t>
      </w:r>
    </w:p>
  </w:footnote>
  <w:footnote w:id="130">
    <w:p w14:paraId="4C2A8352" w14:textId="77777777" w:rsidR="00706162" w:rsidRPr="00F14118" w:rsidRDefault="00706162">
      <w:pPr>
        <w:pStyle w:val="FootnoteText"/>
      </w:pPr>
      <w:r w:rsidRPr="00F14118">
        <w:rPr>
          <w:rStyle w:val="FootnoteReference"/>
        </w:rPr>
        <w:footnoteRef/>
      </w:r>
      <w:r w:rsidRPr="00F14118">
        <w:t xml:space="preserve"> </w:t>
      </w:r>
      <w:proofErr w:type="gramStart"/>
      <w:r w:rsidRPr="00F14118">
        <w:t>U.S. Census Bureau, Table No.</w:t>
      </w:r>
      <w:proofErr w:type="gramEnd"/>
      <w:r w:rsidRPr="00F14118">
        <w:t xml:space="preserve"> EC0731SG3, Manufacturing: Summary Series: General Summary: Industry Statistics for Subsectors and Industries by Employment Size: 2007 (NAICS code 334290), </w:t>
      </w:r>
      <w:hyperlink r:id="rId12" w:history="1">
        <w:r w:rsidRPr="00FD503F">
          <w:rPr>
            <w:rStyle w:val="Hyperlink"/>
          </w:rPr>
          <w:t>http://factfinder2.census.gov/faces/tableservices/jsf/pages/productview.xhtml?pid=ECN_2007_US_31SG3&amp;prodType=table</w:t>
        </w:r>
      </w:hyperlink>
      <w:r w:rsidRPr="00F14118">
        <w:t xml:space="preserve"> (last visited May 6, 2014).  The number of “establishments” is a less helpful indicator of small business prevalence in this context than would be the number of “firms” or “companies,” because the latter take into account the concept of common ownership or control.  Any single physical location for an entity is an establishment, even though </w:t>
      </w:r>
      <w:proofErr w:type="gramStart"/>
      <w:r w:rsidRPr="00F14118">
        <w:t>that location may be owned by a different establishment</w:t>
      </w:r>
      <w:proofErr w:type="gramEnd"/>
      <w:r w:rsidRPr="00F14118">
        <w:t xml:space="preserve">.  Thus, the numbers given may reflect inflated numbers of businesses in this category, including the numbers of small businesses.  </w:t>
      </w:r>
    </w:p>
  </w:footnote>
  <w:footnote w:id="131">
    <w:p w14:paraId="15FCCAF7" w14:textId="77777777" w:rsidR="00706162" w:rsidRPr="00F14118" w:rsidRDefault="00706162">
      <w:pPr>
        <w:pStyle w:val="FootnoteText"/>
      </w:pPr>
      <w:r w:rsidRPr="00F14118">
        <w:rPr>
          <w:rStyle w:val="FootnoteReference"/>
        </w:rPr>
        <w:footnoteRef/>
      </w:r>
      <w:r w:rsidRPr="00F14118">
        <w:t xml:space="preserve"> </w:t>
      </w:r>
      <w:r w:rsidRPr="00F14118">
        <w:rPr>
          <w:i/>
        </w:rPr>
        <w:t>Id</w:t>
      </w:r>
      <w:r w:rsidRPr="00F14118">
        <w:t>.  There were no establishments that had employment of 1,000 or more.</w:t>
      </w:r>
    </w:p>
  </w:footnote>
  <w:footnote w:id="132">
    <w:p w14:paraId="1E0327F8" w14:textId="77777777" w:rsidR="00706162" w:rsidRPr="00F14118" w:rsidRDefault="00706162">
      <w:pPr>
        <w:pStyle w:val="FootnoteText"/>
      </w:pPr>
      <w:r w:rsidRPr="00F14118">
        <w:rPr>
          <w:rStyle w:val="FootnoteReference"/>
        </w:rPr>
        <w:footnoteRef/>
      </w:r>
      <w:r w:rsidRPr="00F14118">
        <w:t xml:space="preserve"> The NAICS Code for this service 334220.  </w:t>
      </w:r>
      <w:r w:rsidRPr="00F14118">
        <w:rPr>
          <w:i/>
        </w:rPr>
        <w:t>See</w:t>
      </w:r>
      <w:r w:rsidRPr="00F14118">
        <w:t xml:space="preserve"> 13 C.F.R 121/201.  </w:t>
      </w:r>
      <w:r w:rsidRPr="00F14118">
        <w:rPr>
          <w:i/>
        </w:rPr>
        <w:t>See also</w:t>
      </w:r>
      <w:r w:rsidRPr="00F14118">
        <w:t xml:space="preserve"> </w:t>
      </w:r>
      <w:hyperlink r:id="rId13" w:history="1">
        <w:r w:rsidRPr="00FD503F">
          <w:rPr>
            <w:rStyle w:val="Hyperlink"/>
          </w:rPr>
          <w:t>http://factfinder.census.gov/servlet/IBQTable?_bm=y&amp;-fds_name=EC0700A1&amp;-geo_id=&amp;-_skip=300&amp;-ds_name=EC0731SG2&amp;-_lang=en</w:t>
        </w:r>
      </w:hyperlink>
      <w:r>
        <w:t>.</w:t>
      </w:r>
    </w:p>
  </w:footnote>
  <w:footnote w:id="133">
    <w:p w14:paraId="7A211E72" w14:textId="77777777" w:rsidR="00706162" w:rsidRPr="00B0344A" w:rsidRDefault="00706162" w:rsidP="00B7142D">
      <w:pPr>
        <w:spacing w:after="120"/>
        <w:rPr>
          <w:sz w:val="20"/>
        </w:rPr>
      </w:pPr>
      <w:r w:rsidRPr="00B0344A">
        <w:rPr>
          <w:rStyle w:val="FootnoteReference"/>
        </w:rPr>
        <w:footnoteRef/>
      </w:r>
      <w:r w:rsidRPr="00B0344A">
        <w:rPr>
          <w:sz w:val="20"/>
        </w:rPr>
        <w:t xml:space="preserve"> </w:t>
      </w:r>
      <w:r w:rsidRPr="00B0344A">
        <w:rPr>
          <w:i/>
          <w:sz w:val="20"/>
        </w:rPr>
        <w:t xml:space="preserve">See </w:t>
      </w:r>
      <w:hyperlink r:id="rId14" w:tooltip="http://factfinder.census.gov/servlet/IBQTable?_bm=y&amp;-geo_id=&amp;-fds_name=EC0700A1&amp;-_skip=4500&amp;-ds_name=EC0731SG3&amp;-_lang=en" w:history="1">
        <w:r w:rsidRPr="00B0344A">
          <w:rPr>
            <w:rStyle w:val="Hyperlink"/>
            <w:sz w:val="20"/>
          </w:rPr>
          <w:t>http://factfinder.census.gov/servlet/IBQTable?_bm=y&amp;-geo_id=&amp;-fds_name=EC0700A1&amp;-_skip=4500&amp;-ds_name=EC0731SG3&amp;-_lang=en</w:t>
        </w:r>
      </w:hyperlink>
      <w:r>
        <w:rPr>
          <w:rStyle w:val="Hyperlink"/>
          <w:sz w:val="20"/>
        </w:rPr>
        <w:t>.</w:t>
      </w:r>
    </w:p>
  </w:footnote>
  <w:footnote w:id="134">
    <w:p w14:paraId="6399F4F2" w14:textId="77777777" w:rsidR="00706162" w:rsidRPr="00F14118" w:rsidRDefault="00706162" w:rsidP="00F14118">
      <w:pPr>
        <w:pStyle w:val="FootnoteText"/>
      </w:pPr>
      <w:r w:rsidRPr="00F14118">
        <w:rPr>
          <w:rStyle w:val="FootnoteReference"/>
        </w:rPr>
        <w:footnoteRef/>
      </w:r>
      <w:r w:rsidRPr="00F14118">
        <w:t xml:space="preserve"> </w:t>
      </w:r>
      <w:proofErr w:type="gramStart"/>
      <w:r w:rsidRPr="00F14118">
        <w:t>5 U.S.C. §</w:t>
      </w:r>
      <w:r w:rsidRPr="00344326">
        <w:t>§</w:t>
      </w:r>
      <w:r w:rsidRPr="00F14118">
        <w:t xml:space="preserve"> 603(c)(1)-(c)(4)</w:t>
      </w:r>
      <w:r>
        <w:t>.</w:t>
      </w:r>
      <w:proofErr w:type="gramEnd"/>
    </w:p>
  </w:footnote>
  <w:footnote w:id="135">
    <w:p w14:paraId="2456D9BB" w14:textId="77777777" w:rsidR="00706162" w:rsidRDefault="00706162" w:rsidP="00E37493">
      <w:pPr>
        <w:pStyle w:val="FootnoteText"/>
      </w:pPr>
      <w:r>
        <w:rPr>
          <w:rStyle w:val="FootnoteReference"/>
        </w:rPr>
        <w:footnoteRef/>
      </w:r>
      <w:r>
        <w:t xml:space="preserve"> </w:t>
      </w:r>
      <w:r w:rsidRPr="00E30B59">
        <w:rPr>
          <w:i/>
        </w:rPr>
        <w:t>Expanding the Economic and Innovation Opportunities of Spectrum through Incentive Auctions</w:t>
      </w:r>
      <w:r>
        <w:t xml:space="preserve">, GN Docket No. 12-268, Report and Order, 29 FCC </w:t>
      </w:r>
      <w:proofErr w:type="spellStart"/>
      <w:r>
        <w:t>Rcd</w:t>
      </w:r>
      <w:proofErr w:type="spellEnd"/>
      <w:r>
        <w:t xml:space="preserve"> 6567 (2014).</w:t>
      </w:r>
    </w:p>
  </w:footnote>
  <w:footnote w:id="136">
    <w:p w14:paraId="32EBB167" w14:textId="77777777" w:rsidR="00706162" w:rsidRDefault="00706162" w:rsidP="00E37493">
      <w:pPr>
        <w:pStyle w:val="FootnoteText"/>
      </w:pPr>
      <w:r>
        <w:rPr>
          <w:rStyle w:val="FootnoteReference"/>
        </w:rPr>
        <w:footnoteRef/>
      </w:r>
      <w:r>
        <w:t xml:space="preserve"> </w:t>
      </w:r>
      <w:proofErr w:type="gramStart"/>
      <w:r w:rsidRPr="00E30B59">
        <w:rPr>
          <w:i/>
        </w:rPr>
        <w:t>Id</w:t>
      </w:r>
      <w:r>
        <w:t>. at 6683-84, 6701 ¶¶ 269, 309.</w:t>
      </w:r>
      <w:proofErr w:type="gramEnd"/>
    </w:p>
  </w:footnote>
  <w:footnote w:id="137">
    <w:p w14:paraId="1701876D" w14:textId="77777777" w:rsidR="00706162" w:rsidRPr="00AF5CA8" w:rsidRDefault="00706162" w:rsidP="00E37493">
      <w:pPr>
        <w:pStyle w:val="FootnoteText"/>
      </w:pPr>
      <w:r w:rsidRPr="00AF5CA8">
        <w:rPr>
          <w:rStyle w:val="FootnoteReference"/>
        </w:rPr>
        <w:footnoteRef/>
      </w:r>
      <w:r w:rsidRPr="00AF5CA8">
        <w:t xml:space="preserve"> The NPRM already contained a tentative conclusion that </w:t>
      </w:r>
      <w:r>
        <w:t>full-power stations would not have to preserve a</w:t>
      </w:r>
      <w:r w:rsidRPr="00AF5CA8">
        <w:t xml:space="preserve"> vacant channel during the repacking period.</w:t>
      </w:r>
    </w:p>
  </w:footnote>
  <w:footnote w:id="138">
    <w:p w14:paraId="30B50D42" w14:textId="77777777" w:rsidR="00706162" w:rsidRDefault="00706162" w:rsidP="00E37493">
      <w:pPr>
        <w:pStyle w:val="FootnoteText"/>
      </w:pPr>
      <w:r>
        <w:rPr>
          <w:rStyle w:val="FootnoteReference"/>
        </w:rPr>
        <w:footnoteRef/>
      </w:r>
      <w:r>
        <w:t xml:space="preserve"> Middle Class Tax Relief and Job Creation Act of 2012, Pub. L. No. 112-96, § 6401 </w:t>
      </w:r>
      <w:proofErr w:type="gramStart"/>
      <w:r w:rsidRPr="000A7750">
        <w:rPr>
          <w:i/>
        </w:rPr>
        <w:t>et</w:t>
      </w:r>
      <w:proofErr w:type="gramEnd"/>
      <w:r w:rsidRPr="000A7750">
        <w:rPr>
          <w:i/>
        </w:rPr>
        <w:t xml:space="preserve"> seq</w:t>
      </w:r>
      <w:r>
        <w:t>.</w:t>
      </w:r>
    </w:p>
  </w:footnote>
  <w:footnote w:id="139">
    <w:p w14:paraId="2CCA5A58" w14:textId="77777777" w:rsidR="00706162" w:rsidRDefault="00706162" w:rsidP="00E37493">
      <w:pPr>
        <w:pStyle w:val="FootnoteText"/>
      </w:pPr>
      <w:r>
        <w:rPr>
          <w:rStyle w:val="FootnoteReference"/>
        </w:rPr>
        <w:footnoteRef/>
      </w:r>
      <w:r>
        <w:t xml:space="preserve"> </w:t>
      </w:r>
      <w:r w:rsidRPr="00E30B59">
        <w:rPr>
          <w:i/>
        </w:rPr>
        <w:t>Id</w:t>
      </w:r>
      <w:r>
        <w:t>. § 6401(b)(1) (codified at 47 U.S.C. § 1452(b)(1)).</w:t>
      </w:r>
    </w:p>
  </w:footnote>
  <w:footnote w:id="140">
    <w:p w14:paraId="69F8B2BD" w14:textId="77777777" w:rsidR="00706162" w:rsidRDefault="00706162" w:rsidP="00E37493">
      <w:pPr>
        <w:pStyle w:val="FootnoteText"/>
      </w:pPr>
      <w:r>
        <w:rPr>
          <w:rStyle w:val="FootnoteReference"/>
        </w:rPr>
        <w:footnoteRef/>
      </w:r>
      <w:r>
        <w:t xml:space="preserve"> </w:t>
      </w:r>
      <w:proofErr w:type="gramStart"/>
      <w:r w:rsidRPr="00E30B59">
        <w:rPr>
          <w:i/>
        </w:rPr>
        <w:t>Id</w:t>
      </w:r>
      <w:r>
        <w:t>. § 6401, 6402 (codified at 47 U.S.C. §§ 309(j)(8), 1452).</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55C7" w14:textId="77777777" w:rsidR="00706162" w:rsidRDefault="007061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8E81F" w14:textId="77777777" w:rsidR="00706162" w:rsidRPr="00BB4AF1" w:rsidRDefault="00706162" w:rsidP="00BB4AF1">
    <w:pPr>
      <w:pStyle w:val="Header"/>
      <w:pBdr>
        <w:bottom w:val="single" w:sz="12" w:space="1" w:color="auto"/>
      </w:pBdr>
      <w:rPr>
        <w:spacing w:val="-2"/>
      </w:rPr>
    </w:pPr>
    <w:r>
      <w:tab/>
    </w:r>
    <w:r w:rsidRPr="001A3028">
      <w:t>Federal Communications Commission</w:t>
    </w:r>
    <w:r w:rsidRPr="001A3028">
      <w:tab/>
    </w:r>
    <w:r w:rsidRPr="001A3028">
      <w:rPr>
        <w:spacing w:val="-2"/>
      </w:rPr>
      <w:t>FCC 1</w:t>
    </w:r>
    <w:r>
      <w:rPr>
        <w:spacing w:val="-2"/>
      </w:rPr>
      <w:t>5</w:t>
    </w:r>
    <w:r w:rsidRPr="001A3028">
      <w:rPr>
        <w:spacing w:val="-2"/>
      </w:rPr>
      <w:t>-</w:t>
    </w:r>
    <w:r>
      <w:rPr>
        <w:spacing w:val="-2"/>
      </w:rPr>
      <w:t>68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00E84" w14:textId="77777777" w:rsidR="00706162" w:rsidRPr="00BB4AF1" w:rsidRDefault="00706162" w:rsidP="003B70A8">
    <w:pPr>
      <w:pStyle w:val="Header"/>
      <w:pBdr>
        <w:bottom w:val="single" w:sz="12" w:space="1" w:color="auto"/>
      </w:pBdr>
      <w:rPr>
        <w:spacing w:val="-2"/>
      </w:rPr>
    </w:pPr>
    <w:r>
      <w:tab/>
    </w:r>
    <w:r w:rsidRPr="001A3028">
      <w:t>Federal Communications Commission</w:t>
    </w:r>
    <w:r w:rsidRPr="001A3028">
      <w:tab/>
    </w:r>
    <w:r w:rsidRPr="001A3028">
      <w:rPr>
        <w:spacing w:val="-2"/>
      </w:rPr>
      <w:t>FCC 1</w:t>
    </w:r>
    <w:r>
      <w:rPr>
        <w:spacing w:val="-2"/>
      </w:rPr>
      <w:t>5</w:t>
    </w:r>
    <w:r w:rsidRPr="001A3028">
      <w:rPr>
        <w:spacing w:val="-2"/>
      </w:rPr>
      <w:t>-</w:t>
    </w:r>
    <w:r>
      <w:rPr>
        <w:spacing w:val="-2"/>
      </w:rPr>
      <w:t>68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C6035F"/>
    <w:multiLevelType w:val="hybridMultilevel"/>
    <w:tmpl w:val="1AA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12C7455"/>
    <w:multiLevelType w:val="hybridMultilevel"/>
    <w:tmpl w:val="6C52F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CE3DBF"/>
    <w:multiLevelType w:val="hybridMultilevel"/>
    <w:tmpl w:val="1688ABA8"/>
    <w:lvl w:ilvl="0" w:tplc="518E2A8A">
      <w:start w:val="1"/>
      <w:numFmt w:val="bullet"/>
      <w:pStyle w:val="ParaNumCharCha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B09CA"/>
    <w:multiLevelType w:val="hybridMultilevel"/>
    <w:tmpl w:val="AE3C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A5313"/>
    <w:multiLevelType w:val="hybridMultilevel"/>
    <w:tmpl w:val="8CB4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B9309B"/>
    <w:multiLevelType w:val="hybridMultilevel"/>
    <w:tmpl w:val="A37E8FE0"/>
    <w:lvl w:ilvl="0" w:tplc="1C566286">
      <w:start w:val="1"/>
      <w:numFmt w:val="decimal"/>
      <w:pStyle w:val="Appendixnumber"/>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280A3A13"/>
    <w:multiLevelType w:val="hybridMultilevel"/>
    <w:tmpl w:val="78746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26A5D"/>
    <w:multiLevelType w:val="hybridMultilevel"/>
    <w:tmpl w:val="895AB372"/>
    <w:lvl w:ilvl="0" w:tplc="F92246F6">
      <w:start w:val="1"/>
      <w:numFmt w:val="bullet"/>
      <w:pStyle w:val="List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72009B8"/>
    <w:multiLevelType w:val="hybridMultilevel"/>
    <w:tmpl w:val="02E6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2A5D9B"/>
    <w:multiLevelType w:val="hybridMultilevel"/>
    <w:tmpl w:val="1730143E"/>
    <w:lvl w:ilvl="0" w:tplc="2B549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0F1B3D"/>
    <w:multiLevelType w:val="singleLevel"/>
    <w:tmpl w:val="4DCCE696"/>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DE95E90"/>
    <w:multiLevelType w:val="hybridMultilevel"/>
    <w:tmpl w:val="6706CD6C"/>
    <w:lvl w:ilvl="0" w:tplc="AFC00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E641BEA"/>
    <w:multiLevelType w:val="hybridMultilevel"/>
    <w:tmpl w:val="71F66B1E"/>
    <w:lvl w:ilvl="0" w:tplc="A0F20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06F2D"/>
    <w:multiLevelType w:val="hybridMultilevel"/>
    <w:tmpl w:val="D7E86D30"/>
    <w:lvl w:ilvl="0" w:tplc="30D479C0">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2">
    <w:nsid w:val="6F723CB0"/>
    <w:multiLevelType w:val="hybridMultilevel"/>
    <w:tmpl w:val="B4C2E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1"/>
  </w:num>
  <w:num w:numId="2">
    <w:abstractNumId w:val="10"/>
  </w:num>
  <w:num w:numId="3">
    <w:abstractNumId w:val="12"/>
  </w:num>
  <w:num w:numId="4">
    <w:abstractNumId w:val="4"/>
  </w:num>
  <w:num w:numId="5">
    <w:abstractNumId w:val="9"/>
  </w:num>
  <w:num w:numId="6">
    <w:abstractNumId w:val="7"/>
  </w:num>
  <w:num w:numId="7">
    <w:abstractNumId w:val="18"/>
  </w:num>
  <w:num w:numId="8">
    <w:abstractNumId w:val="8"/>
  </w:num>
  <w:num w:numId="9">
    <w:abstractNumId w:val="2"/>
  </w:num>
  <w:num w:numId="10">
    <w:abstractNumId w:val="16"/>
  </w:num>
  <w:num w:numId="11">
    <w:abstractNumId w:val="0"/>
  </w:num>
  <w:num w:numId="12">
    <w:abstractNumId w:val="23"/>
  </w:num>
  <w:num w:numId="13">
    <w:abstractNumId w:val="14"/>
  </w:num>
  <w:num w:numId="14">
    <w:abstractNumId w:val="11"/>
  </w:num>
  <w:num w:numId="15">
    <w:abstractNumId w:val="22"/>
  </w:num>
  <w:num w:numId="16">
    <w:abstractNumId w:val="3"/>
  </w:num>
  <w:num w:numId="17">
    <w:abstractNumId w:val="13"/>
  </w:num>
  <w:num w:numId="18">
    <w:abstractNumId w:val="5"/>
  </w:num>
  <w:num w:numId="19">
    <w:abstractNumId w:val="6"/>
  </w:num>
  <w:num w:numId="20">
    <w:abstractNumId w:val="21"/>
  </w:num>
  <w:num w:numId="21">
    <w:abstractNumId w:val="21"/>
    <w:lvlOverride w:ilvl="0">
      <w:startOverride w:val="1"/>
    </w:lvlOverride>
  </w:num>
  <w:num w:numId="22">
    <w:abstractNumId w:val="19"/>
  </w:num>
  <w:num w:numId="23">
    <w:abstractNumId w:val="17"/>
  </w:num>
  <w:num w:numId="24">
    <w:abstractNumId w:val="15"/>
  </w:num>
  <w:num w:numId="25">
    <w:abstractNumId w:val="21"/>
    <w:lvlOverride w:ilvl="0">
      <w:startOverride w:val="1"/>
    </w:lvlOverride>
  </w:num>
  <w:num w:numId="26">
    <w:abstractNumId w:val="1"/>
  </w:num>
  <w:num w:numId="2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removePersonalInformation/>
  <w:removeDateAndTime/>
  <w:bordersDoNotSurroundHeader/>
  <w:bordersDoNotSurroundFooter/>
  <w:proofState w:spelling="clean" w:grammar="clean"/>
  <w:attachedTemplate r:id="rId1"/>
  <w:linkStyl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A6"/>
    <w:rsid w:val="00000306"/>
    <w:rsid w:val="00001020"/>
    <w:rsid w:val="000021A0"/>
    <w:rsid w:val="00002519"/>
    <w:rsid w:val="00004829"/>
    <w:rsid w:val="00004C66"/>
    <w:rsid w:val="00005E93"/>
    <w:rsid w:val="00006169"/>
    <w:rsid w:val="00007582"/>
    <w:rsid w:val="00010463"/>
    <w:rsid w:val="00010753"/>
    <w:rsid w:val="00010777"/>
    <w:rsid w:val="00010DC0"/>
    <w:rsid w:val="00011838"/>
    <w:rsid w:val="00011A53"/>
    <w:rsid w:val="000120A3"/>
    <w:rsid w:val="00012654"/>
    <w:rsid w:val="00012A64"/>
    <w:rsid w:val="00012F5A"/>
    <w:rsid w:val="0001343C"/>
    <w:rsid w:val="0001345B"/>
    <w:rsid w:val="0001375F"/>
    <w:rsid w:val="0001390A"/>
    <w:rsid w:val="0001458E"/>
    <w:rsid w:val="00014C1C"/>
    <w:rsid w:val="00016766"/>
    <w:rsid w:val="00016A24"/>
    <w:rsid w:val="00016DF8"/>
    <w:rsid w:val="00017BBD"/>
    <w:rsid w:val="00017EB5"/>
    <w:rsid w:val="00020A0E"/>
    <w:rsid w:val="00021743"/>
    <w:rsid w:val="00021CE8"/>
    <w:rsid w:val="00022056"/>
    <w:rsid w:val="0002205C"/>
    <w:rsid w:val="000226D9"/>
    <w:rsid w:val="00024158"/>
    <w:rsid w:val="00025130"/>
    <w:rsid w:val="000253BD"/>
    <w:rsid w:val="00025F4B"/>
    <w:rsid w:val="00027EE4"/>
    <w:rsid w:val="00030410"/>
    <w:rsid w:val="00030C6D"/>
    <w:rsid w:val="000316A0"/>
    <w:rsid w:val="000328E4"/>
    <w:rsid w:val="00032DA6"/>
    <w:rsid w:val="000332C8"/>
    <w:rsid w:val="00034018"/>
    <w:rsid w:val="00035C49"/>
    <w:rsid w:val="00036D39"/>
    <w:rsid w:val="00037C23"/>
    <w:rsid w:val="0004283B"/>
    <w:rsid w:val="00044882"/>
    <w:rsid w:val="00044C5A"/>
    <w:rsid w:val="00045895"/>
    <w:rsid w:val="00045E05"/>
    <w:rsid w:val="000463FA"/>
    <w:rsid w:val="00051D0E"/>
    <w:rsid w:val="00053190"/>
    <w:rsid w:val="0005398B"/>
    <w:rsid w:val="00054975"/>
    <w:rsid w:val="00055008"/>
    <w:rsid w:val="00055504"/>
    <w:rsid w:val="00056793"/>
    <w:rsid w:val="00056A80"/>
    <w:rsid w:val="000603B2"/>
    <w:rsid w:val="00061863"/>
    <w:rsid w:val="000633CD"/>
    <w:rsid w:val="000637F5"/>
    <w:rsid w:val="000645E6"/>
    <w:rsid w:val="0006460A"/>
    <w:rsid w:val="00064F78"/>
    <w:rsid w:val="00065AC8"/>
    <w:rsid w:val="00066B6E"/>
    <w:rsid w:val="00070E19"/>
    <w:rsid w:val="000715F3"/>
    <w:rsid w:val="00072F79"/>
    <w:rsid w:val="0007325A"/>
    <w:rsid w:val="00073F00"/>
    <w:rsid w:val="00073F0B"/>
    <w:rsid w:val="000767A0"/>
    <w:rsid w:val="00076E2F"/>
    <w:rsid w:val="00077630"/>
    <w:rsid w:val="000805B3"/>
    <w:rsid w:val="000806BF"/>
    <w:rsid w:val="00080940"/>
    <w:rsid w:val="0008126B"/>
    <w:rsid w:val="0008235E"/>
    <w:rsid w:val="000830CF"/>
    <w:rsid w:val="00083CA1"/>
    <w:rsid w:val="00083FD1"/>
    <w:rsid w:val="000850CF"/>
    <w:rsid w:val="0008532D"/>
    <w:rsid w:val="000854F5"/>
    <w:rsid w:val="00086122"/>
    <w:rsid w:val="0008697D"/>
    <w:rsid w:val="00086AC8"/>
    <w:rsid w:val="00087B12"/>
    <w:rsid w:val="0009118C"/>
    <w:rsid w:val="00091287"/>
    <w:rsid w:val="000923A4"/>
    <w:rsid w:val="00093013"/>
    <w:rsid w:val="000933C9"/>
    <w:rsid w:val="00093882"/>
    <w:rsid w:val="000948C9"/>
    <w:rsid w:val="00094B59"/>
    <w:rsid w:val="000952DE"/>
    <w:rsid w:val="00096DB6"/>
    <w:rsid w:val="00097FEC"/>
    <w:rsid w:val="000A07B0"/>
    <w:rsid w:val="000A162E"/>
    <w:rsid w:val="000A2526"/>
    <w:rsid w:val="000A2DE6"/>
    <w:rsid w:val="000A3677"/>
    <w:rsid w:val="000A3B19"/>
    <w:rsid w:val="000A519A"/>
    <w:rsid w:val="000A556A"/>
    <w:rsid w:val="000A5C81"/>
    <w:rsid w:val="000A5FEA"/>
    <w:rsid w:val="000A61AA"/>
    <w:rsid w:val="000A7945"/>
    <w:rsid w:val="000B15AC"/>
    <w:rsid w:val="000B1929"/>
    <w:rsid w:val="000B229E"/>
    <w:rsid w:val="000B3C75"/>
    <w:rsid w:val="000B3D81"/>
    <w:rsid w:val="000B7915"/>
    <w:rsid w:val="000C12EC"/>
    <w:rsid w:val="000C19EA"/>
    <w:rsid w:val="000C4754"/>
    <w:rsid w:val="000C53E4"/>
    <w:rsid w:val="000C55C7"/>
    <w:rsid w:val="000C76C7"/>
    <w:rsid w:val="000C790E"/>
    <w:rsid w:val="000D105F"/>
    <w:rsid w:val="000D14E2"/>
    <w:rsid w:val="000D33DD"/>
    <w:rsid w:val="000D44A7"/>
    <w:rsid w:val="000D47DD"/>
    <w:rsid w:val="000D5133"/>
    <w:rsid w:val="000D680C"/>
    <w:rsid w:val="000D6D07"/>
    <w:rsid w:val="000D6DD4"/>
    <w:rsid w:val="000D7683"/>
    <w:rsid w:val="000D76D9"/>
    <w:rsid w:val="000D7D63"/>
    <w:rsid w:val="000D7E10"/>
    <w:rsid w:val="000E0741"/>
    <w:rsid w:val="000E0A88"/>
    <w:rsid w:val="000E0F0A"/>
    <w:rsid w:val="000E2373"/>
    <w:rsid w:val="000E3572"/>
    <w:rsid w:val="000E46FF"/>
    <w:rsid w:val="000E4EB5"/>
    <w:rsid w:val="000E5722"/>
    <w:rsid w:val="000E5C07"/>
    <w:rsid w:val="000E7A59"/>
    <w:rsid w:val="000F08CF"/>
    <w:rsid w:val="000F1850"/>
    <w:rsid w:val="000F1E4B"/>
    <w:rsid w:val="000F20D5"/>
    <w:rsid w:val="000F2C0E"/>
    <w:rsid w:val="000F39FB"/>
    <w:rsid w:val="000F3CF6"/>
    <w:rsid w:val="000F56B3"/>
    <w:rsid w:val="000F5874"/>
    <w:rsid w:val="000F61B9"/>
    <w:rsid w:val="000F6A3D"/>
    <w:rsid w:val="000F736E"/>
    <w:rsid w:val="000F7F23"/>
    <w:rsid w:val="00101282"/>
    <w:rsid w:val="001013EB"/>
    <w:rsid w:val="00103C40"/>
    <w:rsid w:val="00104F1C"/>
    <w:rsid w:val="00105BC5"/>
    <w:rsid w:val="00105DC8"/>
    <w:rsid w:val="00106252"/>
    <w:rsid w:val="001070DF"/>
    <w:rsid w:val="00107D44"/>
    <w:rsid w:val="00110284"/>
    <w:rsid w:val="0011110C"/>
    <w:rsid w:val="00111958"/>
    <w:rsid w:val="0011316E"/>
    <w:rsid w:val="00113C76"/>
    <w:rsid w:val="00113F44"/>
    <w:rsid w:val="00114F39"/>
    <w:rsid w:val="0011572A"/>
    <w:rsid w:val="00120A5B"/>
    <w:rsid w:val="00121DC4"/>
    <w:rsid w:val="00122326"/>
    <w:rsid w:val="00122928"/>
    <w:rsid w:val="00122C03"/>
    <w:rsid w:val="00123C6F"/>
    <w:rsid w:val="00124858"/>
    <w:rsid w:val="00124D31"/>
    <w:rsid w:val="00126979"/>
    <w:rsid w:val="00126E71"/>
    <w:rsid w:val="00127589"/>
    <w:rsid w:val="0013088B"/>
    <w:rsid w:val="00131146"/>
    <w:rsid w:val="001313B8"/>
    <w:rsid w:val="00131C2F"/>
    <w:rsid w:val="00131E75"/>
    <w:rsid w:val="00131E8F"/>
    <w:rsid w:val="00132391"/>
    <w:rsid w:val="00132864"/>
    <w:rsid w:val="00132AC8"/>
    <w:rsid w:val="001335D7"/>
    <w:rsid w:val="0013398B"/>
    <w:rsid w:val="00133991"/>
    <w:rsid w:val="00134B7C"/>
    <w:rsid w:val="00135032"/>
    <w:rsid w:val="0013785D"/>
    <w:rsid w:val="00140040"/>
    <w:rsid w:val="00140D59"/>
    <w:rsid w:val="00142923"/>
    <w:rsid w:val="00142996"/>
    <w:rsid w:val="001443F4"/>
    <w:rsid w:val="001466AF"/>
    <w:rsid w:val="001475B2"/>
    <w:rsid w:val="0014764E"/>
    <w:rsid w:val="00150014"/>
    <w:rsid w:val="00152127"/>
    <w:rsid w:val="00152288"/>
    <w:rsid w:val="001523CB"/>
    <w:rsid w:val="00152511"/>
    <w:rsid w:val="00154567"/>
    <w:rsid w:val="00154A67"/>
    <w:rsid w:val="00156AD3"/>
    <w:rsid w:val="001602ED"/>
    <w:rsid w:val="00162081"/>
    <w:rsid w:val="0016364A"/>
    <w:rsid w:val="00163906"/>
    <w:rsid w:val="001661CE"/>
    <w:rsid w:val="0016631D"/>
    <w:rsid w:val="00166CD3"/>
    <w:rsid w:val="00166E10"/>
    <w:rsid w:val="00166E42"/>
    <w:rsid w:val="001674F8"/>
    <w:rsid w:val="00167D08"/>
    <w:rsid w:val="00170108"/>
    <w:rsid w:val="001704C2"/>
    <w:rsid w:val="001705DA"/>
    <w:rsid w:val="00171882"/>
    <w:rsid w:val="00172F3A"/>
    <w:rsid w:val="001739DA"/>
    <w:rsid w:val="0017413A"/>
    <w:rsid w:val="00175977"/>
    <w:rsid w:val="00175DD6"/>
    <w:rsid w:val="00175EC0"/>
    <w:rsid w:val="00176A79"/>
    <w:rsid w:val="00176C94"/>
    <w:rsid w:val="00176EEE"/>
    <w:rsid w:val="001807E4"/>
    <w:rsid w:val="00181743"/>
    <w:rsid w:val="001831B9"/>
    <w:rsid w:val="00184B0A"/>
    <w:rsid w:val="00184D46"/>
    <w:rsid w:val="001862F7"/>
    <w:rsid w:val="001867D7"/>
    <w:rsid w:val="001869C8"/>
    <w:rsid w:val="00190051"/>
    <w:rsid w:val="00191FD3"/>
    <w:rsid w:val="00193180"/>
    <w:rsid w:val="0019498A"/>
    <w:rsid w:val="00195086"/>
    <w:rsid w:val="00195240"/>
    <w:rsid w:val="00197BCD"/>
    <w:rsid w:val="00197C2A"/>
    <w:rsid w:val="001A2317"/>
    <w:rsid w:val="001A3028"/>
    <w:rsid w:val="001A42FB"/>
    <w:rsid w:val="001A6A98"/>
    <w:rsid w:val="001A6B2A"/>
    <w:rsid w:val="001A6C5A"/>
    <w:rsid w:val="001A7358"/>
    <w:rsid w:val="001B24A6"/>
    <w:rsid w:val="001B2796"/>
    <w:rsid w:val="001B4BF6"/>
    <w:rsid w:val="001B503C"/>
    <w:rsid w:val="001B645E"/>
    <w:rsid w:val="001B6963"/>
    <w:rsid w:val="001B78AF"/>
    <w:rsid w:val="001B7FE5"/>
    <w:rsid w:val="001C0642"/>
    <w:rsid w:val="001C0F00"/>
    <w:rsid w:val="001C1244"/>
    <w:rsid w:val="001C2527"/>
    <w:rsid w:val="001C2C96"/>
    <w:rsid w:val="001C5400"/>
    <w:rsid w:val="001C569F"/>
    <w:rsid w:val="001C5954"/>
    <w:rsid w:val="001C77DC"/>
    <w:rsid w:val="001D0D1A"/>
    <w:rsid w:val="001D0F86"/>
    <w:rsid w:val="001D13C0"/>
    <w:rsid w:val="001D17EB"/>
    <w:rsid w:val="001D1FA0"/>
    <w:rsid w:val="001D471F"/>
    <w:rsid w:val="001D47DF"/>
    <w:rsid w:val="001D586D"/>
    <w:rsid w:val="001D67F3"/>
    <w:rsid w:val="001D69D6"/>
    <w:rsid w:val="001D6B4B"/>
    <w:rsid w:val="001D7DB1"/>
    <w:rsid w:val="001E06BE"/>
    <w:rsid w:val="001E3704"/>
    <w:rsid w:val="001E3996"/>
    <w:rsid w:val="001E76EF"/>
    <w:rsid w:val="001F0484"/>
    <w:rsid w:val="001F3277"/>
    <w:rsid w:val="001F4359"/>
    <w:rsid w:val="001F5273"/>
    <w:rsid w:val="001F550F"/>
    <w:rsid w:val="001F670F"/>
    <w:rsid w:val="001F6A47"/>
    <w:rsid w:val="001F6B6E"/>
    <w:rsid w:val="00200467"/>
    <w:rsid w:val="00200A7D"/>
    <w:rsid w:val="0020118D"/>
    <w:rsid w:val="002024B6"/>
    <w:rsid w:val="00202650"/>
    <w:rsid w:val="002031C0"/>
    <w:rsid w:val="00203E1C"/>
    <w:rsid w:val="002060E2"/>
    <w:rsid w:val="00206659"/>
    <w:rsid w:val="002075F4"/>
    <w:rsid w:val="00210236"/>
    <w:rsid w:val="00211F78"/>
    <w:rsid w:val="00213C35"/>
    <w:rsid w:val="00213F78"/>
    <w:rsid w:val="002157D6"/>
    <w:rsid w:val="00215B11"/>
    <w:rsid w:val="00215DBA"/>
    <w:rsid w:val="002163DA"/>
    <w:rsid w:val="0021747E"/>
    <w:rsid w:val="0021775F"/>
    <w:rsid w:val="00220AE3"/>
    <w:rsid w:val="002214B4"/>
    <w:rsid w:val="00221ECA"/>
    <w:rsid w:val="00223F49"/>
    <w:rsid w:val="002240B1"/>
    <w:rsid w:val="0022457F"/>
    <w:rsid w:val="00227BAE"/>
    <w:rsid w:val="00231563"/>
    <w:rsid w:val="00231E8B"/>
    <w:rsid w:val="0023345D"/>
    <w:rsid w:val="00234394"/>
    <w:rsid w:val="0023492E"/>
    <w:rsid w:val="002355BD"/>
    <w:rsid w:val="0023657F"/>
    <w:rsid w:val="00237B1D"/>
    <w:rsid w:val="002402DB"/>
    <w:rsid w:val="002403BB"/>
    <w:rsid w:val="00241956"/>
    <w:rsid w:val="00241CDD"/>
    <w:rsid w:val="00242C4A"/>
    <w:rsid w:val="00242F48"/>
    <w:rsid w:val="00243211"/>
    <w:rsid w:val="002438DC"/>
    <w:rsid w:val="00243D22"/>
    <w:rsid w:val="00245D0C"/>
    <w:rsid w:val="00246545"/>
    <w:rsid w:val="00246780"/>
    <w:rsid w:val="00246C33"/>
    <w:rsid w:val="00247CA9"/>
    <w:rsid w:val="0025177A"/>
    <w:rsid w:val="00252223"/>
    <w:rsid w:val="00252E0C"/>
    <w:rsid w:val="0026001B"/>
    <w:rsid w:val="00260D47"/>
    <w:rsid w:val="0026346B"/>
    <w:rsid w:val="002634F3"/>
    <w:rsid w:val="00264606"/>
    <w:rsid w:val="002646BF"/>
    <w:rsid w:val="00265D5F"/>
    <w:rsid w:val="002668A6"/>
    <w:rsid w:val="00266D54"/>
    <w:rsid w:val="00267025"/>
    <w:rsid w:val="00270EC3"/>
    <w:rsid w:val="00271BF6"/>
    <w:rsid w:val="0027210E"/>
    <w:rsid w:val="00276AB3"/>
    <w:rsid w:val="00276FAB"/>
    <w:rsid w:val="002801F9"/>
    <w:rsid w:val="002802A6"/>
    <w:rsid w:val="002808FC"/>
    <w:rsid w:val="0028146D"/>
    <w:rsid w:val="0028329E"/>
    <w:rsid w:val="0028339F"/>
    <w:rsid w:val="00285363"/>
    <w:rsid w:val="0028564A"/>
    <w:rsid w:val="00285C1E"/>
    <w:rsid w:val="002862E0"/>
    <w:rsid w:val="0028696B"/>
    <w:rsid w:val="00287271"/>
    <w:rsid w:val="0029171E"/>
    <w:rsid w:val="00292FAC"/>
    <w:rsid w:val="00293CAE"/>
    <w:rsid w:val="002944BB"/>
    <w:rsid w:val="00294CE8"/>
    <w:rsid w:val="00295168"/>
    <w:rsid w:val="00295D72"/>
    <w:rsid w:val="00297124"/>
    <w:rsid w:val="002A002B"/>
    <w:rsid w:val="002A0272"/>
    <w:rsid w:val="002A0FB8"/>
    <w:rsid w:val="002A106F"/>
    <w:rsid w:val="002A198B"/>
    <w:rsid w:val="002A42CE"/>
    <w:rsid w:val="002A611C"/>
    <w:rsid w:val="002A7632"/>
    <w:rsid w:val="002A76EB"/>
    <w:rsid w:val="002A7D31"/>
    <w:rsid w:val="002A7ECC"/>
    <w:rsid w:val="002B0518"/>
    <w:rsid w:val="002B05D7"/>
    <w:rsid w:val="002B1317"/>
    <w:rsid w:val="002B1788"/>
    <w:rsid w:val="002B1B92"/>
    <w:rsid w:val="002B25C4"/>
    <w:rsid w:val="002B2796"/>
    <w:rsid w:val="002B37B6"/>
    <w:rsid w:val="002B40FA"/>
    <w:rsid w:val="002B596D"/>
    <w:rsid w:val="002B5B54"/>
    <w:rsid w:val="002B6672"/>
    <w:rsid w:val="002B6DA1"/>
    <w:rsid w:val="002C0F21"/>
    <w:rsid w:val="002C2ED8"/>
    <w:rsid w:val="002C519A"/>
    <w:rsid w:val="002C5222"/>
    <w:rsid w:val="002D167A"/>
    <w:rsid w:val="002D24DD"/>
    <w:rsid w:val="002D2631"/>
    <w:rsid w:val="002D2C3B"/>
    <w:rsid w:val="002D36DF"/>
    <w:rsid w:val="002D43BA"/>
    <w:rsid w:val="002D467D"/>
    <w:rsid w:val="002D5F44"/>
    <w:rsid w:val="002D687B"/>
    <w:rsid w:val="002D68DB"/>
    <w:rsid w:val="002D6EDD"/>
    <w:rsid w:val="002E0A4F"/>
    <w:rsid w:val="002E0D00"/>
    <w:rsid w:val="002E13D3"/>
    <w:rsid w:val="002E1A36"/>
    <w:rsid w:val="002E1CC4"/>
    <w:rsid w:val="002E2E6B"/>
    <w:rsid w:val="002E32AA"/>
    <w:rsid w:val="002E3BF8"/>
    <w:rsid w:val="002E46AB"/>
    <w:rsid w:val="002E4851"/>
    <w:rsid w:val="002E5C57"/>
    <w:rsid w:val="002E758C"/>
    <w:rsid w:val="002E7613"/>
    <w:rsid w:val="002E7DE2"/>
    <w:rsid w:val="002F0722"/>
    <w:rsid w:val="002F1E87"/>
    <w:rsid w:val="002F3ACC"/>
    <w:rsid w:val="002F4705"/>
    <w:rsid w:val="002F5CA7"/>
    <w:rsid w:val="002F6066"/>
    <w:rsid w:val="002F7969"/>
    <w:rsid w:val="003005C0"/>
    <w:rsid w:val="00300D84"/>
    <w:rsid w:val="00301803"/>
    <w:rsid w:val="00301E71"/>
    <w:rsid w:val="003036DE"/>
    <w:rsid w:val="003036FE"/>
    <w:rsid w:val="0030445B"/>
    <w:rsid w:val="00306991"/>
    <w:rsid w:val="00306A03"/>
    <w:rsid w:val="00310370"/>
    <w:rsid w:val="003105ED"/>
    <w:rsid w:val="003106B9"/>
    <w:rsid w:val="00310852"/>
    <w:rsid w:val="003112C5"/>
    <w:rsid w:val="003116A3"/>
    <w:rsid w:val="00312176"/>
    <w:rsid w:val="0031251A"/>
    <w:rsid w:val="003128D9"/>
    <w:rsid w:val="003137DC"/>
    <w:rsid w:val="00314886"/>
    <w:rsid w:val="003152BC"/>
    <w:rsid w:val="0031697B"/>
    <w:rsid w:val="003171A1"/>
    <w:rsid w:val="003175D7"/>
    <w:rsid w:val="0032024B"/>
    <w:rsid w:val="00323B46"/>
    <w:rsid w:val="00324549"/>
    <w:rsid w:val="00324F6D"/>
    <w:rsid w:val="00325755"/>
    <w:rsid w:val="00325BC9"/>
    <w:rsid w:val="00325DD3"/>
    <w:rsid w:val="00325E9C"/>
    <w:rsid w:val="0033092D"/>
    <w:rsid w:val="00330E32"/>
    <w:rsid w:val="00332CEE"/>
    <w:rsid w:val="00335E62"/>
    <w:rsid w:val="00337287"/>
    <w:rsid w:val="00337ADA"/>
    <w:rsid w:val="00340FD3"/>
    <w:rsid w:val="00344326"/>
    <w:rsid w:val="00344672"/>
    <w:rsid w:val="00344AA9"/>
    <w:rsid w:val="0034774D"/>
    <w:rsid w:val="00347A36"/>
    <w:rsid w:val="00347BA9"/>
    <w:rsid w:val="00350259"/>
    <w:rsid w:val="00350547"/>
    <w:rsid w:val="00350794"/>
    <w:rsid w:val="003520F2"/>
    <w:rsid w:val="00352104"/>
    <w:rsid w:val="00353499"/>
    <w:rsid w:val="00354689"/>
    <w:rsid w:val="00354DC6"/>
    <w:rsid w:val="00356C07"/>
    <w:rsid w:val="00357582"/>
    <w:rsid w:val="00357799"/>
    <w:rsid w:val="00357F4C"/>
    <w:rsid w:val="00362955"/>
    <w:rsid w:val="00363C02"/>
    <w:rsid w:val="00363D10"/>
    <w:rsid w:val="00364342"/>
    <w:rsid w:val="003656BF"/>
    <w:rsid w:val="00366752"/>
    <w:rsid w:val="00366AE3"/>
    <w:rsid w:val="003678AC"/>
    <w:rsid w:val="003678BA"/>
    <w:rsid w:val="00367C1F"/>
    <w:rsid w:val="00370404"/>
    <w:rsid w:val="00372100"/>
    <w:rsid w:val="00372270"/>
    <w:rsid w:val="0037406E"/>
    <w:rsid w:val="00376535"/>
    <w:rsid w:val="00377003"/>
    <w:rsid w:val="00377947"/>
    <w:rsid w:val="00380AD4"/>
    <w:rsid w:val="00381E5C"/>
    <w:rsid w:val="003827A4"/>
    <w:rsid w:val="00382D9F"/>
    <w:rsid w:val="00382F3D"/>
    <w:rsid w:val="00383140"/>
    <w:rsid w:val="00383153"/>
    <w:rsid w:val="00383691"/>
    <w:rsid w:val="0038380C"/>
    <w:rsid w:val="00384119"/>
    <w:rsid w:val="00385058"/>
    <w:rsid w:val="003851A6"/>
    <w:rsid w:val="00385565"/>
    <w:rsid w:val="003864E8"/>
    <w:rsid w:val="00387729"/>
    <w:rsid w:val="00390483"/>
    <w:rsid w:val="0039378F"/>
    <w:rsid w:val="00394155"/>
    <w:rsid w:val="0039476F"/>
    <w:rsid w:val="00394AFD"/>
    <w:rsid w:val="0039528A"/>
    <w:rsid w:val="00395BF5"/>
    <w:rsid w:val="00396209"/>
    <w:rsid w:val="00396796"/>
    <w:rsid w:val="00397058"/>
    <w:rsid w:val="003A0275"/>
    <w:rsid w:val="003A06BD"/>
    <w:rsid w:val="003A138C"/>
    <w:rsid w:val="003A1956"/>
    <w:rsid w:val="003A229E"/>
    <w:rsid w:val="003A2AE3"/>
    <w:rsid w:val="003A37A7"/>
    <w:rsid w:val="003A486E"/>
    <w:rsid w:val="003A5082"/>
    <w:rsid w:val="003A53C3"/>
    <w:rsid w:val="003A6492"/>
    <w:rsid w:val="003A6929"/>
    <w:rsid w:val="003A70C0"/>
    <w:rsid w:val="003A7C5D"/>
    <w:rsid w:val="003A7C79"/>
    <w:rsid w:val="003A7CD9"/>
    <w:rsid w:val="003B0BFF"/>
    <w:rsid w:val="003B1608"/>
    <w:rsid w:val="003B1E59"/>
    <w:rsid w:val="003B2538"/>
    <w:rsid w:val="003B3C52"/>
    <w:rsid w:val="003B47FF"/>
    <w:rsid w:val="003B521D"/>
    <w:rsid w:val="003B5857"/>
    <w:rsid w:val="003B6326"/>
    <w:rsid w:val="003B6A35"/>
    <w:rsid w:val="003B70A8"/>
    <w:rsid w:val="003B79A4"/>
    <w:rsid w:val="003B7E18"/>
    <w:rsid w:val="003C1515"/>
    <w:rsid w:val="003C227F"/>
    <w:rsid w:val="003C25A3"/>
    <w:rsid w:val="003C3621"/>
    <w:rsid w:val="003C4971"/>
    <w:rsid w:val="003C5AE5"/>
    <w:rsid w:val="003C654E"/>
    <w:rsid w:val="003C6F26"/>
    <w:rsid w:val="003C72B7"/>
    <w:rsid w:val="003C7671"/>
    <w:rsid w:val="003C7800"/>
    <w:rsid w:val="003D203A"/>
    <w:rsid w:val="003D2991"/>
    <w:rsid w:val="003D2FCF"/>
    <w:rsid w:val="003D49D3"/>
    <w:rsid w:val="003D4A30"/>
    <w:rsid w:val="003D5309"/>
    <w:rsid w:val="003D56BC"/>
    <w:rsid w:val="003D662F"/>
    <w:rsid w:val="003D6919"/>
    <w:rsid w:val="003D788C"/>
    <w:rsid w:val="003D7935"/>
    <w:rsid w:val="003E02C4"/>
    <w:rsid w:val="003E0610"/>
    <w:rsid w:val="003E064E"/>
    <w:rsid w:val="003E15EE"/>
    <w:rsid w:val="003E3984"/>
    <w:rsid w:val="003E4148"/>
    <w:rsid w:val="003E53E4"/>
    <w:rsid w:val="003E5925"/>
    <w:rsid w:val="003E5AE5"/>
    <w:rsid w:val="003E5EE7"/>
    <w:rsid w:val="003E664C"/>
    <w:rsid w:val="003E6ED3"/>
    <w:rsid w:val="003F1BB0"/>
    <w:rsid w:val="003F1C7D"/>
    <w:rsid w:val="003F2B3C"/>
    <w:rsid w:val="003F5226"/>
    <w:rsid w:val="003F58D9"/>
    <w:rsid w:val="003F5D0B"/>
    <w:rsid w:val="003F669F"/>
    <w:rsid w:val="003F707B"/>
    <w:rsid w:val="003F7ECE"/>
    <w:rsid w:val="00400A11"/>
    <w:rsid w:val="00401FD4"/>
    <w:rsid w:val="00402640"/>
    <w:rsid w:val="00403AB6"/>
    <w:rsid w:val="00403C34"/>
    <w:rsid w:val="00404131"/>
    <w:rsid w:val="00404FC1"/>
    <w:rsid w:val="004051E5"/>
    <w:rsid w:val="004054A7"/>
    <w:rsid w:val="00405724"/>
    <w:rsid w:val="00405BB8"/>
    <w:rsid w:val="004064F6"/>
    <w:rsid w:val="00406849"/>
    <w:rsid w:val="00407808"/>
    <w:rsid w:val="004113FC"/>
    <w:rsid w:val="0041151D"/>
    <w:rsid w:val="00411CC6"/>
    <w:rsid w:val="00412164"/>
    <w:rsid w:val="00413127"/>
    <w:rsid w:val="0041324C"/>
    <w:rsid w:val="00413690"/>
    <w:rsid w:val="00413F60"/>
    <w:rsid w:val="00415A30"/>
    <w:rsid w:val="00416FBC"/>
    <w:rsid w:val="004173CE"/>
    <w:rsid w:val="00420561"/>
    <w:rsid w:val="00420D46"/>
    <w:rsid w:val="00421642"/>
    <w:rsid w:val="00421D9E"/>
    <w:rsid w:val="00421F94"/>
    <w:rsid w:val="004245E2"/>
    <w:rsid w:val="00424A03"/>
    <w:rsid w:val="00424D36"/>
    <w:rsid w:val="004276C3"/>
    <w:rsid w:val="00427E94"/>
    <w:rsid w:val="00427F9B"/>
    <w:rsid w:val="004303A3"/>
    <w:rsid w:val="00430EF6"/>
    <w:rsid w:val="0043194A"/>
    <w:rsid w:val="004341DE"/>
    <w:rsid w:val="00437310"/>
    <w:rsid w:val="00437B0F"/>
    <w:rsid w:val="004410EC"/>
    <w:rsid w:val="004416FB"/>
    <w:rsid w:val="0044225E"/>
    <w:rsid w:val="004440FA"/>
    <w:rsid w:val="0044442D"/>
    <w:rsid w:val="004444EE"/>
    <w:rsid w:val="0044463E"/>
    <w:rsid w:val="004446CE"/>
    <w:rsid w:val="00445992"/>
    <w:rsid w:val="00446A6F"/>
    <w:rsid w:val="00447EDD"/>
    <w:rsid w:val="0045201D"/>
    <w:rsid w:val="004526DA"/>
    <w:rsid w:val="00453346"/>
    <w:rsid w:val="00454DF2"/>
    <w:rsid w:val="0045765C"/>
    <w:rsid w:val="00460510"/>
    <w:rsid w:val="00461ADF"/>
    <w:rsid w:val="00462595"/>
    <w:rsid w:val="00462A69"/>
    <w:rsid w:val="00463CD9"/>
    <w:rsid w:val="004651FE"/>
    <w:rsid w:val="004670E6"/>
    <w:rsid w:val="004703EA"/>
    <w:rsid w:val="00470EF6"/>
    <w:rsid w:val="004725E2"/>
    <w:rsid w:val="00472F05"/>
    <w:rsid w:val="0047369C"/>
    <w:rsid w:val="00474B77"/>
    <w:rsid w:val="00476AE6"/>
    <w:rsid w:val="00476AFB"/>
    <w:rsid w:val="004772C2"/>
    <w:rsid w:val="004774F6"/>
    <w:rsid w:val="004779F2"/>
    <w:rsid w:val="00480536"/>
    <w:rsid w:val="00480D19"/>
    <w:rsid w:val="004817C9"/>
    <w:rsid w:val="0048445E"/>
    <w:rsid w:val="004844CF"/>
    <w:rsid w:val="0048702D"/>
    <w:rsid w:val="004879B9"/>
    <w:rsid w:val="004879FB"/>
    <w:rsid w:val="00490B98"/>
    <w:rsid w:val="00493B80"/>
    <w:rsid w:val="00494E3B"/>
    <w:rsid w:val="00495CC0"/>
    <w:rsid w:val="00496654"/>
    <w:rsid w:val="00496A9F"/>
    <w:rsid w:val="00497486"/>
    <w:rsid w:val="00497754"/>
    <w:rsid w:val="004A283A"/>
    <w:rsid w:val="004A2949"/>
    <w:rsid w:val="004A2F03"/>
    <w:rsid w:val="004A3559"/>
    <w:rsid w:val="004A3C58"/>
    <w:rsid w:val="004A3E03"/>
    <w:rsid w:val="004A5B29"/>
    <w:rsid w:val="004A6665"/>
    <w:rsid w:val="004A6D2D"/>
    <w:rsid w:val="004A75B5"/>
    <w:rsid w:val="004A7F21"/>
    <w:rsid w:val="004B0884"/>
    <w:rsid w:val="004B1FC8"/>
    <w:rsid w:val="004B20A5"/>
    <w:rsid w:val="004B362F"/>
    <w:rsid w:val="004B4C49"/>
    <w:rsid w:val="004B55C1"/>
    <w:rsid w:val="004B59C7"/>
    <w:rsid w:val="004B68C8"/>
    <w:rsid w:val="004B73C7"/>
    <w:rsid w:val="004C02F4"/>
    <w:rsid w:val="004C0B4A"/>
    <w:rsid w:val="004C1CDC"/>
    <w:rsid w:val="004C22FE"/>
    <w:rsid w:val="004C3A36"/>
    <w:rsid w:val="004C42BA"/>
    <w:rsid w:val="004C4FD3"/>
    <w:rsid w:val="004C51D3"/>
    <w:rsid w:val="004C55C0"/>
    <w:rsid w:val="004C5637"/>
    <w:rsid w:val="004C56E1"/>
    <w:rsid w:val="004C58CF"/>
    <w:rsid w:val="004C5C9D"/>
    <w:rsid w:val="004C6017"/>
    <w:rsid w:val="004C6674"/>
    <w:rsid w:val="004C6C67"/>
    <w:rsid w:val="004C7240"/>
    <w:rsid w:val="004D1F02"/>
    <w:rsid w:val="004D2779"/>
    <w:rsid w:val="004D3B6E"/>
    <w:rsid w:val="004D61A1"/>
    <w:rsid w:val="004D6FAA"/>
    <w:rsid w:val="004D72F8"/>
    <w:rsid w:val="004E126A"/>
    <w:rsid w:val="004E2F6E"/>
    <w:rsid w:val="004E390C"/>
    <w:rsid w:val="004E44AE"/>
    <w:rsid w:val="004E4A97"/>
    <w:rsid w:val="004E4E88"/>
    <w:rsid w:val="004E4FD7"/>
    <w:rsid w:val="004E510B"/>
    <w:rsid w:val="004E5E75"/>
    <w:rsid w:val="004E7A60"/>
    <w:rsid w:val="004F1338"/>
    <w:rsid w:val="004F3888"/>
    <w:rsid w:val="004F3C31"/>
    <w:rsid w:val="004F3E4D"/>
    <w:rsid w:val="004F4941"/>
    <w:rsid w:val="004F4B3B"/>
    <w:rsid w:val="004F5542"/>
    <w:rsid w:val="004F5990"/>
    <w:rsid w:val="004F6065"/>
    <w:rsid w:val="004F73C9"/>
    <w:rsid w:val="004F7D69"/>
    <w:rsid w:val="00500A31"/>
    <w:rsid w:val="0050318D"/>
    <w:rsid w:val="005038F7"/>
    <w:rsid w:val="0050423E"/>
    <w:rsid w:val="00504D21"/>
    <w:rsid w:val="005062E1"/>
    <w:rsid w:val="00506D35"/>
    <w:rsid w:val="00507056"/>
    <w:rsid w:val="00507CBC"/>
    <w:rsid w:val="00511BEC"/>
    <w:rsid w:val="00514793"/>
    <w:rsid w:val="00514BD0"/>
    <w:rsid w:val="00514D47"/>
    <w:rsid w:val="00515755"/>
    <w:rsid w:val="005159F1"/>
    <w:rsid w:val="00520549"/>
    <w:rsid w:val="005205D5"/>
    <w:rsid w:val="00520C37"/>
    <w:rsid w:val="00522115"/>
    <w:rsid w:val="00522A11"/>
    <w:rsid w:val="00522CE1"/>
    <w:rsid w:val="005260E9"/>
    <w:rsid w:val="00526E58"/>
    <w:rsid w:val="00526FFE"/>
    <w:rsid w:val="005318F2"/>
    <w:rsid w:val="005324F5"/>
    <w:rsid w:val="00532BCA"/>
    <w:rsid w:val="0053435B"/>
    <w:rsid w:val="0053634C"/>
    <w:rsid w:val="0053669F"/>
    <w:rsid w:val="00536F45"/>
    <w:rsid w:val="005409EC"/>
    <w:rsid w:val="00540A62"/>
    <w:rsid w:val="0054348B"/>
    <w:rsid w:val="00544E47"/>
    <w:rsid w:val="00546455"/>
    <w:rsid w:val="00546F54"/>
    <w:rsid w:val="005471F2"/>
    <w:rsid w:val="00552362"/>
    <w:rsid w:val="00553F4F"/>
    <w:rsid w:val="005559C2"/>
    <w:rsid w:val="00556AD9"/>
    <w:rsid w:val="00556D8C"/>
    <w:rsid w:val="00557505"/>
    <w:rsid w:val="00560333"/>
    <w:rsid w:val="00560720"/>
    <w:rsid w:val="00562954"/>
    <w:rsid w:val="00563079"/>
    <w:rsid w:val="00565984"/>
    <w:rsid w:val="005728A6"/>
    <w:rsid w:val="005739A7"/>
    <w:rsid w:val="00573B49"/>
    <w:rsid w:val="0057441B"/>
    <w:rsid w:val="00574615"/>
    <w:rsid w:val="00575E93"/>
    <w:rsid w:val="0057724E"/>
    <w:rsid w:val="005772DB"/>
    <w:rsid w:val="005808A0"/>
    <w:rsid w:val="0058126D"/>
    <w:rsid w:val="00582B09"/>
    <w:rsid w:val="005844A2"/>
    <w:rsid w:val="005848BA"/>
    <w:rsid w:val="00584F8A"/>
    <w:rsid w:val="005909DE"/>
    <w:rsid w:val="00594D12"/>
    <w:rsid w:val="005950A0"/>
    <w:rsid w:val="00596F3C"/>
    <w:rsid w:val="005A1BF0"/>
    <w:rsid w:val="005A2A0F"/>
    <w:rsid w:val="005A2C0D"/>
    <w:rsid w:val="005A47E8"/>
    <w:rsid w:val="005A518A"/>
    <w:rsid w:val="005A5D81"/>
    <w:rsid w:val="005A5FDA"/>
    <w:rsid w:val="005A6773"/>
    <w:rsid w:val="005A756B"/>
    <w:rsid w:val="005A77B7"/>
    <w:rsid w:val="005B1BAB"/>
    <w:rsid w:val="005B1DC5"/>
    <w:rsid w:val="005B1E9B"/>
    <w:rsid w:val="005B2A64"/>
    <w:rsid w:val="005B3ED0"/>
    <w:rsid w:val="005B49E2"/>
    <w:rsid w:val="005B586C"/>
    <w:rsid w:val="005B5ECE"/>
    <w:rsid w:val="005B6788"/>
    <w:rsid w:val="005B79AF"/>
    <w:rsid w:val="005C0525"/>
    <w:rsid w:val="005C0794"/>
    <w:rsid w:val="005C18E9"/>
    <w:rsid w:val="005C265F"/>
    <w:rsid w:val="005C4585"/>
    <w:rsid w:val="005C4705"/>
    <w:rsid w:val="005C497A"/>
    <w:rsid w:val="005C4993"/>
    <w:rsid w:val="005C51F3"/>
    <w:rsid w:val="005C66C7"/>
    <w:rsid w:val="005C6798"/>
    <w:rsid w:val="005C773B"/>
    <w:rsid w:val="005C7D3C"/>
    <w:rsid w:val="005C7D82"/>
    <w:rsid w:val="005D0042"/>
    <w:rsid w:val="005D01BC"/>
    <w:rsid w:val="005D0B7C"/>
    <w:rsid w:val="005D0CDA"/>
    <w:rsid w:val="005D1D53"/>
    <w:rsid w:val="005D2925"/>
    <w:rsid w:val="005D2FA3"/>
    <w:rsid w:val="005D419A"/>
    <w:rsid w:val="005D682F"/>
    <w:rsid w:val="005D683C"/>
    <w:rsid w:val="005D7E2B"/>
    <w:rsid w:val="005E0CD6"/>
    <w:rsid w:val="005E1A49"/>
    <w:rsid w:val="005E327B"/>
    <w:rsid w:val="005E3684"/>
    <w:rsid w:val="005E543B"/>
    <w:rsid w:val="005E5CDC"/>
    <w:rsid w:val="005E5F1F"/>
    <w:rsid w:val="005E661F"/>
    <w:rsid w:val="005F132A"/>
    <w:rsid w:val="005F1396"/>
    <w:rsid w:val="005F1F46"/>
    <w:rsid w:val="005F2630"/>
    <w:rsid w:val="005F4087"/>
    <w:rsid w:val="005F49DF"/>
    <w:rsid w:val="005F55D7"/>
    <w:rsid w:val="005F679D"/>
    <w:rsid w:val="005F759D"/>
    <w:rsid w:val="00601075"/>
    <w:rsid w:val="00601E88"/>
    <w:rsid w:val="00604F57"/>
    <w:rsid w:val="0060596F"/>
    <w:rsid w:val="00605B1F"/>
    <w:rsid w:val="006073BF"/>
    <w:rsid w:val="00610D4B"/>
    <w:rsid w:val="00615F7D"/>
    <w:rsid w:val="00616CE0"/>
    <w:rsid w:val="00617483"/>
    <w:rsid w:val="006176B6"/>
    <w:rsid w:val="00617880"/>
    <w:rsid w:val="00617958"/>
    <w:rsid w:val="00617FF2"/>
    <w:rsid w:val="0062021A"/>
    <w:rsid w:val="00622229"/>
    <w:rsid w:val="00622283"/>
    <w:rsid w:val="0062293D"/>
    <w:rsid w:val="006236F6"/>
    <w:rsid w:val="00624506"/>
    <w:rsid w:val="0062554A"/>
    <w:rsid w:val="00626760"/>
    <w:rsid w:val="00626D72"/>
    <w:rsid w:val="00632CB1"/>
    <w:rsid w:val="006334E6"/>
    <w:rsid w:val="006337BA"/>
    <w:rsid w:val="006339A7"/>
    <w:rsid w:val="006342A6"/>
    <w:rsid w:val="00634FB9"/>
    <w:rsid w:val="006365AD"/>
    <w:rsid w:val="0063679A"/>
    <w:rsid w:val="00636A56"/>
    <w:rsid w:val="00636E3C"/>
    <w:rsid w:val="00637F50"/>
    <w:rsid w:val="0064030D"/>
    <w:rsid w:val="00643905"/>
    <w:rsid w:val="00643CD0"/>
    <w:rsid w:val="00650588"/>
    <w:rsid w:val="006506C8"/>
    <w:rsid w:val="00650847"/>
    <w:rsid w:val="00650869"/>
    <w:rsid w:val="00652811"/>
    <w:rsid w:val="00652B8A"/>
    <w:rsid w:val="00652EF3"/>
    <w:rsid w:val="0065434A"/>
    <w:rsid w:val="00654781"/>
    <w:rsid w:val="006563F1"/>
    <w:rsid w:val="0065711B"/>
    <w:rsid w:val="00664A98"/>
    <w:rsid w:val="00664F7E"/>
    <w:rsid w:val="00665A7A"/>
    <w:rsid w:val="00665F2B"/>
    <w:rsid w:val="00666B6A"/>
    <w:rsid w:val="00666CCF"/>
    <w:rsid w:val="00667987"/>
    <w:rsid w:val="00667C75"/>
    <w:rsid w:val="0067096F"/>
    <w:rsid w:val="00676E5B"/>
    <w:rsid w:val="006771E6"/>
    <w:rsid w:val="00677849"/>
    <w:rsid w:val="00677888"/>
    <w:rsid w:val="00680F77"/>
    <w:rsid w:val="00681A75"/>
    <w:rsid w:val="006821A3"/>
    <w:rsid w:val="00683383"/>
    <w:rsid w:val="00684EDA"/>
    <w:rsid w:val="00685484"/>
    <w:rsid w:val="00686E82"/>
    <w:rsid w:val="00687E6A"/>
    <w:rsid w:val="006906A2"/>
    <w:rsid w:val="00690788"/>
    <w:rsid w:val="006928AD"/>
    <w:rsid w:val="00693328"/>
    <w:rsid w:val="00693BCA"/>
    <w:rsid w:val="00694E1E"/>
    <w:rsid w:val="006954D1"/>
    <w:rsid w:val="00696BFD"/>
    <w:rsid w:val="006970F8"/>
    <w:rsid w:val="0069722F"/>
    <w:rsid w:val="00697606"/>
    <w:rsid w:val="00697638"/>
    <w:rsid w:val="006A0AA6"/>
    <w:rsid w:val="006A1AD9"/>
    <w:rsid w:val="006A1D7E"/>
    <w:rsid w:val="006A2935"/>
    <w:rsid w:val="006A2BD5"/>
    <w:rsid w:val="006A4532"/>
    <w:rsid w:val="006A4BCC"/>
    <w:rsid w:val="006A4EB4"/>
    <w:rsid w:val="006A5EF2"/>
    <w:rsid w:val="006A6E5A"/>
    <w:rsid w:val="006A6F0C"/>
    <w:rsid w:val="006A70C2"/>
    <w:rsid w:val="006A717B"/>
    <w:rsid w:val="006B0E4F"/>
    <w:rsid w:val="006B15DE"/>
    <w:rsid w:val="006B1FD9"/>
    <w:rsid w:val="006B2485"/>
    <w:rsid w:val="006B27BC"/>
    <w:rsid w:val="006B2D13"/>
    <w:rsid w:val="006B39F5"/>
    <w:rsid w:val="006B3A54"/>
    <w:rsid w:val="006B3C3F"/>
    <w:rsid w:val="006B5761"/>
    <w:rsid w:val="006B6243"/>
    <w:rsid w:val="006C1810"/>
    <w:rsid w:val="006C227E"/>
    <w:rsid w:val="006C2461"/>
    <w:rsid w:val="006C3955"/>
    <w:rsid w:val="006C4E14"/>
    <w:rsid w:val="006C5F06"/>
    <w:rsid w:val="006C66B0"/>
    <w:rsid w:val="006C716A"/>
    <w:rsid w:val="006D010B"/>
    <w:rsid w:val="006D0FB0"/>
    <w:rsid w:val="006D30D9"/>
    <w:rsid w:val="006D328C"/>
    <w:rsid w:val="006D3A71"/>
    <w:rsid w:val="006D4795"/>
    <w:rsid w:val="006D47F0"/>
    <w:rsid w:val="006D5935"/>
    <w:rsid w:val="006D64C1"/>
    <w:rsid w:val="006D6E96"/>
    <w:rsid w:val="006D7937"/>
    <w:rsid w:val="006E352C"/>
    <w:rsid w:val="006E4240"/>
    <w:rsid w:val="006E43EF"/>
    <w:rsid w:val="006E49DB"/>
    <w:rsid w:val="006E4E93"/>
    <w:rsid w:val="006F086B"/>
    <w:rsid w:val="006F0D57"/>
    <w:rsid w:val="006F2B80"/>
    <w:rsid w:val="006F5995"/>
    <w:rsid w:val="006F5C8B"/>
    <w:rsid w:val="006F7C85"/>
    <w:rsid w:val="00700853"/>
    <w:rsid w:val="0070119D"/>
    <w:rsid w:val="00701382"/>
    <w:rsid w:val="007018A7"/>
    <w:rsid w:val="007032F8"/>
    <w:rsid w:val="00703D07"/>
    <w:rsid w:val="00704CFB"/>
    <w:rsid w:val="00705CC5"/>
    <w:rsid w:val="00706162"/>
    <w:rsid w:val="007061E3"/>
    <w:rsid w:val="00706692"/>
    <w:rsid w:val="00707085"/>
    <w:rsid w:val="0071041B"/>
    <w:rsid w:val="00710C88"/>
    <w:rsid w:val="00712314"/>
    <w:rsid w:val="007129FA"/>
    <w:rsid w:val="00712D04"/>
    <w:rsid w:val="007138D9"/>
    <w:rsid w:val="00713D76"/>
    <w:rsid w:val="007167B1"/>
    <w:rsid w:val="007171B7"/>
    <w:rsid w:val="00717D30"/>
    <w:rsid w:val="00720071"/>
    <w:rsid w:val="00721654"/>
    <w:rsid w:val="00721CBD"/>
    <w:rsid w:val="00722334"/>
    <w:rsid w:val="0072313F"/>
    <w:rsid w:val="007236B3"/>
    <w:rsid w:val="00724257"/>
    <w:rsid w:val="0072485D"/>
    <w:rsid w:val="007249B2"/>
    <w:rsid w:val="00724B4E"/>
    <w:rsid w:val="0072636D"/>
    <w:rsid w:val="00726393"/>
    <w:rsid w:val="00726686"/>
    <w:rsid w:val="0072702B"/>
    <w:rsid w:val="00730154"/>
    <w:rsid w:val="00730281"/>
    <w:rsid w:val="00730936"/>
    <w:rsid w:val="00731D9A"/>
    <w:rsid w:val="00732308"/>
    <w:rsid w:val="00732B58"/>
    <w:rsid w:val="00732C47"/>
    <w:rsid w:val="00733609"/>
    <w:rsid w:val="0073469C"/>
    <w:rsid w:val="00740448"/>
    <w:rsid w:val="00740681"/>
    <w:rsid w:val="0074273E"/>
    <w:rsid w:val="00742B0D"/>
    <w:rsid w:val="00742C58"/>
    <w:rsid w:val="00743076"/>
    <w:rsid w:val="00744576"/>
    <w:rsid w:val="00744659"/>
    <w:rsid w:val="00744C4A"/>
    <w:rsid w:val="0074608C"/>
    <w:rsid w:val="007469BE"/>
    <w:rsid w:val="00746A25"/>
    <w:rsid w:val="00746AE6"/>
    <w:rsid w:val="00750827"/>
    <w:rsid w:val="00750A51"/>
    <w:rsid w:val="00750D7B"/>
    <w:rsid w:val="00755991"/>
    <w:rsid w:val="00756403"/>
    <w:rsid w:val="00757A45"/>
    <w:rsid w:val="00757B3C"/>
    <w:rsid w:val="007609FE"/>
    <w:rsid w:val="00760B01"/>
    <w:rsid w:val="00761232"/>
    <w:rsid w:val="00761FB4"/>
    <w:rsid w:val="0076353C"/>
    <w:rsid w:val="00764842"/>
    <w:rsid w:val="00765BDC"/>
    <w:rsid w:val="007661DF"/>
    <w:rsid w:val="007673B6"/>
    <w:rsid w:val="007677A8"/>
    <w:rsid w:val="00771B8A"/>
    <w:rsid w:val="0077278C"/>
    <w:rsid w:val="007727CE"/>
    <w:rsid w:val="0077337B"/>
    <w:rsid w:val="00780D4E"/>
    <w:rsid w:val="0078199B"/>
    <w:rsid w:val="0078200B"/>
    <w:rsid w:val="00782B2B"/>
    <w:rsid w:val="00786EC3"/>
    <w:rsid w:val="00787ACA"/>
    <w:rsid w:val="007903F2"/>
    <w:rsid w:val="00790679"/>
    <w:rsid w:val="00791900"/>
    <w:rsid w:val="007924B0"/>
    <w:rsid w:val="007936E5"/>
    <w:rsid w:val="00795DE4"/>
    <w:rsid w:val="0079619A"/>
    <w:rsid w:val="007977D0"/>
    <w:rsid w:val="007979CA"/>
    <w:rsid w:val="007A085F"/>
    <w:rsid w:val="007A3258"/>
    <w:rsid w:val="007A366A"/>
    <w:rsid w:val="007A3703"/>
    <w:rsid w:val="007A4635"/>
    <w:rsid w:val="007A4EF5"/>
    <w:rsid w:val="007A6761"/>
    <w:rsid w:val="007A698B"/>
    <w:rsid w:val="007A7052"/>
    <w:rsid w:val="007A77E5"/>
    <w:rsid w:val="007A7B3A"/>
    <w:rsid w:val="007B110F"/>
    <w:rsid w:val="007B1261"/>
    <w:rsid w:val="007B3199"/>
    <w:rsid w:val="007B329D"/>
    <w:rsid w:val="007B3A7F"/>
    <w:rsid w:val="007B4953"/>
    <w:rsid w:val="007B6DB6"/>
    <w:rsid w:val="007B7AB9"/>
    <w:rsid w:val="007B7D26"/>
    <w:rsid w:val="007C0FB0"/>
    <w:rsid w:val="007C1CA1"/>
    <w:rsid w:val="007C23F7"/>
    <w:rsid w:val="007C36DA"/>
    <w:rsid w:val="007C46BA"/>
    <w:rsid w:val="007C4D14"/>
    <w:rsid w:val="007C525B"/>
    <w:rsid w:val="007C6825"/>
    <w:rsid w:val="007C69C0"/>
    <w:rsid w:val="007C701F"/>
    <w:rsid w:val="007D015C"/>
    <w:rsid w:val="007D0C67"/>
    <w:rsid w:val="007D0F83"/>
    <w:rsid w:val="007D1B28"/>
    <w:rsid w:val="007D4048"/>
    <w:rsid w:val="007D4CD9"/>
    <w:rsid w:val="007D5407"/>
    <w:rsid w:val="007D5DCD"/>
    <w:rsid w:val="007D680F"/>
    <w:rsid w:val="007E208E"/>
    <w:rsid w:val="007E2CF3"/>
    <w:rsid w:val="007E3468"/>
    <w:rsid w:val="007E44EA"/>
    <w:rsid w:val="007E5CE3"/>
    <w:rsid w:val="007E7C11"/>
    <w:rsid w:val="007F0FD8"/>
    <w:rsid w:val="007F18C1"/>
    <w:rsid w:val="007F3163"/>
    <w:rsid w:val="007F4450"/>
    <w:rsid w:val="007F4923"/>
    <w:rsid w:val="007F4AD7"/>
    <w:rsid w:val="007F4D22"/>
    <w:rsid w:val="007F4D8F"/>
    <w:rsid w:val="007F5712"/>
    <w:rsid w:val="007F6404"/>
    <w:rsid w:val="007F6587"/>
    <w:rsid w:val="007F7539"/>
    <w:rsid w:val="007F7872"/>
    <w:rsid w:val="00800EFA"/>
    <w:rsid w:val="00801727"/>
    <w:rsid w:val="0080202B"/>
    <w:rsid w:val="008021F2"/>
    <w:rsid w:val="00803795"/>
    <w:rsid w:val="008037BC"/>
    <w:rsid w:val="00803AA1"/>
    <w:rsid w:val="00803B89"/>
    <w:rsid w:val="00803F08"/>
    <w:rsid w:val="0080542C"/>
    <w:rsid w:val="00806A3B"/>
    <w:rsid w:val="00806D83"/>
    <w:rsid w:val="00807BDF"/>
    <w:rsid w:val="00807D86"/>
    <w:rsid w:val="00810F1F"/>
    <w:rsid w:val="00811475"/>
    <w:rsid w:val="00812F02"/>
    <w:rsid w:val="008134CE"/>
    <w:rsid w:val="008135AA"/>
    <w:rsid w:val="008149EF"/>
    <w:rsid w:val="008150F4"/>
    <w:rsid w:val="0081568E"/>
    <w:rsid w:val="0082047E"/>
    <w:rsid w:val="008212D8"/>
    <w:rsid w:val="00821BBC"/>
    <w:rsid w:val="008221EA"/>
    <w:rsid w:val="00822216"/>
    <w:rsid w:val="00823E37"/>
    <w:rsid w:val="00824291"/>
    <w:rsid w:val="0082591E"/>
    <w:rsid w:val="00825EA3"/>
    <w:rsid w:val="00825F74"/>
    <w:rsid w:val="00826242"/>
    <w:rsid w:val="0082641B"/>
    <w:rsid w:val="00827423"/>
    <w:rsid w:val="00827753"/>
    <w:rsid w:val="00832757"/>
    <w:rsid w:val="008328E4"/>
    <w:rsid w:val="00832C81"/>
    <w:rsid w:val="00833063"/>
    <w:rsid w:val="00836355"/>
    <w:rsid w:val="008406F9"/>
    <w:rsid w:val="008429D7"/>
    <w:rsid w:val="00842C0F"/>
    <w:rsid w:val="008437DB"/>
    <w:rsid w:val="008442C0"/>
    <w:rsid w:val="00844CA6"/>
    <w:rsid w:val="00845546"/>
    <w:rsid w:val="00845A75"/>
    <w:rsid w:val="00851BA0"/>
    <w:rsid w:val="008538C2"/>
    <w:rsid w:val="0085596D"/>
    <w:rsid w:val="00860131"/>
    <w:rsid w:val="008620EA"/>
    <w:rsid w:val="00862A08"/>
    <w:rsid w:val="00862D21"/>
    <w:rsid w:val="008637E1"/>
    <w:rsid w:val="00863AB1"/>
    <w:rsid w:val="008646CC"/>
    <w:rsid w:val="008648BF"/>
    <w:rsid w:val="00871E4B"/>
    <w:rsid w:val="0087593E"/>
    <w:rsid w:val="00875DE3"/>
    <w:rsid w:val="00877128"/>
    <w:rsid w:val="0087756F"/>
    <w:rsid w:val="008778C1"/>
    <w:rsid w:val="0088182C"/>
    <w:rsid w:val="00881C37"/>
    <w:rsid w:val="00882FF0"/>
    <w:rsid w:val="00884CEE"/>
    <w:rsid w:val="00884E17"/>
    <w:rsid w:val="00886C8B"/>
    <w:rsid w:val="0088739A"/>
    <w:rsid w:val="00890357"/>
    <w:rsid w:val="00891494"/>
    <w:rsid w:val="00891A49"/>
    <w:rsid w:val="00891E6F"/>
    <w:rsid w:val="0089207D"/>
    <w:rsid w:val="008928AE"/>
    <w:rsid w:val="0089302F"/>
    <w:rsid w:val="008941AC"/>
    <w:rsid w:val="00894713"/>
    <w:rsid w:val="008947EE"/>
    <w:rsid w:val="00894E58"/>
    <w:rsid w:val="008964DB"/>
    <w:rsid w:val="00896AA5"/>
    <w:rsid w:val="00897540"/>
    <w:rsid w:val="008A010D"/>
    <w:rsid w:val="008A04F3"/>
    <w:rsid w:val="008A096A"/>
    <w:rsid w:val="008A1302"/>
    <w:rsid w:val="008A1725"/>
    <w:rsid w:val="008A23DD"/>
    <w:rsid w:val="008A2DC6"/>
    <w:rsid w:val="008A4847"/>
    <w:rsid w:val="008A4DCC"/>
    <w:rsid w:val="008A5436"/>
    <w:rsid w:val="008A544D"/>
    <w:rsid w:val="008A594A"/>
    <w:rsid w:val="008A5FD5"/>
    <w:rsid w:val="008A6DE7"/>
    <w:rsid w:val="008A7122"/>
    <w:rsid w:val="008A767E"/>
    <w:rsid w:val="008A7FD6"/>
    <w:rsid w:val="008B01BD"/>
    <w:rsid w:val="008B0F18"/>
    <w:rsid w:val="008B13C9"/>
    <w:rsid w:val="008B1C33"/>
    <w:rsid w:val="008B2006"/>
    <w:rsid w:val="008B2176"/>
    <w:rsid w:val="008B3958"/>
    <w:rsid w:val="008B3CD1"/>
    <w:rsid w:val="008B48B0"/>
    <w:rsid w:val="008B5040"/>
    <w:rsid w:val="008B527C"/>
    <w:rsid w:val="008B5CBB"/>
    <w:rsid w:val="008B642B"/>
    <w:rsid w:val="008B64FB"/>
    <w:rsid w:val="008B757A"/>
    <w:rsid w:val="008B7B1A"/>
    <w:rsid w:val="008C0C42"/>
    <w:rsid w:val="008C1AEB"/>
    <w:rsid w:val="008C3580"/>
    <w:rsid w:val="008C4103"/>
    <w:rsid w:val="008C4842"/>
    <w:rsid w:val="008C5761"/>
    <w:rsid w:val="008C5E2C"/>
    <w:rsid w:val="008C6512"/>
    <w:rsid w:val="008C768D"/>
    <w:rsid w:val="008D18C6"/>
    <w:rsid w:val="008D1C36"/>
    <w:rsid w:val="008D2810"/>
    <w:rsid w:val="008D3E10"/>
    <w:rsid w:val="008D467C"/>
    <w:rsid w:val="008D470E"/>
    <w:rsid w:val="008D514C"/>
    <w:rsid w:val="008D540E"/>
    <w:rsid w:val="008D59A7"/>
    <w:rsid w:val="008D72B0"/>
    <w:rsid w:val="008D7A78"/>
    <w:rsid w:val="008E159B"/>
    <w:rsid w:val="008E2247"/>
    <w:rsid w:val="008E428A"/>
    <w:rsid w:val="008E5C0F"/>
    <w:rsid w:val="008E5E3D"/>
    <w:rsid w:val="008E6183"/>
    <w:rsid w:val="008E7599"/>
    <w:rsid w:val="008E7E2D"/>
    <w:rsid w:val="008E7E9E"/>
    <w:rsid w:val="008F0411"/>
    <w:rsid w:val="008F094D"/>
    <w:rsid w:val="008F17E1"/>
    <w:rsid w:val="008F1866"/>
    <w:rsid w:val="008F3557"/>
    <w:rsid w:val="008F397B"/>
    <w:rsid w:val="008F3F5C"/>
    <w:rsid w:val="008F4885"/>
    <w:rsid w:val="008F728C"/>
    <w:rsid w:val="008F7A46"/>
    <w:rsid w:val="009014F1"/>
    <w:rsid w:val="00901C8F"/>
    <w:rsid w:val="0090245F"/>
    <w:rsid w:val="0090278C"/>
    <w:rsid w:val="0090388F"/>
    <w:rsid w:val="00903A50"/>
    <w:rsid w:val="009040B1"/>
    <w:rsid w:val="00904EAA"/>
    <w:rsid w:val="00904F40"/>
    <w:rsid w:val="00906C61"/>
    <w:rsid w:val="00907992"/>
    <w:rsid w:val="00907D4B"/>
    <w:rsid w:val="009103BF"/>
    <w:rsid w:val="00910674"/>
    <w:rsid w:val="0091300C"/>
    <w:rsid w:val="00913CB6"/>
    <w:rsid w:val="00913F0B"/>
    <w:rsid w:val="00913F0D"/>
    <w:rsid w:val="009151A0"/>
    <w:rsid w:val="00916831"/>
    <w:rsid w:val="00916BAE"/>
    <w:rsid w:val="00920831"/>
    <w:rsid w:val="00920FA0"/>
    <w:rsid w:val="00921F5C"/>
    <w:rsid w:val="0092208D"/>
    <w:rsid w:val="00923AD5"/>
    <w:rsid w:val="00924573"/>
    <w:rsid w:val="009251DF"/>
    <w:rsid w:val="009257E7"/>
    <w:rsid w:val="0092636F"/>
    <w:rsid w:val="00930630"/>
    <w:rsid w:val="0093156A"/>
    <w:rsid w:val="009322F5"/>
    <w:rsid w:val="009324A1"/>
    <w:rsid w:val="00933588"/>
    <w:rsid w:val="009357C3"/>
    <w:rsid w:val="00937D5A"/>
    <w:rsid w:val="00941C6D"/>
    <w:rsid w:val="00941F7E"/>
    <w:rsid w:val="009424B2"/>
    <w:rsid w:val="00945681"/>
    <w:rsid w:val="00945B52"/>
    <w:rsid w:val="00945FCE"/>
    <w:rsid w:val="009501E8"/>
    <w:rsid w:val="00951116"/>
    <w:rsid w:val="00951A15"/>
    <w:rsid w:val="0095240C"/>
    <w:rsid w:val="0096121A"/>
    <w:rsid w:val="00961E4D"/>
    <w:rsid w:val="00962D42"/>
    <w:rsid w:val="009632D9"/>
    <w:rsid w:val="00963681"/>
    <w:rsid w:val="00963CA1"/>
    <w:rsid w:val="009641BE"/>
    <w:rsid w:val="00965014"/>
    <w:rsid w:val="00965C3B"/>
    <w:rsid w:val="00966569"/>
    <w:rsid w:val="00966F26"/>
    <w:rsid w:val="009707AF"/>
    <w:rsid w:val="00970C41"/>
    <w:rsid w:val="00971E0A"/>
    <w:rsid w:val="0097233F"/>
    <w:rsid w:val="00972711"/>
    <w:rsid w:val="00973350"/>
    <w:rsid w:val="009739F4"/>
    <w:rsid w:val="00973D8C"/>
    <w:rsid w:val="009763E5"/>
    <w:rsid w:val="00980354"/>
    <w:rsid w:val="00980374"/>
    <w:rsid w:val="00981130"/>
    <w:rsid w:val="0098408D"/>
    <w:rsid w:val="00985584"/>
    <w:rsid w:val="0098588E"/>
    <w:rsid w:val="0098643C"/>
    <w:rsid w:val="00987DD8"/>
    <w:rsid w:val="00991453"/>
    <w:rsid w:val="0099180D"/>
    <w:rsid w:val="009925C9"/>
    <w:rsid w:val="00992D65"/>
    <w:rsid w:val="00993DF9"/>
    <w:rsid w:val="0099440E"/>
    <w:rsid w:val="00994B06"/>
    <w:rsid w:val="0099625D"/>
    <w:rsid w:val="00996A30"/>
    <w:rsid w:val="00997CDB"/>
    <w:rsid w:val="009A22D8"/>
    <w:rsid w:val="009A4916"/>
    <w:rsid w:val="009A6FE3"/>
    <w:rsid w:val="009A70C4"/>
    <w:rsid w:val="009A76C4"/>
    <w:rsid w:val="009B1640"/>
    <w:rsid w:val="009B1E03"/>
    <w:rsid w:val="009B22FE"/>
    <w:rsid w:val="009B29EB"/>
    <w:rsid w:val="009B3102"/>
    <w:rsid w:val="009B3229"/>
    <w:rsid w:val="009B4D8D"/>
    <w:rsid w:val="009B5A2E"/>
    <w:rsid w:val="009B5A8D"/>
    <w:rsid w:val="009B6587"/>
    <w:rsid w:val="009B6C70"/>
    <w:rsid w:val="009B73CC"/>
    <w:rsid w:val="009C38F5"/>
    <w:rsid w:val="009C5005"/>
    <w:rsid w:val="009C5385"/>
    <w:rsid w:val="009C6926"/>
    <w:rsid w:val="009C6D3E"/>
    <w:rsid w:val="009C71EC"/>
    <w:rsid w:val="009C723A"/>
    <w:rsid w:val="009C75D8"/>
    <w:rsid w:val="009D0073"/>
    <w:rsid w:val="009D063E"/>
    <w:rsid w:val="009D0C9A"/>
    <w:rsid w:val="009D1E4E"/>
    <w:rsid w:val="009D25E2"/>
    <w:rsid w:val="009D2B85"/>
    <w:rsid w:val="009D3803"/>
    <w:rsid w:val="009D3D8F"/>
    <w:rsid w:val="009D433E"/>
    <w:rsid w:val="009D5275"/>
    <w:rsid w:val="009D6C08"/>
    <w:rsid w:val="009D7235"/>
    <w:rsid w:val="009D7488"/>
    <w:rsid w:val="009D74A5"/>
    <w:rsid w:val="009E0B58"/>
    <w:rsid w:val="009E1396"/>
    <w:rsid w:val="009E1725"/>
    <w:rsid w:val="009E1A86"/>
    <w:rsid w:val="009E2E32"/>
    <w:rsid w:val="009E3340"/>
    <w:rsid w:val="009E354F"/>
    <w:rsid w:val="009E3BA5"/>
    <w:rsid w:val="009E415B"/>
    <w:rsid w:val="009E480B"/>
    <w:rsid w:val="009E4EEF"/>
    <w:rsid w:val="009E4F7D"/>
    <w:rsid w:val="009E6986"/>
    <w:rsid w:val="009E7AD2"/>
    <w:rsid w:val="009E7D43"/>
    <w:rsid w:val="009E7E55"/>
    <w:rsid w:val="009F03BB"/>
    <w:rsid w:val="009F0845"/>
    <w:rsid w:val="009F1C5D"/>
    <w:rsid w:val="009F3200"/>
    <w:rsid w:val="009F461B"/>
    <w:rsid w:val="00A008BC"/>
    <w:rsid w:val="00A009BD"/>
    <w:rsid w:val="00A00DBA"/>
    <w:rsid w:val="00A00F8A"/>
    <w:rsid w:val="00A01A48"/>
    <w:rsid w:val="00A07B50"/>
    <w:rsid w:val="00A10C9E"/>
    <w:rsid w:val="00A118AC"/>
    <w:rsid w:val="00A144E8"/>
    <w:rsid w:val="00A14F38"/>
    <w:rsid w:val="00A15456"/>
    <w:rsid w:val="00A158F3"/>
    <w:rsid w:val="00A15D5E"/>
    <w:rsid w:val="00A15E02"/>
    <w:rsid w:val="00A17CF4"/>
    <w:rsid w:val="00A20804"/>
    <w:rsid w:val="00A22340"/>
    <w:rsid w:val="00A22A68"/>
    <w:rsid w:val="00A23508"/>
    <w:rsid w:val="00A23FE6"/>
    <w:rsid w:val="00A24263"/>
    <w:rsid w:val="00A247EC"/>
    <w:rsid w:val="00A250D4"/>
    <w:rsid w:val="00A279D5"/>
    <w:rsid w:val="00A302F1"/>
    <w:rsid w:val="00A312AA"/>
    <w:rsid w:val="00A31B3C"/>
    <w:rsid w:val="00A31F4F"/>
    <w:rsid w:val="00A32D71"/>
    <w:rsid w:val="00A33063"/>
    <w:rsid w:val="00A33252"/>
    <w:rsid w:val="00A334D8"/>
    <w:rsid w:val="00A367EA"/>
    <w:rsid w:val="00A369DE"/>
    <w:rsid w:val="00A36A05"/>
    <w:rsid w:val="00A36EFB"/>
    <w:rsid w:val="00A371A5"/>
    <w:rsid w:val="00A42695"/>
    <w:rsid w:val="00A43092"/>
    <w:rsid w:val="00A431AE"/>
    <w:rsid w:val="00A4372C"/>
    <w:rsid w:val="00A44273"/>
    <w:rsid w:val="00A45059"/>
    <w:rsid w:val="00A45E3D"/>
    <w:rsid w:val="00A4622E"/>
    <w:rsid w:val="00A46CA9"/>
    <w:rsid w:val="00A51768"/>
    <w:rsid w:val="00A51845"/>
    <w:rsid w:val="00A52FE7"/>
    <w:rsid w:val="00A5390C"/>
    <w:rsid w:val="00A53D48"/>
    <w:rsid w:val="00A5449A"/>
    <w:rsid w:val="00A54A99"/>
    <w:rsid w:val="00A554D3"/>
    <w:rsid w:val="00A5581A"/>
    <w:rsid w:val="00A559D7"/>
    <w:rsid w:val="00A55A9A"/>
    <w:rsid w:val="00A6001F"/>
    <w:rsid w:val="00A60310"/>
    <w:rsid w:val="00A60B46"/>
    <w:rsid w:val="00A620C2"/>
    <w:rsid w:val="00A63996"/>
    <w:rsid w:val="00A64AC6"/>
    <w:rsid w:val="00A65431"/>
    <w:rsid w:val="00A660D0"/>
    <w:rsid w:val="00A666DA"/>
    <w:rsid w:val="00A671BB"/>
    <w:rsid w:val="00A674AD"/>
    <w:rsid w:val="00A70F0C"/>
    <w:rsid w:val="00A71128"/>
    <w:rsid w:val="00A71D36"/>
    <w:rsid w:val="00A72292"/>
    <w:rsid w:val="00A72CE8"/>
    <w:rsid w:val="00A73617"/>
    <w:rsid w:val="00A73723"/>
    <w:rsid w:val="00A754E2"/>
    <w:rsid w:val="00A766EA"/>
    <w:rsid w:val="00A77AD0"/>
    <w:rsid w:val="00A820AB"/>
    <w:rsid w:val="00A8316E"/>
    <w:rsid w:val="00A832DB"/>
    <w:rsid w:val="00A846ED"/>
    <w:rsid w:val="00A84DCE"/>
    <w:rsid w:val="00A84F8D"/>
    <w:rsid w:val="00A873B8"/>
    <w:rsid w:val="00A87E38"/>
    <w:rsid w:val="00A90B71"/>
    <w:rsid w:val="00A91BC0"/>
    <w:rsid w:val="00A92302"/>
    <w:rsid w:val="00A929AA"/>
    <w:rsid w:val="00A92D4C"/>
    <w:rsid w:val="00A956BE"/>
    <w:rsid w:val="00A96572"/>
    <w:rsid w:val="00A97076"/>
    <w:rsid w:val="00A9768B"/>
    <w:rsid w:val="00A97902"/>
    <w:rsid w:val="00A97B34"/>
    <w:rsid w:val="00AA0DFE"/>
    <w:rsid w:val="00AA0E6B"/>
    <w:rsid w:val="00AA216F"/>
    <w:rsid w:val="00AA27AD"/>
    <w:rsid w:val="00AA3457"/>
    <w:rsid w:val="00AA35AE"/>
    <w:rsid w:val="00AA3968"/>
    <w:rsid w:val="00AA3C70"/>
    <w:rsid w:val="00AA4D61"/>
    <w:rsid w:val="00AA670B"/>
    <w:rsid w:val="00AB0209"/>
    <w:rsid w:val="00AB0307"/>
    <w:rsid w:val="00AB074F"/>
    <w:rsid w:val="00AB1487"/>
    <w:rsid w:val="00AB17D8"/>
    <w:rsid w:val="00AB31E1"/>
    <w:rsid w:val="00AB4340"/>
    <w:rsid w:val="00AB450B"/>
    <w:rsid w:val="00AB526D"/>
    <w:rsid w:val="00AB54CC"/>
    <w:rsid w:val="00AB5BEB"/>
    <w:rsid w:val="00AB5D49"/>
    <w:rsid w:val="00AB69ED"/>
    <w:rsid w:val="00AB6CD7"/>
    <w:rsid w:val="00AB7E0D"/>
    <w:rsid w:val="00AC08BD"/>
    <w:rsid w:val="00AC0A0F"/>
    <w:rsid w:val="00AC0E67"/>
    <w:rsid w:val="00AC1453"/>
    <w:rsid w:val="00AC21F5"/>
    <w:rsid w:val="00AC38B3"/>
    <w:rsid w:val="00AC3C38"/>
    <w:rsid w:val="00AC3E6C"/>
    <w:rsid w:val="00AC3F72"/>
    <w:rsid w:val="00AC4363"/>
    <w:rsid w:val="00AC4670"/>
    <w:rsid w:val="00AC5499"/>
    <w:rsid w:val="00AC6C6F"/>
    <w:rsid w:val="00AC7542"/>
    <w:rsid w:val="00AD014E"/>
    <w:rsid w:val="00AD0546"/>
    <w:rsid w:val="00AD08CA"/>
    <w:rsid w:val="00AD2E03"/>
    <w:rsid w:val="00AD32AA"/>
    <w:rsid w:val="00AD35FE"/>
    <w:rsid w:val="00AD3882"/>
    <w:rsid w:val="00AD3E24"/>
    <w:rsid w:val="00AD469E"/>
    <w:rsid w:val="00AD53C1"/>
    <w:rsid w:val="00AD71F8"/>
    <w:rsid w:val="00AD7DD6"/>
    <w:rsid w:val="00AE133E"/>
    <w:rsid w:val="00AE14EB"/>
    <w:rsid w:val="00AE31D9"/>
    <w:rsid w:val="00AE38B9"/>
    <w:rsid w:val="00AE40EE"/>
    <w:rsid w:val="00AE43FB"/>
    <w:rsid w:val="00AE456E"/>
    <w:rsid w:val="00AE4790"/>
    <w:rsid w:val="00AE6BDC"/>
    <w:rsid w:val="00AE746F"/>
    <w:rsid w:val="00AE7632"/>
    <w:rsid w:val="00AF003A"/>
    <w:rsid w:val="00AF105E"/>
    <w:rsid w:val="00AF1362"/>
    <w:rsid w:val="00AF2381"/>
    <w:rsid w:val="00AF293D"/>
    <w:rsid w:val="00AF2A94"/>
    <w:rsid w:val="00AF2E19"/>
    <w:rsid w:val="00AF3BDD"/>
    <w:rsid w:val="00AF3F82"/>
    <w:rsid w:val="00AF4A7F"/>
    <w:rsid w:val="00AF513B"/>
    <w:rsid w:val="00AF521E"/>
    <w:rsid w:val="00AF5313"/>
    <w:rsid w:val="00AF71EC"/>
    <w:rsid w:val="00AF79D1"/>
    <w:rsid w:val="00AF7CB1"/>
    <w:rsid w:val="00B00949"/>
    <w:rsid w:val="00B00B3F"/>
    <w:rsid w:val="00B0107D"/>
    <w:rsid w:val="00B03256"/>
    <w:rsid w:val="00B0344A"/>
    <w:rsid w:val="00B03A10"/>
    <w:rsid w:val="00B03B52"/>
    <w:rsid w:val="00B05C23"/>
    <w:rsid w:val="00B063ED"/>
    <w:rsid w:val="00B06D63"/>
    <w:rsid w:val="00B07E38"/>
    <w:rsid w:val="00B117D4"/>
    <w:rsid w:val="00B11A03"/>
    <w:rsid w:val="00B11AF7"/>
    <w:rsid w:val="00B12131"/>
    <w:rsid w:val="00B15285"/>
    <w:rsid w:val="00B15A62"/>
    <w:rsid w:val="00B15ABC"/>
    <w:rsid w:val="00B1667E"/>
    <w:rsid w:val="00B16785"/>
    <w:rsid w:val="00B1693D"/>
    <w:rsid w:val="00B17F34"/>
    <w:rsid w:val="00B213B5"/>
    <w:rsid w:val="00B21E3F"/>
    <w:rsid w:val="00B2259A"/>
    <w:rsid w:val="00B22727"/>
    <w:rsid w:val="00B23FA1"/>
    <w:rsid w:val="00B24FAD"/>
    <w:rsid w:val="00B25935"/>
    <w:rsid w:val="00B2646C"/>
    <w:rsid w:val="00B2703B"/>
    <w:rsid w:val="00B27AC2"/>
    <w:rsid w:val="00B27D6F"/>
    <w:rsid w:val="00B31265"/>
    <w:rsid w:val="00B319A8"/>
    <w:rsid w:val="00B31C7C"/>
    <w:rsid w:val="00B3202B"/>
    <w:rsid w:val="00B33F6D"/>
    <w:rsid w:val="00B34F69"/>
    <w:rsid w:val="00B350E0"/>
    <w:rsid w:val="00B352AF"/>
    <w:rsid w:val="00B379F5"/>
    <w:rsid w:val="00B40412"/>
    <w:rsid w:val="00B4205C"/>
    <w:rsid w:val="00B42757"/>
    <w:rsid w:val="00B42E04"/>
    <w:rsid w:val="00B42FC4"/>
    <w:rsid w:val="00B43126"/>
    <w:rsid w:val="00B4343C"/>
    <w:rsid w:val="00B43A31"/>
    <w:rsid w:val="00B43B2A"/>
    <w:rsid w:val="00B43F20"/>
    <w:rsid w:val="00B45272"/>
    <w:rsid w:val="00B45411"/>
    <w:rsid w:val="00B4582E"/>
    <w:rsid w:val="00B463E1"/>
    <w:rsid w:val="00B47BC2"/>
    <w:rsid w:val="00B50394"/>
    <w:rsid w:val="00B51DF1"/>
    <w:rsid w:val="00B52658"/>
    <w:rsid w:val="00B5329D"/>
    <w:rsid w:val="00B54CF5"/>
    <w:rsid w:val="00B5517C"/>
    <w:rsid w:val="00B601D4"/>
    <w:rsid w:val="00B618DA"/>
    <w:rsid w:val="00B62F03"/>
    <w:rsid w:val="00B6313E"/>
    <w:rsid w:val="00B635BF"/>
    <w:rsid w:val="00B659D6"/>
    <w:rsid w:val="00B66404"/>
    <w:rsid w:val="00B66500"/>
    <w:rsid w:val="00B66B54"/>
    <w:rsid w:val="00B67849"/>
    <w:rsid w:val="00B70A90"/>
    <w:rsid w:val="00B70B10"/>
    <w:rsid w:val="00B70FE9"/>
    <w:rsid w:val="00B7142D"/>
    <w:rsid w:val="00B7279C"/>
    <w:rsid w:val="00B7453E"/>
    <w:rsid w:val="00B75EA5"/>
    <w:rsid w:val="00B763D4"/>
    <w:rsid w:val="00B76C5B"/>
    <w:rsid w:val="00B76D5D"/>
    <w:rsid w:val="00B772C5"/>
    <w:rsid w:val="00B81533"/>
    <w:rsid w:val="00B81877"/>
    <w:rsid w:val="00B82672"/>
    <w:rsid w:val="00B826FF"/>
    <w:rsid w:val="00B83958"/>
    <w:rsid w:val="00B83CF6"/>
    <w:rsid w:val="00B84886"/>
    <w:rsid w:val="00B861CA"/>
    <w:rsid w:val="00B866BC"/>
    <w:rsid w:val="00B86DD4"/>
    <w:rsid w:val="00B90E87"/>
    <w:rsid w:val="00B92DDD"/>
    <w:rsid w:val="00B93D10"/>
    <w:rsid w:val="00B95430"/>
    <w:rsid w:val="00B95A61"/>
    <w:rsid w:val="00B95F01"/>
    <w:rsid w:val="00B96626"/>
    <w:rsid w:val="00B97DC1"/>
    <w:rsid w:val="00BA079B"/>
    <w:rsid w:val="00BA0F29"/>
    <w:rsid w:val="00BA16AC"/>
    <w:rsid w:val="00BA2075"/>
    <w:rsid w:val="00BA2F60"/>
    <w:rsid w:val="00BA3249"/>
    <w:rsid w:val="00BA388F"/>
    <w:rsid w:val="00BA5FE5"/>
    <w:rsid w:val="00BA678E"/>
    <w:rsid w:val="00BA68F5"/>
    <w:rsid w:val="00BA6A39"/>
    <w:rsid w:val="00BB0476"/>
    <w:rsid w:val="00BB114D"/>
    <w:rsid w:val="00BB24B6"/>
    <w:rsid w:val="00BB2580"/>
    <w:rsid w:val="00BB2B4F"/>
    <w:rsid w:val="00BB3E70"/>
    <w:rsid w:val="00BB468F"/>
    <w:rsid w:val="00BB476B"/>
    <w:rsid w:val="00BB4AF1"/>
    <w:rsid w:val="00BB4CDD"/>
    <w:rsid w:val="00BB5271"/>
    <w:rsid w:val="00BB561E"/>
    <w:rsid w:val="00BB698D"/>
    <w:rsid w:val="00BC1220"/>
    <w:rsid w:val="00BC1B5B"/>
    <w:rsid w:val="00BC1B65"/>
    <w:rsid w:val="00BC1BA1"/>
    <w:rsid w:val="00BC1E11"/>
    <w:rsid w:val="00BC2F88"/>
    <w:rsid w:val="00BC4B75"/>
    <w:rsid w:val="00BC4F65"/>
    <w:rsid w:val="00BC50DA"/>
    <w:rsid w:val="00BC5B56"/>
    <w:rsid w:val="00BC5DB6"/>
    <w:rsid w:val="00BC7F49"/>
    <w:rsid w:val="00BD03E6"/>
    <w:rsid w:val="00BD1C81"/>
    <w:rsid w:val="00BD3E0E"/>
    <w:rsid w:val="00BD63C5"/>
    <w:rsid w:val="00BD6663"/>
    <w:rsid w:val="00BD6B6C"/>
    <w:rsid w:val="00BD7693"/>
    <w:rsid w:val="00BE0403"/>
    <w:rsid w:val="00BE15F8"/>
    <w:rsid w:val="00BE197E"/>
    <w:rsid w:val="00BE3759"/>
    <w:rsid w:val="00BE4E69"/>
    <w:rsid w:val="00BE70CD"/>
    <w:rsid w:val="00BF01A4"/>
    <w:rsid w:val="00BF0604"/>
    <w:rsid w:val="00BF082E"/>
    <w:rsid w:val="00BF0CBA"/>
    <w:rsid w:val="00BF0EB7"/>
    <w:rsid w:val="00BF1439"/>
    <w:rsid w:val="00BF17EC"/>
    <w:rsid w:val="00BF3CC7"/>
    <w:rsid w:val="00BF711F"/>
    <w:rsid w:val="00BF7424"/>
    <w:rsid w:val="00C000DB"/>
    <w:rsid w:val="00C0138C"/>
    <w:rsid w:val="00C01DA2"/>
    <w:rsid w:val="00C0292B"/>
    <w:rsid w:val="00C03EDB"/>
    <w:rsid w:val="00C05777"/>
    <w:rsid w:val="00C05F18"/>
    <w:rsid w:val="00C06F9B"/>
    <w:rsid w:val="00C07B18"/>
    <w:rsid w:val="00C10497"/>
    <w:rsid w:val="00C104D6"/>
    <w:rsid w:val="00C1057A"/>
    <w:rsid w:val="00C1068C"/>
    <w:rsid w:val="00C10C84"/>
    <w:rsid w:val="00C1116C"/>
    <w:rsid w:val="00C117AE"/>
    <w:rsid w:val="00C132F4"/>
    <w:rsid w:val="00C136BB"/>
    <w:rsid w:val="00C13A5C"/>
    <w:rsid w:val="00C1428C"/>
    <w:rsid w:val="00C14A63"/>
    <w:rsid w:val="00C15818"/>
    <w:rsid w:val="00C20182"/>
    <w:rsid w:val="00C20A1F"/>
    <w:rsid w:val="00C21BC6"/>
    <w:rsid w:val="00C228B0"/>
    <w:rsid w:val="00C23081"/>
    <w:rsid w:val="00C238FF"/>
    <w:rsid w:val="00C24016"/>
    <w:rsid w:val="00C24A7C"/>
    <w:rsid w:val="00C24DDE"/>
    <w:rsid w:val="00C2622B"/>
    <w:rsid w:val="00C26667"/>
    <w:rsid w:val="00C275B9"/>
    <w:rsid w:val="00C27775"/>
    <w:rsid w:val="00C32386"/>
    <w:rsid w:val="00C3283B"/>
    <w:rsid w:val="00C328CA"/>
    <w:rsid w:val="00C33219"/>
    <w:rsid w:val="00C33A9C"/>
    <w:rsid w:val="00C33DE9"/>
    <w:rsid w:val="00C341E5"/>
    <w:rsid w:val="00C343F2"/>
    <w:rsid w:val="00C345C9"/>
    <w:rsid w:val="00C3575B"/>
    <w:rsid w:val="00C37052"/>
    <w:rsid w:val="00C37A88"/>
    <w:rsid w:val="00C37E65"/>
    <w:rsid w:val="00C40913"/>
    <w:rsid w:val="00C41D2C"/>
    <w:rsid w:val="00C432AD"/>
    <w:rsid w:val="00C441A5"/>
    <w:rsid w:val="00C45BDF"/>
    <w:rsid w:val="00C45CEB"/>
    <w:rsid w:val="00C47378"/>
    <w:rsid w:val="00C4738D"/>
    <w:rsid w:val="00C47836"/>
    <w:rsid w:val="00C53D31"/>
    <w:rsid w:val="00C53E89"/>
    <w:rsid w:val="00C55429"/>
    <w:rsid w:val="00C55BC2"/>
    <w:rsid w:val="00C55C2E"/>
    <w:rsid w:val="00C55D5E"/>
    <w:rsid w:val="00C56D5B"/>
    <w:rsid w:val="00C6247F"/>
    <w:rsid w:val="00C629DB"/>
    <w:rsid w:val="00C63344"/>
    <w:rsid w:val="00C633B2"/>
    <w:rsid w:val="00C63B06"/>
    <w:rsid w:val="00C64D4F"/>
    <w:rsid w:val="00C65696"/>
    <w:rsid w:val="00C659C1"/>
    <w:rsid w:val="00C65BAF"/>
    <w:rsid w:val="00C664F4"/>
    <w:rsid w:val="00C66776"/>
    <w:rsid w:val="00C7143E"/>
    <w:rsid w:val="00C72E4F"/>
    <w:rsid w:val="00C738A2"/>
    <w:rsid w:val="00C75831"/>
    <w:rsid w:val="00C75CC3"/>
    <w:rsid w:val="00C75F72"/>
    <w:rsid w:val="00C805B7"/>
    <w:rsid w:val="00C80A23"/>
    <w:rsid w:val="00C841D2"/>
    <w:rsid w:val="00C84B9D"/>
    <w:rsid w:val="00C85727"/>
    <w:rsid w:val="00C85AD2"/>
    <w:rsid w:val="00C85B0D"/>
    <w:rsid w:val="00C86A83"/>
    <w:rsid w:val="00C86C1E"/>
    <w:rsid w:val="00C875ED"/>
    <w:rsid w:val="00C87B66"/>
    <w:rsid w:val="00C90056"/>
    <w:rsid w:val="00C9129A"/>
    <w:rsid w:val="00C92024"/>
    <w:rsid w:val="00C92E96"/>
    <w:rsid w:val="00C92FE4"/>
    <w:rsid w:val="00C94588"/>
    <w:rsid w:val="00C95966"/>
    <w:rsid w:val="00C9617D"/>
    <w:rsid w:val="00C9679B"/>
    <w:rsid w:val="00CA0260"/>
    <w:rsid w:val="00CA1939"/>
    <w:rsid w:val="00CA1AE2"/>
    <w:rsid w:val="00CA3483"/>
    <w:rsid w:val="00CA46CE"/>
    <w:rsid w:val="00CA4862"/>
    <w:rsid w:val="00CA5B4F"/>
    <w:rsid w:val="00CA6115"/>
    <w:rsid w:val="00CA6342"/>
    <w:rsid w:val="00CA650F"/>
    <w:rsid w:val="00CA71CB"/>
    <w:rsid w:val="00CA7257"/>
    <w:rsid w:val="00CA757E"/>
    <w:rsid w:val="00CB1802"/>
    <w:rsid w:val="00CB43D0"/>
    <w:rsid w:val="00CB5667"/>
    <w:rsid w:val="00CB57CA"/>
    <w:rsid w:val="00CB7342"/>
    <w:rsid w:val="00CB7FE1"/>
    <w:rsid w:val="00CC0B50"/>
    <w:rsid w:val="00CC27B5"/>
    <w:rsid w:val="00CC2885"/>
    <w:rsid w:val="00CC47E6"/>
    <w:rsid w:val="00CC4BE9"/>
    <w:rsid w:val="00CC571C"/>
    <w:rsid w:val="00CC5C92"/>
    <w:rsid w:val="00CC7093"/>
    <w:rsid w:val="00CD095B"/>
    <w:rsid w:val="00CD3AFB"/>
    <w:rsid w:val="00CD4A78"/>
    <w:rsid w:val="00CD561C"/>
    <w:rsid w:val="00CD57A7"/>
    <w:rsid w:val="00CD683D"/>
    <w:rsid w:val="00CE3941"/>
    <w:rsid w:val="00CE3AB5"/>
    <w:rsid w:val="00CE51BE"/>
    <w:rsid w:val="00CE5FF6"/>
    <w:rsid w:val="00CE656B"/>
    <w:rsid w:val="00CE7F95"/>
    <w:rsid w:val="00CF0552"/>
    <w:rsid w:val="00CF198F"/>
    <w:rsid w:val="00CF34EE"/>
    <w:rsid w:val="00CF36F4"/>
    <w:rsid w:val="00CF4960"/>
    <w:rsid w:val="00CF4DAE"/>
    <w:rsid w:val="00CF5274"/>
    <w:rsid w:val="00CF790A"/>
    <w:rsid w:val="00D00356"/>
    <w:rsid w:val="00D00B01"/>
    <w:rsid w:val="00D027FD"/>
    <w:rsid w:val="00D02E15"/>
    <w:rsid w:val="00D02ED3"/>
    <w:rsid w:val="00D042C5"/>
    <w:rsid w:val="00D046EE"/>
    <w:rsid w:val="00D055E0"/>
    <w:rsid w:val="00D05F8A"/>
    <w:rsid w:val="00D06B01"/>
    <w:rsid w:val="00D07B30"/>
    <w:rsid w:val="00D11549"/>
    <w:rsid w:val="00D14AE6"/>
    <w:rsid w:val="00D161DD"/>
    <w:rsid w:val="00D16A8B"/>
    <w:rsid w:val="00D204B1"/>
    <w:rsid w:val="00D20E4A"/>
    <w:rsid w:val="00D223D7"/>
    <w:rsid w:val="00D233AD"/>
    <w:rsid w:val="00D23BB2"/>
    <w:rsid w:val="00D249AB"/>
    <w:rsid w:val="00D24F0C"/>
    <w:rsid w:val="00D27053"/>
    <w:rsid w:val="00D27185"/>
    <w:rsid w:val="00D2736F"/>
    <w:rsid w:val="00D30451"/>
    <w:rsid w:val="00D322EA"/>
    <w:rsid w:val="00D32B58"/>
    <w:rsid w:val="00D33B7B"/>
    <w:rsid w:val="00D3575D"/>
    <w:rsid w:val="00D37430"/>
    <w:rsid w:val="00D374B6"/>
    <w:rsid w:val="00D415C8"/>
    <w:rsid w:val="00D4199D"/>
    <w:rsid w:val="00D438B3"/>
    <w:rsid w:val="00D45BCA"/>
    <w:rsid w:val="00D460E1"/>
    <w:rsid w:val="00D46DE6"/>
    <w:rsid w:val="00D47EC6"/>
    <w:rsid w:val="00D51053"/>
    <w:rsid w:val="00D5178E"/>
    <w:rsid w:val="00D53C80"/>
    <w:rsid w:val="00D54858"/>
    <w:rsid w:val="00D5565B"/>
    <w:rsid w:val="00D55ED6"/>
    <w:rsid w:val="00D56882"/>
    <w:rsid w:val="00D623B0"/>
    <w:rsid w:val="00D63629"/>
    <w:rsid w:val="00D64002"/>
    <w:rsid w:val="00D6496D"/>
    <w:rsid w:val="00D65871"/>
    <w:rsid w:val="00D662C3"/>
    <w:rsid w:val="00D675B7"/>
    <w:rsid w:val="00D67D3F"/>
    <w:rsid w:val="00D67E7E"/>
    <w:rsid w:val="00D712D3"/>
    <w:rsid w:val="00D7273E"/>
    <w:rsid w:val="00D76070"/>
    <w:rsid w:val="00D8089D"/>
    <w:rsid w:val="00D81362"/>
    <w:rsid w:val="00D829C0"/>
    <w:rsid w:val="00D8403E"/>
    <w:rsid w:val="00D84C2A"/>
    <w:rsid w:val="00D85891"/>
    <w:rsid w:val="00D90D7D"/>
    <w:rsid w:val="00D9131C"/>
    <w:rsid w:val="00D939AB"/>
    <w:rsid w:val="00D943A0"/>
    <w:rsid w:val="00D94D8C"/>
    <w:rsid w:val="00D94EF6"/>
    <w:rsid w:val="00D9758B"/>
    <w:rsid w:val="00D97B14"/>
    <w:rsid w:val="00DA02CF"/>
    <w:rsid w:val="00DA2CAB"/>
    <w:rsid w:val="00DA2D3E"/>
    <w:rsid w:val="00DA2F6C"/>
    <w:rsid w:val="00DA3726"/>
    <w:rsid w:val="00DA6421"/>
    <w:rsid w:val="00DA7065"/>
    <w:rsid w:val="00DA76E7"/>
    <w:rsid w:val="00DA7CB5"/>
    <w:rsid w:val="00DB0FCA"/>
    <w:rsid w:val="00DB2789"/>
    <w:rsid w:val="00DB30D5"/>
    <w:rsid w:val="00DB3CA2"/>
    <w:rsid w:val="00DB3EA2"/>
    <w:rsid w:val="00DB5C53"/>
    <w:rsid w:val="00DB787A"/>
    <w:rsid w:val="00DC03C9"/>
    <w:rsid w:val="00DC072A"/>
    <w:rsid w:val="00DC0D3B"/>
    <w:rsid w:val="00DC1326"/>
    <w:rsid w:val="00DC2099"/>
    <w:rsid w:val="00DC23B8"/>
    <w:rsid w:val="00DC2511"/>
    <w:rsid w:val="00DC34F1"/>
    <w:rsid w:val="00DC4D4D"/>
    <w:rsid w:val="00DC6AEE"/>
    <w:rsid w:val="00DC6D9A"/>
    <w:rsid w:val="00DD5457"/>
    <w:rsid w:val="00DD675B"/>
    <w:rsid w:val="00DD6CA4"/>
    <w:rsid w:val="00DE2F95"/>
    <w:rsid w:val="00DE478B"/>
    <w:rsid w:val="00DE4C83"/>
    <w:rsid w:val="00DE5279"/>
    <w:rsid w:val="00DE56EC"/>
    <w:rsid w:val="00DE5DE8"/>
    <w:rsid w:val="00DE5F47"/>
    <w:rsid w:val="00DE6187"/>
    <w:rsid w:val="00DE648E"/>
    <w:rsid w:val="00DE69C2"/>
    <w:rsid w:val="00DE7DA8"/>
    <w:rsid w:val="00DE7DB9"/>
    <w:rsid w:val="00DF0D5E"/>
    <w:rsid w:val="00DF132D"/>
    <w:rsid w:val="00DF471C"/>
    <w:rsid w:val="00DF48F8"/>
    <w:rsid w:val="00DF60C4"/>
    <w:rsid w:val="00DF6170"/>
    <w:rsid w:val="00E02C94"/>
    <w:rsid w:val="00E0304E"/>
    <w:rsid w:val="00E03334"/>
    <w:rsid w:val="00E0340D"/>
    <w:rsid w:val="00E03FEA"/>
    <w:rsid w:val="00E04DDA"/>
    <w:rsid w:val="00E0500E"/>
    <w:rsid w:val="00E056F1"/>
    <w:rsid w:val="00E1075E"/>
    <w:rsid w:val="00E10BEC"/>
    <w:rsid w:val="00E10E2F"/>
    <w:rsid w:val="00E11049"/>
    <w:rsid w:val="00E11B01"/>
    <w:rsid w:val="00E11CEE"/>
    <w:rsid w:val="00E12C72"/>
    <w:rsid w:val="00E13129"/>
    <w:rsid w:val="00E13E61"/>
    <w:rsid w:val="00E15F0B"/>
    <w:rsid w:val="00E167D4"/>
    <w:rsid w:val="00E16B20"/>
    <w:rsid w:val="00E16EA9"/>
    <w:rsid w:val="00E2174F"/>
    <w:rsid w:val="00E231EB"/>
    <w:rsid w:val="00E23569"/>
    <w:rsid w:val="00E245DD"/>
    <w:rsid w:val="00E24B87"/>
    <w:rsid w:val="00E25169"/>
    <w:rsid w:val="00E25198"/>
    <w:rsid w:val="00E26508"/>
    <w:rsid w:val="00E26859"/>
    <w:rsid w:val="00E27699"/>
    <w:rsid w:val="00E31882"/>
    <w:rsid w:val="00E31F7B"/>
    <w:rsid w:val="00E32100"/>
    <w:rsid w:val="00E32290"/>
    <w:rsid w:val="00E328DB"/>
    <w:rsid w:val="00E3296E"/>
    <w:rsid w:val="00E33342"/>
    <w:rsid w:val="00E33693"/>
    <w:rsid w:val="00E33E5D"/>
    <w:rsid w:val="00E368ED"/>
    <w:rsid w:val="00E37493"/>
    <w:rsid w:val="00E40F8F"/>
    <w:rsid w:val="00E41226"/>
    <w:rsid w:val="00E4280A"/>
    <w:rsid w:val="00E43E33"/>
    <w:rsid w:val="00E50C02"/>
    <w:rsid w:val="00E515B7"/>
    <w:rsid w:val="00E51A8D"/>
    <w:rsid w:val="00E52768"/>
    <w:rsid w:val="00E52796"/>
    <w:rsid w:val="00E527C8"/>
    <w:rsid w:val="00E52ED4"/>
    <w:rsid w:val="00E5369A"/>
    <w:rsid w:val="00E54B85"/>
    <w:rsid w:val="00E5520D"/>
    <w:rsid w:val="00E55EB1"/>
    <w:rsid w:val="00E57B60"/>
    <w:rsid w:val="00E60116"/>
    <w:rsid w:val="00E62648"/>
    <w:rsid w:val="00E634AF"/>
    <w:rsid w:val="00E63945"/>
    <w:rsid w:val="00E63F10"/>
    <w:rsid w:val="00E64C3B"/>
    <w:rsid w:val="00E64CD8"/>
    <w:rsid w:val="00E650D9"/>
    <w:rsid w:val="00E65C27"/>
    <w:rsid w:val="00E65E85"/>
    <w:rsid w:val="00E670F6"/>
    <w:rsid w:val="00E677C9"/>
    <w:rsid w:val="00E71941"/>
    <w:rsid w:val="00E72AD9"/>
    <w:rsid w:val="00E737F0"/>
    <w:rsid w:val="00E74283"/>
    <w:rsid w:val="00E74421"/>
    <w:rsid w:val="00E74616"/>
    <w:rsid w:val="00E7498B"/>
    <w:rsid w:val="00E761BF"/>
    <w:rsid w:val="00E777F9"/>
    <w:rsid w:val="00E77F2E"/>
    <w:rsid w:val="00E80B54"/>
    <w:rsid w:val="00E80EF7"/>
    <w:rsid w:val="00E812D3"/>
    <w:rsid w:val="00E81556"/>
    <w:rsid w:val="00E825C8"/>
    <w:rsid w:val="00E8292A"/>
    <w:rsid w:val="00E82ED1"/>
    <w:rsid w:val="00E833CA"/>
    <w:rsid w:val="00E84174"/>
    <w:rsid w:val="00E8643F"/>
    <w:rsid w:val="00E866BE"/>
    <w:rsid w:val="00E867CD"/>
    <w:rsid w:val="00E86967"/>
    <w:rsid w:val="00E870A4"/>
    <w:rsid w:val="00E870A6"/>
    <w:rsid w:val="00E87E7D"/>
    <w:rsid w:val="00E90146"/>
    <w:rsid w:val="00E9079A"/>
    <w:rsid w:val="00E907B7"/>
    <w:rsid w:val="00E92025"/>
    <w:rsid w:val="00E92B5B"/>
    <w:rsid w:val="00E92D79"/>
    <w:rsid w:val="00E93155"/>
    <w:rsid w:val="00E939C7"/>
    <w:rsid w:val="00E940FD"/>
    <w:rsid w:val="00E948D9"/>
    <w:rsid w:val="00E94D8B"/>
    <w:rsid w:val="00E95AA6"/>
    <w:rsid w:val="00E97EE2"/>
    <w:rsid w:val="00EA05EC"/>
    <w:rsid w:val="00EA4399"/>
    <w:rsid w:val="00EA5511"/>
    <w:rsid w:val="00EA5EBE"/>
    <w:rsid w:val="00EA64BC"/>
    <w:rsid w:val="00EB0085"/>
    <w:rsid w:val="00EB0775"/>
    <w:rsid w:val="00EB0C76"/>
    <w:rsid w:val="00EB0E2A"/>
    <w:rsid w:val="00EB2807"/>
    <w:rsid w:val="00EB2EFD"/>
    <w:rsid w:val="00EB43BA"/>
    <w:rsid w:val="00EB4BA4"/>
    <w:rsid w:val="00EB660F"/>
    <w:rsid w:val="00EB69E0"/>
    <w:rsid w:val="00EC009C"/>
    <w:rsid w:val="00EC0BDA"/>
    <w:rsid w:val="00EC2C26"/>
    <w:rsid w:val="00EC34BC"/>
    <w:rsid w:val="00EC3740"/>
    <w:rsid w:val="00EC3BB1"/>
    <w:rsid w:val="00EC3F06"/>
    <w:rsid w:val="00EC5152"/>
    <w:rsid w:val="00EC54D9"/>
    <w:rsid w:val="00EC6F5B"/>
    <w:rsid w:val="00ED0495"/>
    <w:rsid w:val="00ED0DEF"/>
    <w:rsid w:val="00ED2A36"/>
    <w:rsid w:val="00ED3133"/>
    <w:rsid w:val="00ED35E1"/>
    <w:rsid w:val="00ED5FE9"/>
    <w:rsid w:val="00ED609B"/>
    <w:rsid w:val="00ED6113"/>
    <w:rsid w:val="00ED6B4E"/>
    <w:rsid w:val="00ED6CB9"/>
    <w:rsid w:val="00EE3080"/>
    <w:rsid w:val="00EE49A7"/>
    <w:rsid w:val="00EE58F3"/>
    <w:rsid w:val="00EE5C71"/>
    <w:rsid w:val="00EF0292"/>
    <w:rsid w:val="00EF0304"/>
    <w:rsid w:val="00EF1901"/>
    <w:rsid w:val="00EF1DA9"/>
    <w:rsid w:val="00EF1E4D"/>
    <w:rsid w:val="00EF4918"/>
    <w:rsid w:val="00EF4BD3"/>
    <w:rsid w:val="00EF5F21"/>
    <w:rsid w:val="00EF604F"/>
    <w:rsid w:val="00EF648A"/>
    <w:rsid w:val="00EF771A"/>
    <w:rsid w:val="00F008FD"/>
    <w:rsid w:val="00F0282D"/>
    <w:rsid w:val="00F02ED3"/>
    <w:rsid w:val="00F0335B"/>
    <w:rsid w:val="00F033EE"/>
    <w:rsid w:val="00F0450D"/>
    <w:rsid w:val="00F047BD"/>
    <w:rsid w:val="00F063E9"/>
    <w:rsid w:val="00F06BF6"/>
    <w:rsid w:val="00F07373"/>
    <w:rsid w:val="00F07A58"/>
    <w:rsid w:val="00F07F8B"/>
    <w:rsid w:val="00F100DC"/>
    <w:rsid w:val="00F10608"/>
    <w:rsid w:val="00F10976"/>
    <w:rsid w:val="00F109E9"/>
    <w:rsid w:val="00F1101C"/>
    <w:rsid w:val="00F11ED7"/>
    <w:rsid w:val="00F1242F"/>
    <w:rsid w:val="00F12931"/>
    <w:rsid w:val="00F12EE5"/>
    <w:rsid w:val="00F14118"/>
    <w:rsid w:val="00F155A2"/>
    <w:rsid w:val="00F170AB"/>
    <w:rsid w:val="00F17962"/>
    <w:rsid w:val="00F213EF"/>
    <w:rsid w:val="00F216E5"/>
    <w:rsid w:val="00F21D48"/>
    <w:rsid w:val="00F22ACA"/>
    <w:rsid w:val="00F23778"/>
    <w:rsid w:val="00F23BF7"/>
    <w:rsid w:val="00F25AF2"/>
    <w:rsid w:val="00F25D3E"/>
    <w:rsid w:val="00F267D7"/>
    <w:rsid w:val="00F26D6F"/>
    <w:rsid w:val="00F276D2"/>
    <w:rsid w:val="00F27722"/>
    <w:rsid w:val="00F277F8"/>
    <w:rsid w:val="00F27A54"/>
    <w:rsid w:val="00F30D39"/>
    <w:rsid w:val="00F30E5B"/>
    <w:rsid w:val="00F3145B"/>
    <w:rsid w:val="00F31F52"/>
    <w:rsid w:val="00F359E4"/>
    <w:rsid w:val="00F3608D"/>
    <w:rsid w:val="00F37B84"/>
    <w:rsid w:val="00F407E1"/>
    <w:rsid w:val="00F41003"/>
    <w:rsid w:val="00F42818"/>
    <w:rsid w:val="00F435DD"/>
    <w:rsid w:val="00F4564E"/>
    <w:rsid w:val="00F457F4"/>
    <w:rsid w:val="00F459E8"/>
    <w:rsid w:val="00F4624D"/>
    <w:rsid w:val="00F4684A"/>
    <w:rsid w:val="00F51E01"/>
    <w:rsid w:val="00F52040"/>
    <w:rsid w:val="00F52192"/>
    <w:rsid w:val="00F52695"/>
    <w:rsid w:val="00F545BB"/>
    <w:rsid w:val="00F54C1B"/>
    <w:rsid w:val="00F54D18"/>
    <w:rsid w:val="00F551E3"/>
    <w:rsid w:val="00F55775"/>
    <w:rsid w:val="00F56636"/>
    <w:rsid w:val="00F56F5F"/>
    <w:rsid w:val="00F623C6"/>
    <w:rsid w:val="00F634F5"/>
    <w:rsid w:val="00F649E9"/>
    <w:rsid w:val="00F655B4"/>
    <w:rsid w:val="00F661C4"/>
    <w:rsid w:val="00F677BD"/>
    <w:rsid w:val="00F70008"/>
    <w:rsid w:val="00F7160D"/>
    <w:rsid w:val="00F7236F"/>
    <w:rsid w:val="00F76876"/>
    <w:rsid w:val="00F805DF"/>
    <w:rsid w:val="00F809EB"/>
    <w:rsid w:val="00F80A18"/>
    <w:rsid w:val="00F812EB"/>
    <w:rsid w:val="00F8142C"/>
    <w:rsid w:val="00F817AF"/>
    <w:rsid w:val="00F81C7F"/>
    <w:rsid w:val="00F829F2"/>
    <w:rsid w:val="00F839D2"/>
    <w:rsid w:val="00F85436"/>
    <w:rsid w:val="00F8698F"/>
    <w:rsid w:val="00F86F62"/>
    <w:rsid w:val="00F90A3D"/>
    <w:rsid w:val="00F937AA"/>
    <w:rsid w:val="00F94163"/>
    <w:rsid w:val="00F9495D"/>
    <w:rsid w:val="00F95C17"/>
    <w:rsid w:val="00F97D4D"/>
    <w:rsid w:val="00FA1B13"/>
    <w:rsid w:val="00FA1D0A"/>
    <w:rsid w:val="00FA295D"/>
    <w:rsid w:val="00FA3479"/>
    <w:rsid w:val="00FA3A5C"/>
    <w:rsid w:val="00FA4366"/>
    <w:rsid w:val="00FA6B41"/>
    <w:rsid w:val="00FA70B5"/>
    <w:rsid w:val="00FA7799"/>
    <w:rsid w:val="00FB025E"/>
    <w:rsid w:val="00FB09CB"/>
    <w:rsid w:val="00FB2470"/>
    <w:rsid w:val="00FB2C77"/>
    <w:rsid w:val="00FB350C"/>
    <w:rsid w:val="00FB4DC3"/>
    <w:rsid w:val="00FB4ECE"/>
    <w:rsid w:val="00FB66F7"/>
    <w:rsid w:val="00FB727B"/>
    <w:rsid w:val="00FC027C"/>
    <w:rsid w:val="00FC0815"/>
    <w:rsid w:val="00FC0C56"/>
    <w:rsid w:val="00FC21A2"/>
    <w:rsid w:val="00FC2C42"/>
    <w:rsid w:val="00FC2F2D"/>
    <w:rsid w:val="00FC466F"/>
    <w:rsid w:val="00FC4D7A"/>
    <w:rsid w:val="00FC4E46"/>
    <w:rsid w:val="00FC579B"/>
    <w:rsid w:val="00FC596A"/>
    <w:rsid w:val="00FC5E65"/>
    <w:rsid w:val="00FC5F4D"/>
    <w:rsid w:val="00FC602E"/>
    <w:rsid w:val="00FC6316"/>
    <w:rsid w:val="00FC70D0"/>
    <w:rsid w:val="00FC7794"/>
    <w:rsid w:val="00FC7D84"/>
    <w:rsid w:val="00FD0019"/>
    <w:rsid w:val="00FD0389"/>
    <w:rsid w:val="00FD076A"/>
    <w:rsid w:val="00FD0E88"/>
    <w:rsid w:val="00FD0EFF"/>
    <w:rsid w:val="00FD178D"/>
    <w:rsid w:val="00FD18D2"/>
    <w:rsid w:val="00FD241B"/>
    <w:rsid w:val="00FD2AE8"/>
    <w:rsid w:val="00FD2D58"/>
    <w:rsid w:val="00FD3FDC"/>
    <w:rsid w:val="00FD503F"/>
    <w:rsid w:val="00FD570C"/>
    <w:rsid w:val="00FD580D"/>
    <w:rsid w:val="00FD7083"/>
    <w:rsid w:val="00FD781A"/>
    <w:rsid w:val="00FE016A"/>
    <w:rsid w:val="00FE08C2"/>
    <w:rsid w:val="00FE1164"/>
    <w:rsid w:val="00FE1707"/>
    <w:rsid w:val="00FE1A9C"/>
    <w:rsid w:val="00FE1EBE"/>
    <w:rsid w:val="00FE2B25"/>
    <w:rsid w:val="00FE4ED2"/>
    <w:rsid w:val="00FE5722"/>
    <w:rsid w:val="00FE6C05"/>
    <w:rsid w:val="00FE70DF"/>
    <w:rsid w:val="00FF0C21"/>
    <w:rsid w:val="00FF2490"/>
    <w:rsid w:val="00FF361C"/>
    <w:rsid w:val="00FF3AF2"/>
    <w:rsid w:val="00FF3FC2"/>
    <w:rsid w:val="00FF4C39"/>
    <w:rsid w:val="00FF4F7C"/>
    <w:rsid w:val="00FF5891"/>
    <w:rsid w:val="00FF5A03"/>
    <w:rsid w:val="00FF7183"/>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4D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8F"/>
    <w:pPr>
      <w:widowControl w:val="0"/>
    </w:pPr>
    <w:rPr>
      <w:snapToGrid w:val="0"/>
      <w:kern w:val="28"/>
      <w:sz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ParaNum"/>
    <w:link w:val="Heading1Char"/>
    <w:qFormat/>
    <w:rsid w:val="00E40F8F"/>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 Char1,Heading 2 Char Char Char Char,Heading 2 Char1 Char Char1 Char Char,Heading 2 Char Char3 Char Char Char Char,Heading 2 Char1 Char Char Char Char1 Char Char"/>
    <w:basedOn w:val="Normal"/>
    <w:next w:val="ParaNum"/>
    <w:link w:val="Heading2Char"/>
    <w:autoRedefine/>
    <w:qFormat/>
    <w:rsid w:val="00E40F8F"/>
    <w:pPr>
      <w:keepNext/>
      <w:numPr>
        <w:ilvl w:val="1"/>
        <w:numId w:val="2"/>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Heading 3 Char2 Char1 Char Char,Heading 3 Char Char1 Ch"/>
    <w:basedOn w:val="Normal"/>
    <w:next w:val="ParaNum"/>
    <w:link w:val="Heading3Char"/>
    <w:qFormat/>
    <w:rsid w:val="00E40F8F"/>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Heading 4 Char Char1 Char Char"/>
    <w:basedOn w:val="Normal"/>
    <w:next w:val="ParaNum"/>
    <w:link w:val="Heading4Char"/>
    <w:qFormat/>
    <w:rsid w:val="00E40F8F"/>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E40F8F"/>
    <w:pPr>
      <w:keepNext/>
      <w:numPr>
        <w:ilvl w:val="4"/>
        <w:numId w:val="2"/>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E40F8F"/>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E40F8F"/>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E40F8F"/>
    <w:pPr>
      <w:numPr>
        <w:ilvl w:val="7"/>
        <w:numId w:val="2"/>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E40F8F"/>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40F8F"/>
    <w:pPr>
      <w:numPr>
        <w:numId w:val="1"/>
      </w:numPr>
      <w:tabs>
        <w:tab w:val="clear" w:pos="1080"/>
        <w:tab w:val="num" w:pos="1440"/>
      </w:tabs>
      <w:spacing w:after="120"/>
    </w:pPr>
  </w:style>
  <w:style w:type="paragraph" w:styleId="EndnoteText">
    <w:name w:val="endnote text"/>
    <w:basedOn w:val="Normal"/>
    <w:semiHidden/>
    <w:rsid w:val="00E40F8F"/>
    <w:rPr>
      <w:sz w:val="20"/>
    </w:rPr>
  </w:style>
  <w:style w:type="character" w:styleId="EndnoteReference">
    <w:name w:val="endnote reference"/>
    <w:semiHidden/>
    <w:rsid w:val="00E40F8F"/>
    <w:rPr>
      <w:vertAlign w:val="superscript"/>
    </w:rPr>
  </w:style>
  <w:style w:type="paragraph" w:styleId="FootnoteText">
    <w:name w:val="footnote text"/>
    <w:aliases w:val="Footnote Text Char,Footnote Text Char1 Char,Footnote Text Char Char1 Char,Footnote Text Char2 Char1 Char Char,Footnote Text Char Char1 Char Char Char1,Footnote Text Char1 Char Char Char1 Char Char,Footnote Text Char1,fn Char Char,fn Char,f"/>
    <w:link w:val="FootnoteTextChar2"/>
    <w:rsid w:val="00E40F8F"/>
    <w:pPr>
      <w:spacing w:after="120"/>
    </w:pPr>
  </w:style>
  <w:style w:type="character" w:styleId="FootnoteReference">
    <w:name w:val="footnote reference"/>
    <w:aliases w:val="Style 12,(NECG) Footnote Reference,Appel note de bas de p,Style 124,o,fr,Style 3,Style 13,FR,Style 17,Style 6,Footnote Reference/,Style 4,Style 7,Footnote Reference1"/>
    <w:rsid w:val="00E40F8F"/>
    <w:rPr>
      <w:rFonts w:ascii="Times New Roman" w:hAnsi="Times New Roman"/>
      <w:dstrike w:val="0"/>
      <w:color w:val="auto"/>
      <w:sz w:val="20"/>
      <w:vertAlign w:val="superscript"/>
    </w:rPr>
  </w:style>
  <w:style w:type="paragraph" w:styleId="TOC1">
    <w:name w:val="toc 1"/>
    <w:basedOn w:val="Normal"/>
    <w:next w:val="Normal"/>
    <w:rsid w:val="00E40F8F"/>
    <w:pPr>
      <w:tabs>
        <w:tab w:val="left" w:pos="360"/>
        <w:tab w:val="right" w:leader="dot" w:pos="9360"/>
      </w:tabs>
      <w:suppressAutoHyphens/>
      <w:ind w:left="360" w:right="720" w:hanging="360"/>
    </w:pPr>
    <w:rPr>
      <w:caps/>
      <w:noProof/>
    </w:rPr>
  </w:style>
  <w:style w:type="paragraph" w:styleId="TOC2">
    <w:name w:val="toc 2"/>
    <w:basedOn w:val="Normal"/>
    <w:next w:val="Normal"/>
    <w:rsid w:val="00E40F8F"/>
    <w:pPr>
      <w:tabs>
        <w:tab w:val="left" w:pos="720"/>
        <w:tab w:val="right" w:leader="dot" w:pos="9360"/>
      </w:tabs>
      <w:suppressAutoHyphens/>
      <w:ind w:left="720" w:right="720" w:hanging="360"/>
    </w:pPr>
    <w:rPr>
      <w:noProof/>
    </w:rPr>
  </w:style>
  <w:style w:type="paragraph" w:styleId="TOC3">
    <w:name w:val="toc 3"/>
    <w:basedOn w:val="Normal"/>
    <w:next w:val="Normal"/>
    <w:rsid w:val="00E40F8F"/>
    <w:pPr>
      <w:tabs>
        <w:tab w:val="left" w:pos="1080"/>
        <w:tab w:val="right" w:leader="dot" w:pos="9360"/>
      </w:tabs>
      <w:suppressAutoHyphens/>
      <w:ind w:left="1080" w:right="720" w:hanging="360"/>
    </w:pPr>
    <w:rPr>
      <w:noProof/>
    </w:rPr>
  </w:style>
  <w:style w:type="paragraph" w:styleId="TOC4">
    <w:name w:val="toc 4"/>
    <w:basedOn w:val="Normal"/>
    <w:next w:val="Normal"/>
    <w:autoRedefine/>
    <w:rsid w:val="00E40F8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40F8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40F8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40F8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40F8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40F8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40F8F"/>
    <w:pPr>
      <w:tabs>
        <w:tab w:val="right" w:pos="9360"/>
      </w:tabs>
      <w:suppressAutoHyphens/>
    </w:pPr>
  </w:style>
  <w:style w:type="character" w:customStyle="1" w:styleId="EquationCaption">
    <w:name w:val="_Equation Caption"/>
    <w:rsid w:val="00E40F8F"/>
  </w:style>
  <w:style w:type="paragraph" w:styleId="Header">
    <w:name w:val="header"/>
    <w:basedOn w:val="Normal"/>
    <w:link w:val="HeaderChar"/>
    <w:autoRedefine/>
    <w:rsid w:val="00E40F8F"/>
    <w:pPr>
      <w:tabs>
        <w:tab w:val="center" w:pos="4680"/>
        <w:tab w:val="right" w:pos="9360"/>
      </w:tabs>
    </w:pPr>
    <w:rPr>
      <w:b/>
    </w:rPr>
  </w:style>
  <w:style w:type="paragraph" w:styleId="Footer">
    <w:name w:val="footer"/>
    <w:basedOn w:val="Normal"/>
    <w:rsid w:val="00E40F8F"/>
    <w:pPr>
      <w:tabs>
        <w:tab w:val="center" w:pos="4320"/>
        <w:tab w:val="right" w:pos="8640"/>
      </w:tabs>
    </w:pPr>
  </w:style>
  <w:style w:type="character" w:styleId="PageNumber">
    <w:name w:val="page number"/>
    <w:basedOn w:val="DefaultParagraphFont"/>
    <w:rsid w:val="00E40F8F"/>
  </w:style>
  <w:style w:type="paragraph" w:styleId="BlockText">
    <w:name w:val="Block Text"/>
    <w:basedOn w:val="Normal"/>
    <w:rsid w:val="00E40F8F"/>
    <w:pPr>
      <w:spacing w:after="240"/>
      <w:ind w:left="1440" w:right="1440"/>
    </w:pPr>
  </w:style>
  <w:style w:type="paragraph" w:customStyle="1" w:styleId="Paratitle">
    <w:name w:val="Para title"/>
    <w:basedOn w:val="Normal"/>
    <w:rsid w:val="00E40F8F"/>
    <w:pPr>
      <w:tabs>
        <w:tab w:val="center" w:pos="9270"/>
      </w:tabs>
      <w:spacing w:after="240"/>
    </w:pPr>
    <w:rPr>
      <w:spacing w:val="-2"/>
    </w:rPr>
  </w:style>
  <w:style w:type="paragraph" w:customStyle="1" w:styleId="Bullet">
    <w:name w:val="Bullet"/>
    <w:basedOn w:val="Normal"/>
    <w:rsid w:val="00E40F8F"/>
    <w:pPr>
      <w:tabs>
        <w:tab w:val="left" w:pos="2160"/>
      </w:tabs>
      <w:spacing w:after="220"/>
      <w:ind w:left="2160" w:hanging="720"/>
    </w:pPr>
  </w:style>
  <w:style w:type="paragraph" w:customStyle="1" w:styleId="TableFormat">
    <w:name w:val="TableFormat"/>
    <w:basedOn w:val="Bullet"/>
    <w:rsid w:val="00E40F8F"/>
    <w:pPr>
      <w:tabs>
        <w:tab w:val="clear" w:pos="2160"/>
        <w:tab w:val="left" w:pos="5040"/>
      </w:tabs>
      <w:ind w:left="5040" w:hanging="3600"/>
    </w:pPr>
  </w:style>
  <w:style w:type="paragraph" w:customStyle="1" w:styleId="TOCTitle">
    <w:name w:val="TOC Title"/>
    <w:basedOn w:val="Normal"/>
    <w:rsid w:val="00E40F8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40F8F"/>
    <w:pPr>
      <w:jc w:val="center"/>
    </w:pPr>
    <w:rPr>
      <w:rFonts w:ascii="Times New Roman Bold" w:hAnsi="Times New Roman Bold"/>
      <w:b/>
      <w:bCs/>
      <w:caps/>
      <w:szCs w:val="22"/>
    </w:rPr>
  </w:style>
  <w:style w:type="character" w:styleId="Hyperlink">
    <w:name w:val="Hyperlink"/>
    <w:rsid w:val="00E40F8F"/>
    <w:rPr>
      <w:color w:val="0000FF"/>
      <w:u w:val="single"/>
    </w:rPr>
  </w:style>
  <w:style w:type="character" w:styleId="FollowedHyperlink">
    <w:name w:val="FollowedHyperlink"/>
    <w:semiHidden/>
    <w:rsid w:val="008B3CD1"/>
    <w:rPr>
      <w:color w:val="800080"/>
      <w:u w:val="single"/>
    </w:rPr>
  </w:style>
  <w:style w:type="paragraph" w:styleId="BalloonText">
    <w:name w:val="Balloon Text"/>
    <w:basedOn w:val="Normal"/>
    <w:semiHidden/>
    <w:rsid w:val="008B3CD1"/>
    <w:rPr>
      <w:rFonts w:ascii="Tahoma" w:hAnsi="Tahoma" w:cs="Tahoma"/>
      <w:sz w:val="16"/>
      <w:szCs w:val="16"/>
    </w:rPr>
  </w:style>
  <w:style w:type="character" w:customStyle="1" w:styleId="documentbody1">
    <w:name w:val="documentbody1"/>
    <w:rsid w:val="008B3CD1"/>
    <w:rPr>
      <w:rFonts w:ascii="Verdana" w:hAnsi="Verdana" w:hint="default"/>
      <w:sz w:val="19"/>
      <w:szCs w:val="19"/>
    </w:rPr>
  </w:style>
  <w:style w:type="paragraph" w:styleId="PlainText">
    <w:name w:val="Plain Text"/>
    <w:basedOn w:val="Normal"/>
    <w:semiHidden/>
    <w:rsid w:val="008B3CD1"/>
    <w:rPr>
      <w:rFonts w:ascii="Courier New" w:hAnsi="Courier New" w:cs="Courier New"/>
      <w:snapToGrid/>
    </w:rPr>
  </w:style>
  <w:style w:type="paragraph" w:customStyle="1" w:styleId="ParaNumCharCharChar">
    <w:name w:val="ParaNum Char Char Char"/>
    <w:basedOn w:val="Normal"/>
    <w:rsid w:val="008B3CD1"/>
    <w:pPr>
      <w:tabs>
        <w:tab w:val="num" w:pos="360"/>
      </w:tabs>
      <w:spacing w:after="220"/>
      <w:ind w:left="360" w:hanging="360"/>
      <w:jc w:val="both"/>
    </w:pPr>
    <w:rPr>
      <w:rFonts w:eastAsia="SimSun"/>
    </w:rPr>
  </w:style>
  <w:style w:type="paragraph" w:styleId="ListBullet2">
    <w:name w:val="List Bullet 2"/>
    <w:basedOn w:val="Normal"/>
    <w:semiHidden/>
    <w:rsid w:val="008B3CD1"/>
    <w:pPr>
      <w:numPr>
        <w:numId w:val="3"/>
      </w:numPr>
    </w:pPr>
  </w:style>
  <w:style w:type="paragraph" w:styleId="BodyTextIndent">
    <w:name w:val="Body Text Indent"/>
    <w:basedOn w:val="Normal"/>
    <w:semiHidden/>
    <w:rsid w:val="008B3CD1"/>
    <w:pPr>
      <w:ind w:left="720"/>
    </w:pPr>
  </w:style>
  <w:style w:type="character" w:customStyle="1" w:styleId="FootnoteTextCharChar">
    <w:name w:val="Footnote Text Char Char"/>
    <w:aliases w:val="Footnote Text Char1 Char Char,Footnote Text Char Char Char Char,Footnote Text Char1 Char Char Char1 Char,Footnote Text Char Char Char Char Char1 Char,Footnote Text Char2 Char Char Char Char Char1 Char,Footnote Text Char1 Char Cha"/>
    <w:rsid w:val="008B3CD1"/>
    <w:rPr>
      <w:lang w:val="en-US" w:eastAsia="en-US" w:bidi="ar-SA"/>
    </w:rPr>
  </w:style>
  <w:style w:type="paragraph" w:customStyle="1" w:styleId="ParaNumCharChar">
    <w:name w:val="ParaNum Char Char"/>
    <w:basedOn w:val="Normal"/>
    <w:rsid w:val="008B3CD1"/>
    <w:pPr>
      <w:numPr>
        <w:numId w:val="4"/>
      </w:numPr>
      <w:tabs>
        <w:tab w:val="left" w:pos="1440"/>
      </w:tabs>
      <w:spacing w:after="220"/>
      <w:jc w:val="both"/>
    </w:pPr>
    <w:rPr>
      <w:snapToGrid/>
    </w:rPr>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rsid w:val="0074273E"/>
    <w:rPr>
      <w:rFonts w:ascii="Times New Roman Bold" w:hAnsi="Times New Roman Bold"/>
      <w:b/>
      <w:caps/>
      <w:snapToGrid w:val="0"/>
      <w:kern w:val="28"/>
      <w:sz w:val="22"/>
    </w:rPr>
  </w:style>
  <w:style w:type="paragraph" w:styleId="DocumentMap">
    <w:name w:val="Document Map"/>
    <w:basedOn w:val="Normal"/>
    <w:semiHidden/>
    <w:rsid w:val="008B3CD1"/>
    <w:pPr>
      <w:shd w:val="clear" w:color="auto" w:fill="000080"/>
    </w:pPr>
    <w:rPr>
      <w:rFonts w:ascii="Tahoma" w:hAnsi="Tahoma" w:cs="Tahoma"/>
    </w:rPr>
  </w:style>
  <w:style w:type="paragraph" w:customStyle="1" w:styleId="Appendixformat">
    <w:name w:val="Appendix format"/>
    <w:basedOn w:val="Normal"/>
    <w:rsid w:val="008B3CD1"/>
    <w:pPr>
      <w:tabs>
        <w:tab w:val="left" w:pos="1440"/>
      </w:tabs>
      <w:spacing w:after="120"/>
      <w:ind w:left="1440" w:hanging="720"/>
    </w:pPr>
    <w:rPr>
      <w:b/>
    </w:rPr>
  </w:style>
  <w:style w:type="paragraph" w:customStyle="1" w:styleId="Appendixnumber">
    <w:name w:val="Appendix number"/>
    <w:basedOn w:val="Normal"/>
    <w:rsid w:val="008B3CD1"/>
    <w:pPr>
      <w:numPr>
        <w:numId w:val="5"/>
      </w:numPr>
      <w:tabs>
        <w:tab w:val="num" w:pos="1440"/>
      </w:tabs>
      <w:spacing w:after="120"/>
      <w:ind w:left="0" w:firstLine="720"/>
    </w:pPr>
  </w:style>
  <w:style w:type="character" w:customStyle="1" w:styleId="TOC1Char">
    <w:name w:val="TOC 1 Char"/>
    <w:rsid w:val="008B3CD1"/>
    <w:rPr>
      <w:caps/>
      <w:noProof/>
      <w:snapToGrid w:val="0"/>
      <w:kern w:val="28"/>
      <w:sz w:val="22"/>
      <w:lang w:val="en-US" w:eastAsia="en-US" w:bidi="ar-SA"/>
    </w:rPr>
  </w:style>
  <w:style w:type="character" w:styleId="Strong">
    <w:name w:val="Strong"/>
    <w:qFormat/>
    <w:rsid w:val="008B3CD1"/>
    <w:rPr>
      <w:b/>
      <w:bCs/>
    </w:rPr>
  </w:style>
  <w:style w:type="character" w:customStyle="1" w:styleId="FooterChar">
    <w:name w:val="Footer Char"/>
    <w:rsid w:val="008B3CD1"/>
    <w:rPr>
      <w:snapToGrid w:val="0"/>
      <w:kern w:val="28"/>
      <w:sz w:val="22"/>
      <w:lang w:val="en-US" w:eastAsia="en-US" w:bidi="ar-SA"/>
    </w:rPr>
  </w:style>
  <w:style w:type="character" w:customStyle="1" w:styleId="ParaNumChar1">
    <w:name w:val="ParaNum Char1"/>
    <w:rsid w:val="008B3CD1"/>
    <w:rPr>
      <w:snapToGrid w:val="0"/>
      <w:kern w:val="28"/>
      <w:sz w:val="22"/>
      <w:lang w:val="en-US" w:eastAsia="en-US" w:bidi="ar-SA"/>
    </w:rPr>
  </w:style>
  <w:style w:type="character" w:customStyle="1" w:styleId="FootnoteTextCharChar1">
    <w:name w:val="Footnote Text Char Char1"/>
    <w:aliases w:val="Footnote Text Char2 Char2 Char,Footnote Text Char Char1 Char Char,Footnote Text Char2 Char2 Char Char Char,Footnote Text Char Char1 Char Char Char Char,Footnote Text Char1 Char1 Char Char Char Char Char,Footnote Text Char1 Char1"/>
    <w:rsid w:val="008B3CD1"/>
    <w:rPr>
      <w:lang w:val="en-US" w:eastAsia="en-US" w:bidi="ar-SA"/>
    </w:rPr>
  </w:style>
  <w:style w:type="character" w:customStyle="1" w:styleId="ParaNumChar">
    <w:name w:val="ParaNum Char"/>
    <w:rsid w:val="008B3CD1"/>
    <w:rPr>
      <w:snapToGrid w:val="0"/>
      <w:kern w:val="28"/>
      <w:sz w:val="22"/>
      <w:lang w:val="en-US" w:eastAsia="en-US" w:bidi="ar-SA"/>
    </w:rPr>
  </w:style>
  <w:style w:type="character" w:styleId="CommentReference">
    <w:name w:val="annotation reference"/>
    <w:semiHidden/>
    <w:rsid w:val="008B3CD1"/>
    <w:rPr>
      <w:sz w:val="16"/>
      <w:szCs w:val="16"/>
    </w:rPr>
  </w:style>
  <w:style w:type="paragraph" w:styleId="CommentText">
    <w:name w:val="annotation text"/>
    <w:basedOn w:val="Normal"/>
    <w:link w:val="CommentTextChar"/>
    <w:semiHidden/>
    <w:rsid w:val="008B3CD1"/>
  </w:style>
  <w:style w:type="paragraph" w:styleId="CommentSubject">
    <w:name w:val="annotation subject"/>
    <w:basedOn w:val="CommentText"/>
    <w:next w:val="CommentText"/>
    <w:semiHidden/>
    <w:rsid w:val="008B3CD1"/>
    <w:rPr>
      <w:b/>
      <w:bCs/>
    </w:rPr>
  </w:style>
  <w:style w:type="paragraph" w:styleId="Caption">
    <w:name w:val="caption"/>
    <w:basedOn w:val="Normal"/>
    <w:next w:val="Normal"/>
    <w:qFormat/>
    <w:rsid w:val="008B3CD1"/>
    <w:pPr>
      <w:spacing w:before="120" w:after="120"/>
    </w:pPr>
    <w:rPr>
      <w:b/>
      <w:snapToGrid/>
    </w:rPr>
  </w:style>
  <w:style w:type="paragraph" w:styleId="NormalWeb">
    <w:name w:val="Normal (Web)"/>
    <w:basedOn w:val="Normal"/>
    <w:semiHidden/>
    <w:rsid w:val="008B3CD1"/>
    <w:pPr>
      <w:spacing w:before="100" w:beforeAutospacing="1" w:after="100" w:afterAutospacing="1"/>
    </w:pPr>
    <w:rPr>
      <w:snapToGrid/>
    </w:rPr>
  </w:style>
  <w:style w:type="paragraph" w:styleId="HTMLPreformatted">
    <w:name w:val="HTML Preformatted"/>
    <w:basedOn w:val="Normal"/>
    <w:semiHidden/>
    <w:rsid w:val="008B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searchterm2">
    <w:name w:val="searchterm2"/>
    <w:rsid w:val="008B3CD1"/>
    <w:rPr>
      <w:b/>
      <w:bCs/>
      <w:shd w:val="clear" w:color="auto" w:fill="FFFF00"/>
    </w:rPr>
  </w:style>
  <w:style w:type="character" w:customStyle="1" w:styleId="deltaviewinsertion">
    <w:name w:val="deltaviewinsertion"/>
    <w:rsid w:val="008B3CD1"/>
    <w:rPr>
      <w:color w:val="0000FF"/>
      <w:spacing w:val="0"/>
      <w:u w:val="single"/>
    </w:rPr>
  </w:style>
  <w:style w:type="paragraph" w:customStyle="1" w:styleId="paranumcharchar0">
    <w:name w:val="paranumcharchar"/>
    <w:basedOn w:val="Normal"/>
    <w:rsid w:val="008B3CD1"/>
    <w:pPr>
      <w:snapToGrid w:val="0"/>
      <w:spacing w:after="220"/>
      <w:ind w:left="252" w:firstLine="288"/>
    </w:pPr>
    <w:rPr>
      <w:snapToGrid/>
    </w:rPr>
  </w:style>
  <w:style w:type="paragraph" w:customStyle="1" w:styleId="ColorfulList-Accent11">
    <w:name w:val="Colorful List - Accent 11"/>
    <w:basedOn w:val="Normal"/>
    <w:qFormat/>
    <w:rsid w:val="008B3CD1"/>
    <w:pPr>
      <w:ind w:left="720"/>
      <w:contextualSpacing/>
    </w:pPr>
    <w:rPr>
      <w:rFonts w:ascii="Calibri" w:hAnsi="Calibri"/>
      <w:snapToGrid/>
    </w:rPr>
  </w:style>
  <w:style w:type="paragraph" w:styleId="BodyTextIndent2">
    <w:name w:val="Body Text Indent 2"/>
    <w:basedOn w:val="Normal"/>
    <w:semiHidden/>
    <w:rsid w:val="008B3CD1"/>
    <w:pPr>
      <w:spacing w:after="120" w:line="480" w:lineRule="auto"/>
      <w:ind w:left="360"/>
    </w:pPr>
  </w:style>
  <w:style w:type="character" w:styleId="Emphasis">
    <w:name w:val="Emphasis"/>
    <w:qFormat/>
    <w:rsid w:val="008B3CD1"/>
    <w:rPr>
      <w:i/>
      <w:iCs/>
    </w:rPr>
  </w:style>
  <w:style w:type="paragraph" w:customStyle="1" w:styleId="Default">
    <w:name w:val="Default"/>
    <w:rsid w:val="00494E3B"/>
    <w:pPr>
      <w:autoSpaceDE w:val="0"/>
      <w:autoSpaceDN w:val="0"/>
      <w:adjustRightInd w:val="0"/>
    </w:pPr>
    <w:rPr>
      <w:color w:val="000000"/>
      <w:sz w:val="24"/>
      <w:szCs w:val="24"/>
    </w:rPr>
  </w:style>
  <w:style w:type="character" w:customStyle="1" w:styleId="Heading2Char1">
    <w:name w:val="Heading 2 Char1"/>
    <w:rsid w:val="00E04DDA"/>
    <w:rPr>
      <w:b/>
      <w:snapToGrid w:val="0"/>
      <w:kern w:val="28"/>
      <w:sz w:val="22"/>
    </w:rPr>
  </w:style>
  <w:style w:type="character" w:customStyle="1" w:styleId="Heading2Char">
    <w:name w:val="Heading 2 Char"/>
    <w:aliases w:val="h2 Char Char,UNDERRUBRIK 1-2 Char Char,Heading 2 Char Char1 Char,Heading 2 Char Char Char Char Char,Heading 2 Char1 Char Char1 Char Char Char,Heading 2 Char Char3 Char Char Char Char Char"/>
    <w:link w:val="Heading2"/>
    <w:rsid w:val="00C24DDE"/>
    <w:rPr>
      <w:b/>
      <w:snapToGrid w:val="0"/>
      <w:kern w:val="28"/>
      <w:sz w:val="22"/>
    </w:rPr>
  </w:style>
  <w:style w:type="paragraph" w:customStyle="1" w:styleId="ColorfulShading-Accent11">
    <w:name w:val="Colorful Shading - Accent 11"/>
    <w:hidden/>
    <w:uiPriority w:val="99"/>
    <w:semiHidden/>
    <w:rsid w:val="00446A6F"/>
    <w:rPr>
      <w:snapToGrid w:val="0"/>
      <w:kern w:val="28"/>
      <w:sz w:val="22"/>
    </w:rPr>
  </w:style>
  <w:style w:type="paragraph" w:styleId="ListParagraph">
    <w:name w:val="List Paragraph"/>
    <w:basedOn w:val="Normal"/>
    <w:uiPriority w:val="34"/>
    <w:qFormat/>
    <w:rsid w:val="00E10BEC"/>
    <w:pPr>
      <w:ind w:left="720"/>
      <w:contextualSpacing/>
    </w:pPr>
    <w:rPr>
      <w:rFonts w:ascii="Calibri" w:hAnsi="Calibri"/>
      <w:snapToGrid/>
    </w:rPr>
  </w:style>
  <w:style w:type="paragraph" w:styleId="Revision">
    <w:name w:val="Revision"/>
    <w:hidden/>
    <w:uiPriority w:val="99"/>
    <w:semiHidden/>
    <w:rsid w:val="00E10BEC"/>
    <w:rPr>
      <w:snapToGrid w:val="0"/>
      <w:kern w:val="28"/>
      <w:sz w:val="22"/>
    </w:rPr>
  </w:style>
  <w:style w:type="character" w:customStyle="1" w:styleId="Heading3Char">
    <w:name w:val="Heading 3 Char"/>
    <w:aliases w:val="3 Char Char,Titre 3 Char Char,1 Char Char,31 Char Char,Titre 31 Char Char,?? 3 Char Char,3 Char1,Titre 3 Char1,1 Char1,31 Char1,Titre 31 Char1,?? 3 Char1,Heading 3 Char1 Char,Heading 3 Char Char Char,Heading 3 Char1 Char Char Char"/>
    <w:link w:val="Heading3"/>
    <w:rsid w:val="0074273E"/>
    <w:rPr>
      <w:b/>
      <w:snapToGrid w:val="0"/>
      <w:kern w:val="28"/>
      <w:sz w:val="22"/>
    </w:rPr>
  </w:style>
  <w:style w:type="character" w:customStyle="1" w:styleId="Heading4Char">
    <w:name w:val="Heading 4 Char"/>
    <w:aliases w:val="Heading 4 Char2 Char,Heading 4 Char1 Char Char,Heading 4 Char Char Char Char,Heading 4 Char Char1 Char,Heading 4 Char1 Char1,Heading 4 Char Char Char1,Heading 4 Char2 Char Char Char,Heading 4 Char1 Char1 Char Char Char"/>
    <w:link w:val="Heading4"/>
    <w:rsid w:val="0074273E"/>
    <w:rPr>
      <w:b/>
      <w:snapToGrid w:val="0"/>
      <w:kern w:val="28"/>
      <w:sz w:val="22"/>
    </w:rPr>
  </w:style>
  <w:style w:type="character" w:customStyle="1" w:styleId="Heading5Char">
    <w:name w:val="Heading 5 Char"/>
    <w:link w:val="Heading5"/>
    <w:rsid w:val="0074273E"/>
    <w:rPr>
      <w:b/>
      <w:snapToGrid w:val="0"/>
      <w:kern w:val="28"/>
      <w:sz w:val="22"/>
    </w:rPr>
  </w:style>
  <w:style w:type="character" w:customStyle="1" w:styleId="Heading6Char">
    <w:name w:val="Heading 6 Char"/>
    <w:aliases w:val="h6 Char"/>
    <w:link w:val="Heading6"/>
    <w:rsid w:val="0074273E"/>
    <w:rPr>
      <w:b/>
      <w:snapToGrid w:val="0"/>
      <w:kern w:val="28"/>
      <w:sz w:val="22"/>
    </w:rPr>
  </w:style>
  <w:style w:type="character" w:customStyle="1" w:styleId="Heading7Char">
    <w:name w:val="Heading 7 Char"/>
    <w:link w:val="Heading7"/>
    <w:rsid w:val="0074273E"/>
    <w:rPr>
      <w:b/>
      <w:snapToGrid w:val="0"/>
      <w:kern w:val="28"/>
      <w:sz w:val="22"/>
    </w:rPr>
  </w:style>
  <w:style w:type="character" w:customStyle="1" w:styleId="Heading8Char">
    <w:name w:val="Heading 8 Char"/>
    <w:link w:val="Heading8"/>
    <w:rsid w:val="0074273E"/>
    <w:rPr>
      <w:b/>
      <w:snapToGrid w:val="0"/>
      <w:kern w:val="28"/>
      <w:sz w:val="22"/>
    </w:rPr>
  </w:style>
  <w:style w:type="character" w:customStyle="1" w:styleId="Heading9Char">
    <w:name w:val="Heading 9 Char"/>
    <w:aliases w:val="Topic Char,table Char,t Char,9 Char,Heading 9.table Char,Titre 9 Char"/>
    <w:link w:val="Heading9"/>
    <w:rsid w:val="0074273E"/>
    <w:rPr>
      <w:b/>
      <w:snapToGrid w:val="0"/>
      <w:kern w:val="28"/>
      <w:sz w:val="22"/>
    </w:rPr>
  </w:style>
  <w:style w:type="character" w:customStyle="1" w:styleId="FootnoteTextChar2">
    <w:name w:val="Footnote Text Char2"/>
    <w:aliases w:val="Footnote Text Char Char2,Footnote Text Char1 Char Char1,Footnote Text Char Char1 Char Char1,Footnote Text Char2 Char1 Char Char Char,Footnote Text Char Char1 Char Char Char1 Char,Footnote Text Char1 Char Char Char1 Char Char Char"/>
    <w:link w:val="FootnoteText"/>
    <w:locked/>
    <w:rsid w:val="0057724E"/>
  </w:style>
  <w:style w:type="character" w:customStyle="1" w:styleId="FootnoteTextChar2Char1">
    <w:name w:val="Footnote Text Char2 Char1"/>
    <w:aliases w:val="Footnote Text Char Char2 Char1,Footnote Text Char2 Char Char Char1,Footnote Text Char1 Char Char Char1 Char1,Footnote Text Char Char Char Char Char1 Char1,Footnote Text Char1 Char Char Char1 Char Char Char1"/>
    <w:basedOn w:val="DefaultParagraphFont"/>
    <w:semiHidden/>
    <w:locked/>
    <w:rsid w:val="0089207D"/>
    <w:rPr>
      <w:lang w:eastAsia="ja-JP"/>
    </w:rPr>
  </w:style>
  <w:style w:type="paragraph" w:customStyle="1" w:styleId="Style1">
    <w:name w:val="Style1"/>
    <w:basedOn w:val="ParaNum"/>
    <w:uiPriority w:val="99"/>
    <w:qFormat/>
    <w:rsid w:val="0039528A"/>
    <w:pPr>
      <w:numPr>
        <w:numId w:val="0"/>
      </w:numPr>
      <w:tabs>
        <w:tab w:val="num" w:pos="360"/>
      </w:tabs>
      <w:ind w:hanging="360"/>
    </w:pPr>
    <w:rPr>
      <w:lang w:val="x-none" w:eastAsia="x-none"/>
    </w:rPr>
  </w:style>
  <w:style w:type="character" w:customStyle="1" w:styleId="apple-style-span">
    <w:name w:val="apple-style-span"/>
    <w:rsid w:val="00D53C80"/>
  </w:style>
  <w:style w:type="character" w:customStyle="1" w:styleId="FootnoteTextChar4Char1Char">
    <w:name w:val="Footnote Text Char4 Char1 Char"/>
    <w:aliases w:val="Footnote Text Char Char4 Char1 Char,Footnote Text Char5 Char1 Char Char Char,Footnote Text Char4 Char1 Char Char1 Char Char,Footnote Text Char Char4 Char1 Char Char Char Char,Footnote Text Char6 Char"/>
    <w:locked/>
    <w:rsid w:val="00357582"/>
  </w:style>
  <w:style w:type="character" w:customStyle="1" w:styleId="CommentTextChar">
    <w:name w:val="Comment Text Char"/>
    <w:basedOn w:val="DefaultParagraphFont"/>
    <w:link w:val="CommentText"/>
    <w:semiHidden/>
    <w:rsid w:val="00EF1901"/>
    <w:rPr>
      <w:snapToGrid w:val="0"/>
      <w:kern w:val="28"/>
    </w:rPr>
  </w:style>
  <w:style w:type="character" w:customStyle="1" w:styleId="HeaderChar">
    <w:name w:val="Header Char"/>
    <w:basedOn w:val="DefaultParagraphFont"/>
    <w:link w:val="Header"/>
    <w:rsid w:val="00A371A5"/>
    <w:rPr>
      <w:b/>
      <w:snapToGrid w:val="0"/>
      <w:kern w:val="28"/>
      <w:sz w:val="22"/>
    </w:rPr>
  </w:style>
  <w:style w:type="paragraph" w:styleId="TOCHeading">
    <w:name w:val="TOC Heading"/>
    <w:basedOn w:val="Heading1"/>
    <w:next w:val="Normal"/>
    <w:uiPriority w:val="39"/>
    <w:semiHidden/>
    <w:unhideWhenUsed/>
    <w:qFormat/>
    <w:rsid w:val="00C21BC6"/>
    <w:pPr>
      <w:keepLines/>
      <w:widowControl/>
      <w:numPr>
        <w:numId w:val="0"/>
      </w:numPr>
      <w:tabs>
        <w:tab w:val="left" w:pos="720"/>
      </w:tabs>
      <w:suppressAutoHyphens w:val="0"/>
      <w:spacing w:before="480" w:after="0" w:line="276" w:lineRule="auto"/>
      <w:outlineLvl w:val="9"/>
    </w:pPr>
    <w:rPr>
      <w:rFonts w:asciiTheme="majorHAnsi" w:eastAsiaTheme="majorEastAsia" w:hAnsiTheme="majorHAnsi" w:cstheme="majorBidi"/>
      <w:bCs/>
      <w:caps w:val="0"/>
      <w:snapToGrid/>
      <w:color w:val="365F91" w:themeColor="accent1" w:themeShade="BF"/>
      <w:kern w:val="0"/>
      <w:sz w:val="28"/>
      <w:szCs w:val="28"/>
      <w:lang w:eastAsia="ja-JP"/>
    </w:rPr>
  </w:style>
  <w:style w:type="paragraph" w:customStyle="1" w:styleId="Body">
    <w:name w:val="Body"/>
    <w:rsid w:val="00E3749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8F"/>
    <w:pPr>
      <w:widowControl w:val="0"/>
    </w:pPr>
    <w:rPr>
      <w:snapToGrid w:val="0"/>
      <w:kern w:val="28"/>
      <w:sz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ParaNum"/>
    <w:link w:val="Heading1Char"/>
    <w:qFormat/>
    <w:rsid w:val="00E40F8F"/>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 Char1,Heading 2 Char Char Char Char,Heading 2 Char1 Char Char1 Char Char,Heading 2 Char Char3 Char Char Char Char,Heading 2 Char1 Char Char Char Char1 Char Char"/>
    <w:basedOn w:val="Normal"/>
    <w:next w:val="ParaNum"/>
    <w:link w:val="Heading2Char"/>
    <w:autoRedefine/>
    <w:qFormat/>
    <w:rsid w:val="00E40F8F"/>
    <w:pPr>
      <w:keepNext/>
      <w:numPr>
        <w:ilvl w:val="1"/>
        <w:numId w:val="2"/>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Heading 3 Char2 Char1 Char Char,Heading 3 Char Char1 Ch"/>
    <w:basedOn w:val="Normal"/>
    <w:next w:val="ParaNum"/>
    <w:link w:val="Heading3Char"/>
    <w:qFormat/>
    <w:rsid w:val="00E40F8F"/>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Heading 4 Char Char1 Char Char"/>
    <w:basedOn w:val="Normal"/>
    <w:next w:val="ParaNum"/>
    <w:link w:val="Heading4Char"/>
    <w:qFormat/>
    <w:rsid w:val="00E40F8F"/>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E40F8F"/>
    <w:pPr>
      <w:keepNext/>
      <w:numPr>
        <w:ilvl w:val="4"/>
        <w:numId w:val="2"/>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E40F8F"/>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E40F8F"/>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E40F8F"/>
    <w:pPr>
      <w:numPr>
        <w:ilvl w:val="7"/>
        <w:numId w:val="2"/>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E40F8F"/>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40F8F"/>
    <w:pPr>
      <w:numPr>
        <w:numId w:val="1"/>
      </w:numPr>
      <w:tabs>
        <w:tab w:val="clear" w:pos="1080"/>
        <w:tab w:val="num" w:pos="1440"/>
      </w:tabs>
      <w:spacing w:after="120"/>
    </w:pPr>
  </w:style>
  <w:style w:type="paragraph" w:styleId="EndnoteText">
    <w:name w:val="endnote text"/>
    <w:basedOn w:val="Normal"/>
    <w:semiHidden/>
    <w:rsid w:val="00E40F8F"/>
    <w:rPr>
      <w:sz w:val="20"/>
    </w:rPr>
  </w:style>
  <w:style w:type="character" w:styleId="EndnoteReference">
    <w:name w:val="endnote reference"/>
    <w:semiHidden/>
    <w:rsid w:val="00E40F8F"/>
    <w:rPr>
      <w:vertAlign w:val="superscript"/>
    </w:rPr>
  </w:style>
  <w:style w:type="paragraph" w:styleId="FootnoteText">
    <w:name w:val="footnote text"/>
    <w:aliases w:val="Footnote Text Char,Footnote Text Char1 Char,Footnote Text Char Char1 Char,Footnote Text Char2 Char1 Char Char,Footnote Text Char Char1 Char Char Char1,Footnote Text Char1 Char Char Char1 Char Char,Footnote Text Char1,fn Char Char,fn Char,f"/>
    <w:link w:val="FootnoteTextChar2"/>
    <w:rsid w:val="00E40F8F"/>
    <w:pPr>
      <w:spacing w:after="120"/>
    </w:pPr>
  </w:style>
  <w:style w:type="character" w:styleId="FootnoteReference">
    <w:name w:val="footnote reference"/>
    <w:aliases w:val="Style 12,(NECG) Footnote Reference,Appel note de bas de p,Style 124,o,fr,Style 3,Style 13,FR,Style 17,Style 6,Footnote Reference/,Style 4,Style 7,Footnote Reference1"/>
    <w:rsid w:val="00E40F8F"/>
    <w:rPr>
      <w:rFonts w:ascii="Times New Roman" w:hAnsi="Times New Roman"/>
      <w:dstrike w:val="0"/>
      <w:color w:val="auto"/>
      <w:sz w:val="20"/>
      <w:vertAlign w:val="superscript"/>
    </w:rPr>
  </w:style>
  <w:style w:type="paragraph" w:styleId="TOC1">
    <w:name w:val="toc 1"/>
    <w:basedOn w:val="Normal"/>
    <w:next w:val="Normal"/>
    <w:rsid w:val="00E40F8F"/>
    <w:pPr>
      <w:tabs>
        <w:tab w:val="left" w:pos="360"/>
        <w:tab w:val="right" w:leader="dot" w:pos="9360"/>
      </w:tabs>
      <w:suppressAutoHyphens/>
      <w:ind w:left="360" w:right="720" w:hanging="360"/>
    </w:pPr>
    <w:rPr>
      <w:caps/>
      <w:noProof/>
    </w:rPr>
  </w:style>
  <w:style w:type="paragraph" w:styleId="TOC2">
    <w:name w:val="toc 2"/>
    <w:basedOn w:val="Normal"/>
    <w:next w:val="Normal"/>
    <w:rsid w:val="00E40F8F"/>
    <w:pPr>
      <w:tabs>
        <w:tab w:val="left" w:pos="720"/>
        <w:tab w:val="right" w:leader="dot" w:pos="9360"/>
      </w:tabs>
      <w:suppressAutoHyphens/>
      <w:ind w:left="720" w:right="720" w:hanging="360"/>
    </w:pPr>
    <w:rPr>
      <w:noProof/>
    </w:rPr>
  </w:style>
  <w:style w:type="paragraph" w:styleId="TOC3">
    <w:name w:val="toc 3"/>
    <w:basedOn w:val="Normal"/>
    <w:next w:val="Normal"/>
    <w:rsid w:val="00E40F8F"/>
    <w:pPr>
      <w:tabs>
        <w:tab w:val="left" w:pos="1080"/>
        <w:tab w:val="right" w:leader="dot" w:pos="9360"/>
      </w:tabs>
      <w:suppressAutoHyphens/>
      <w:ind w:left="1080" w:right="720" w:hanging="360"/>
    </w:pPr>
    <w:rPr>
      <w:noProof/>
    </w:rPr>
  </w:style>
  <w:style w:type="paragraph" w:styleId="TOC4">
    <w:name w:val="toc 4"/>
    <w:basedOn w:val="Normal"/>
    <w:next w:val="Normal"/>
    <w:autoRedefine/>
    <w:rsid w:val="00E40F8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40F8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40F8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40F8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40F8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40F8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40F8F"/>
    <w:pPr>
      <w:tabs>
        <w:tab w:val="right" w:pos="9360"/>
      </w:tabs>
      <w:suppressAutoHyphens/>
    </w:pPr>
  </w:style>
  <w:style w:type="character" w:customStyle="1" w:styleId="EquationCaption">
    <w:name w:val="_Equation Caption"/>
    <w:rsid w:val="00E40F8F"/>
  </w:style>
  <w:style w:type="paragraph" w:styleId="Header">
    <w:name w:val="header"/>
    <w:basedOn w:val="Normal"/>
    <w:link w:val="HeaderChar"/>
    <w:autoRedefine/>
    <w:rsid w:val="00E40F8F"/>
    <w:pPr>
      <w:tabs>
        <w:tab w:val="center" w:pos="4680"/>
        <w:tab w:val="right" w:pos="9360"/>
      </w:tabs>
    </w:pPr>
    <w:rPr>
      <w:b/>
    </w:rPr>
  </w:style>
  <w:style w:type="paragraph" w:styleId="Footer">
    <w:name w:val="footer"/>
    <w:basedOn w:val="Normal"/>
    <w:rsid w:val="00E40F8F"/>
    <w:pPr>
      <w:tabs>
        <w:tab w:val="center" w:pos="4320"/>
        <w:tab w:val="right" w:pos="8640"/>
      </w:tabs>
    </w:pPr>
  </w:style>
  <w:style w:type="character" w:styleId="PageNumber">
    <w:name w:val="page number"/>
    <w:basedOn w:val="DefaultParagraphFont"/>
    <w:rsid w:val="00E40F8F"/>
  </w:style>
  <w:style w:type="paragraph" w:styleId="BlockText">
    <w:name w:val="Block Text"/>
    <w:basedOn w:val="Normal"/>
    <w:rsid w:val="00E40F8F"/>
    <w:pPr>
      <w:spacing w:after="240"/>
      <w:ind w:left="1440" w:right="1440"/>
    </w:pPr>
  </w:style>
  <w:style w:type="paragraph" w:customStyle="1" w:styleId="Paratitle">
    <w:name w:val="Para title"/>
    <w:basedOn w:val="Normal"/>
    <w:rsid w:val="00E40F8F"/>
    <w:pPr>
      <w:tabs>
        <w:tab w:val="center" w:pos="9270"/>
      </w:tabs>
      <w:spacing w:after="240"/>
    </w:pPr>
    <w:rPr>
      <w:spacing w:val="-2"/>
    </w:rPr>
  </w:style>
  <w:style w:type="paragraph" w:customStyle="1" w:styleId="Bullet">
    <w:name w:val="Bullet"/>
    <w:basedOn w:val="Normal"/>
    <w:rsid w:val="00E40F8F"/>
    <w:pPr>
      <w:tabs>
        <w:tab w:val="left" w:pos="2160"/>
      </w:tabs>
      <w:spacing w:after="220"/>
      <w:ind w:left="2160" w:hanging="720"/>
    </w:pPr>
  </w:style>
  <w:style w:type="paragraph" w:customStyle="1" w:styleId="TableFormat">
    <w:name w:val="TableFormat"/>
    <w:basedOn w:val="Bullet"/>
    <w:rsid w:val="00E40F8F"/>
    <w:pPr>
      <w:tabs>
        <w:tab w:val="clear" w:pos="2160"/>
        <w:tab w:val="left" w:pos="5040"/>
      </w:tabs>
      <w:ind w:left="5040" w:hanging="3600"/>
    </w:pPr>
  </w:style>
  <w:style w:type="paragraph" w:customStyle="1" w:styleId="TOCTitle">
    <w:name w:val="TOC Title"/>
    <w:basedOn w:val="Normal"/>
    <w:rsid w:val="00E40F8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40F8F"/>
    <w:pPr>
      <w:jc w:val="center"/>
    </w:pPr>
    <w:rPr>
      <w:rFonts w:ascii="Times New Roman Bold" w:hAnsi="Times New Roman Bold"/>
      <w:b/>
      <w:bCs/>
      <w:caps/>
      <w:szCs w:val="22"/>
    </w:rPr>
  </w:style>
  <w:style w:type="character" w:styleId="Hyperlink">
    <w:name w:val="Hyperlink"/>
    <w:rsid w:val="00E40F8F"/>
    <w:rPr>
      <w:color w:val="0000FF"/>
      <w:u w:val="single"/>
    </w:rPr>
  </w:style>
  <w:style w:type="character" w:styleId="FollowedHyperlink">
    <w:name w:val="FollowedHyperlink"/>
    <w:semiHidden/>
    <w:rsid w:val="008B3CD1"/>
    <w:rPr>
      <w:color w:val="800080"/>
      <w:u w:val="single"/>
    </w:rPr>
  </w:style>
  <w:style w:type="paragraph" w:styleId="BalloonText">
    <w:name w:val="Balloon Text"/>
    <w:basedOn w:val="Normal"/>
    <w:semiHidden/>
    <w:rsid w:val="008B3CD1"/>
    <w:rPr>
      <w:rFonts w:ascii="Tahoma" w:hAnsi="Tahoma" w:cs="Tahoma"/>
      <w:sz w:val="16"/>
      <w:szCs w:val="16"/>
    </w:rPr>
  </w:style>
  <w:style w:type="character" w:customStyle="1" w:styleId="documentbody1">
    <w:name w:val="documentbody1"/>
    <w:rsid w:val="008B3CD1"/>
    <w:rPr>
      <w:rFonts w:ascii="Verdana" w:hAnsi="Verdana" w:hint="default"/>
      <w:sz w:val="19"/>
      <w:szCs w:val="19"/>
    </w:rPr>
  </w:style>
  <w:style w:type="paragraph" w:styleId="PlainText">
    <w:name w:val="Plain Text"/>
    <w:basedOn w:val="Normal"/>
    <w:semiHidden/>
    <w:rsid w:val="008B3CD1"/>
    <w:rPr>
      <w:rFonts w:ascii="Courier New" w:hAnsi="Courier New" w:cs="Courier New"/>
      <w:snapToGrid/>
    </w:rPr>
  </w:style>
  <w:style w:type="paragraph" w:customStyle="1" w:styleId="ParaNumCharCharChar">
    <w:name w:val="ParaNum Char Char Char"/>
    <w:basedOn w:val="Normal"/>
    <w:rsid w:val="008B3CD1"/>
    <w:pPr>
      <w:tabs>
        <w:tab w:val="num" w:pos="360"/>
      </w:tabs>
      <w:spacing w:after="220"/>
      <w:ind w:left="360" w:hanging="360"/>
      <w:jc w:val="both"/>
    </w:pPr>
    <w:rPr>
      <w:rFonts w:eastAsia="SimSun"/>
    </w:rPr>
  </w:style>
  <w:style w:type="paragraph" w:styleId="ListBullet2">
    <w:name w:val="List Bullet 2"/>
    <w:basedOn w:val="Normal"/>
    <w:semiHidden/>
    <w:rsid w:val="008B3CD1"/>
    <w:pPr>
      <w:numPr>
        <w:numId w:val="3"/>
      </w:numPr>
    </w:pPr>
  </w:style>
  <w:style w:type="paragraph" w:styleId="BodyTextIndent">
    <w:name w:val="Body Text Indent"/>
    <w:basedOn w:val="Normal"/>
    <w:semiHidden/>
    <w:rsid w:val="008B3CD1"/>
    <w:pPr>
      <w:ind w:left="720"/>
    </w:pPr>
  </w:style>
  <w:style w:type="character" w:customStyle="1" w:styleId="FootnoteTextCharChar">
    <w:name w:val="Footnote Text Char Char"/>
    <w:aliases w:val="Footnote Text Char1 Char Char,Footnote Text Char Char Char Char,Footnote Text Char1 Char Char Char1 Char,Footnote Text Char Char Char Char Char1 Char,Footnote Text Char2 Char Char Char Char Char1 Char,Footnote Text Char1 Char Cha"/>
    <w:rsid w:val="008B3CD1"/>
    <w:rPr>
      <w:lang w:val="en-US" w:eastAsia="en-US" w:bidi="ar-SA"/>
    </w:rPr>
  </w:style>
  <w:style w:type="paragraph" w:customStyle="1" w:styleId="ParaNumCharChar">
    <w:name w:val="ParaNum Char Char"/>
    <w:basedOn w:val="Normal"/>
    <w:rsid w:val="008B3CD1"/>
    <w:pPr>
      <w:numPr>
        <w:numId w:val="4"/>
      </w:numPr>
      <w:tabs>
        <w:tab w:val="left" w:pos="1440"/>
      </w:tabs>
      <w:spacing w:after="220"/>
      <w:jc w:val="both"/>
    </w:pPr>
    <w:rPr>
      <w:snapToGrid/>
    </w:rPr>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rsid w:val="0074273E"/>
    <w:rPr>
      <w:rFonts w:ascii="Times New Roman Bold" w:hAnsi="Times New Roman Bold"/>
      <w:b/>
      <w:caps/>
      <w:snapToGrid w:val="0"/>
      <w:kern w:val="28"/>
      <w:sz w:val="22"/>
    </w:rPr>
  </w:style>
  <w:style w:type="paragraph" w:styleId="DocumentMap">
    <w:name w:val="Document Map"/>
    <w:basedOn w:val="Normal"/>
    <w:semiHidden/>
    <w:rsid w:val="008B3CD1"/>
    <w:pPr>
      <w:shd w:val="clear" w:color="auto" w:fill="000080"/>
    </w:pPr>
    <w:rPr>
      <w:rFonts w:ascii="Tahoma" w:hAnsi="Tahoma" w:cs="Tahoma"/>
    </w:rPr>
  </w:style>
  <w:style w:type="paragraph" w:customStyle="1" w:styleId="Appendixformat">
    <w:name w:val="Appendix format"/>
    <w:basedOn w:val="Normal"/>
    <w:rsid w:val="008B3CD1"/>
    <w:pPr>
      <w:tabs>
        <w:tab w:val="left" w:pos="1440"/>
      </w:tabs>
      <w:spacing w:after="120"/>
      <w:ind w:left="1440" w:hanging="720"/>
    </w:pPr>
    <w:rPr>
      <w:b/>
    </w:rPr>
  </w:style>
  <w:style w:type="paragraph" w:customStyle="1" w:styleId="Appendixnumber">
    <w:name w:val="Appendix number"/>
    <w:basedOn w:val="Normal"/>
    <w:rsid w:val="008B3CD1"/>
    <w:pPr>
      <w:numPr>
        <w:numId w:val="5"/>
      </w:numPr>
      <w:tabs>
        <w:tab w:val="num" w:pos="1440"/>
      </w:tabs>
      <w:spacing w:after="120"/>
      <w:ind w:left="0" w:firstLine="720"/>
    </w:pPr>
  </w:style>
  <w:style w:type="character" w:customStyle="1" w:styleId="TOC1Char">
    <w:name w:val="TOC 1 Char"/>
    <w:rsid w:val="008B3CD1"/>
    <w:rPr>
      <w:caps/>
      <w:noProof/>
      <w:snapToGrid w:val="0"/>
      <w:kern w:val="28"/>
      <w:sz w:val="22"/>
      <w:lang w:val="en-US" w:eastAsia="en-US" w:bidi="ar-SA"/>
    </w:rPr>
  </w:style>
  <w:style w:type="character" w:styleId="Strong">
    <w:name w:val="Strong"/>
    <w:qFormat/>
    <w:rsid w:val="008B3CD1"/>
    <w:rPr>
      <w:b/>
      <w:bCs/>
    </w:rPr>
  </w:style>
  <w:style w:type="character" w:customStyle="1" w:styleId="FooterChar">
    <w:name w:val="Footer Char"/>
    <w:rsid w:val="008B3CD1"/>
    <w:rPr>
      <w:snapToGrid w:val="0"/>
      <w:kern w:val="28"/>
      <w:sz w:val="22"/>
      <w:lang w:val="en-US" w:eastAsia="en-US" w:bidi="ar-SA"/>
    </w:rPr>
  </w:style>
  <w:style w:type="character" w:customStyle="1" w:styleId="ParaNumChar1">
    <w:name w:val="ParaNum Char1"/>
    <w:rsid w:val="008B3CD1"/>
    <w:rPr>
      <w:snapToGrid w:val="0"/>
      <w:kern w:val="28"/>
      <w:sz w:val="22"/>
      <w:lang w:val="en-US" w:eastAsia="en-US" w:bidi="ar-SA"/>
    </w:rPr>
  </w:style>
  <w:style w:type="character" w:customStyle="1" w:styleId="FootnoteTextCharChar1">
    <w:name w:val="Footnote Text Char Char1"/>
    <w:aliases w:val="Footnote Text Char2 Char2 Char,Footnote Text Char Char1 Char Char,Footnote Text Char2 Char2 Char Char Char,Footnote Text Char Char1 Char Char Char Char,Footnote Text Char1 Char1 Char Char Char Char Char,Footnote Text Char1 Char1"/>
    <w:rsid w:val="008B3CD1"/>
    <w:rPr>
      <w:lang w:val="en-US" w:eastAsia="en-US" w:bidi="ar-SA"/>
    </w:rPr>
  </w:style>
  <w:style w:type="character" w:customStyle="1" w:styleId="ParaNumChar">
    <w:name w:val="ParaNum Char"/>
    <w:rsid w:val="008B3CD1"/>
    <w:rPr>
      <w:snapToGrid w:val="0"/>
      <w:kern w:val="28"/>
      <w:sz w:val="22"/>
      <w:lang w:val="en-US" w:eastAsia="en-US" w:bidi="ar-SA"/>
    </w:rPr>
  </w:style>
  <w:style w:type="character" w:styleId="CommentReference">
    <w:name w:val="annotation reference"/>
    <w:semiHidden/>
    <w:rsid w:val="008B3CD1"/>
    <w:rPr>
      <w:sz w:val="16"/>
      <w:szCs w:val="16"/>
    </w:rPr>
  </w:style>
  <w:style w:type="paragraph" w:styleId="CommentText">
    <w:name w:val="annotation text"/>
    <w:basedOn w:val="Normal"/>
    <w:link w:val="CommentTextChar"/>
    <w:semiHidden/>
    <w:rsid w:val="008B3CD1"/>
  </w:style>
  <w:style w:type="paragraph" w:styleId="CommentSubject">
    <w:name w:val="annotation subject"/>
    <w:basedOn w:val="CommentText"/>
    <w:next w:val="CommentText"/>
    <w:semiHidden/>
    <w:rsid w:val="008B3CD1"/>
    <w:rPr>
      <w:b/>
      <w:bCs/>
    </w:rPr>
  </w:style>
  <w:style w:type="paragraph" w:styleId="Caption">
    <w:name w:val="caption"/>
    <w:basedOn w:val="Normal"/>
    <w:next w:val="Normal"/>
    <w:qFormat/>
    <w:rsid w:val="008B3CD1"/>
    <w:pPr>
      <w:spacing w:before="120" w:after="120"/>
    </w:pPr>
    <w:rPr>
      <w:b/>
      <w:snapToGrid/>
    </w:rPr>
  </w:style>
  <w:style w:type="paragraph" w:styleId="NormalWeb">
    <w:name w:val="Normal (Web)"/>
    <w:basedOn w:val="Normal"/>
    <w:semiHidden/>
    <w:rsid w:val="008B3CD1"/>
    <w:pPr>
      <w:spacing w:before="100" w:beforeAutospacing="1" w:after="100" w:afterAutospacing="1"/>
    </w:pPr>
    <w:rPr>
      <w:snapToGrid/>
    </w:rPr>
  </w:style>
  <w:style w:type="paragraph" w:styleId="HTMLPreformatted">
    <w:name w:val="HTML Preformatted"/>
    <w:basedOn w:val="Normal"/>
    <w:semiHidden/>
    <w:rsid w:val="008B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searchterm2">
    <w:name w:val="searchterm2"/>
    <w:rsid w:val="008B3CD1"/>
    <w:rPr>
      <w:b/>
      <w:bCs/>
      <w:shd w:val="clear" w:color="auto" w:fill="FFFF00"/>
    </w:rPr>
  </w:style>
  <w:style w:type="character" w:customStyle="1" w:styleId="deltaviewinsertion">
    <w:name w:val="deltaviewinsertion"/>
    <w:rsid w:val="008B3CD1"/>
    <w:rPr>
      <w:color w:val="0000FF"/>
      <w:spacing w:val="0"/>
      <w:u w:val="single"/>
    </w:rPr>
  </w:style>
  <w:style w:type="paragraph" w:customStyle="1" w:styleId="paranumcharchar0">
    <w:name w:val="paranumcharchar"/>
    <w:basedOn w:val="Normal"/>
    <w:rsid w:val="008B3CD1"/>
    <w:pPr>
      <w:snapToGrid w:val="0"/>
      <w:spacing w:after="220"/>
      <w:ind w:left="252" w:firstLine="288"/>
    </w:pPr>
    <w:rPr>
      <w:snapToGrid/>
    </w:rPr>
  </w:style>
  <w:style w:type="paragraph" w:customStyle="1" w:styleId="ColorfulList-Accent11">
    <w:name w:val="Colorful List - Accent 11"/>
    <w:basedOn w:val="Normal"/>
    <w:qFormat/>
    <w:rsid w:val="008B3CD1"/>
    <w:pPr>
      <w:ind w:left="720"/>
      <w:contextualSpacing/>
    </w:pPr>
    <w:rPr>
      <w:rFonts w:ascii="Calibri" w:hAnsi="Calibri"/>
      <w:snapToGrid/>
    </w:rPr>
  </w:style>
  <w:style w:type="paragraph" w:styleId="BodyTextIndent2">
    <w:name w:val="Body Text Indent 2"/>
    <w:basedOn w:val="Normal"/>
    <w:semiHidden/>
    <w:rsid w:val="008B3CD1"/>
    <w:pPr>
      <w:spacing w:after="120" w:line="480" w:lineRule="auto"/>
      <w:ind w:left="360"/>
    </w:pPr>
  </w:style>
  <w:style w:type="character" w:styleId="Emphasis">
    <w:name w:val="Emphasis"/>
    <w:qFormat/>
    <w:rsid w:val="008B3CD1"/>
    <w:rPr>
      <w:i/>
      <w:iCs/>
    </w:rPr>
  </w:style>
  <w:style w:type="paragraph" w:customStyle="1" w:styleId="Default">
    <w:name w:val="Default"/>
    <w:rsid w:val="00494E3B"/>
    <w:pPr>
      <w:autoSpaceDE w:val="0"/>
      <w:autoSpaceDN w:val="0"/>
      <w:adjustRightInd w:val="0"/>
    </w:pPr>
    <w:rPr>
      <w:color w:val="000000"/>
      <w:sz w:val="24"/>
      <w:szCs w:val="24"/>
    </w:rPr>
  </w:style>
  <w:style w:type="character" w:customStyle="1" w:styleId="Heading2Char1">
    <w:name w:val="Heading 2 Char1"/>
    <w:rsid w:val="00E04DDA"/>
    <w:rPr>
      <w:b/>
      <w:snapToGrid w:val="0"/>
      <w:kern w:val="28"/>
      <w:sz w:val="22"/>
    </w:rPr>
  </w:style>
  <w:style w:type="character" w:customStyle="1" w:styleId="Heading2Char">
    <w:name w:val="Heading 2 Char"/>
    <w:aliases w:val="h2 Char Char,UNDERRUBRIK 1-2 Char Char,Heading 2 Char Char1 Char,Heading 2 Char Char Char Char Char,Heading 2 Char1 Char Char1 Char Char Char,Heading 2 Char Char3 Char Char Char Char Char"/>
    <w:link w:val="Heading2"/>
    <w:rsid w:val="00C24DDE"/>
    <w:rPr>
      <w:b/>
      <w:snapToGrid w:val="0"/>
      <w:kern w:val="28"/>
      <w:sz w:val="22"/>
    </w:rPr>
  </w:style>
  <w:style w:type="paragraph" w:customStyle="1" w:styleId="ColorfulShading-Accent11">
    <w:name w:val="Colorful Shading - Accent 11"/>
    <w:hidden/>
    <w:uiPriority w:val="99"/>
    <w:semiHidden/>
    <w:rsid w:val="00446A6F"/>
    <w:rPr>
      <w:snapToGrid w:val="0"/>
      <w:kern w:val="28"/>
      <w:sz w:val="22"/>
    </w:rPr>
  </w:style>
  <w:style w:type="paragraph" w:styleId="ListParagraph">
    <w:name w:val="List Paragraph"/>
    <w:basedOn w:val="Normal"/>
    <w:uiPriority w:val="34"/>
    <w:qFormat/>
    <w:rsid w:val="00E10BEC"/>
    <w:pPr>
      <w:ind w:left="720"/>
      <w:contextualSpacing/>
    </w:pPr>
    <w:rPr>
      <w:rFonts w:ascii="Calibri" w:hAnsi="Calibri"/>
      <w:snapToGrid/>
    </w:rPr>
  </w:style>
  <w:style w:type="paragraph" w:styleId="Revision">
    <w:name w:val="Revision"/>
    <w:hidden/>
    <w:uiPriority w:val="99"/>
    <w:semiHidden/>
    <w:rsid w:val="00E10BEC"/>
    <w:rPr>
      <w:snapToGrid w:val="0"/>
      <w:kern w:val="28"/>
      <w:sz w:val="22"/>
    </w:rPr>
  </w:style>
  <w:style w:type="character" w:customStyle="1" w:styleId="Heading3Char">
    <w:name w:val="Heading 3 Char"/>
    <w:aliases w:val="3 Char Char,Titre 3 Char Char,1 Char Char,31 Char Char,Titre 31 Char Char,?? 3 Char Char,3 Char1,Titre 3 Char1,1 Char1,31 Char1,Titre 31 Char1,?? 3 Char1,Heading 3 Char1 Char,Heading 3 Char Char Char,Heading 3 Char1 Char Char Char"/>
    <w:link w:val="Heading3"/>
    <w:rsid w:val="0074273E"/>
    <w:rPr>
      <w:b/>
      <w:snapToGrid w:val="0"/>
      <w:kern w:val="28"/>
      <w:sz w:val="22"/>
    </w:rPr>
  </w:style>
  <w:style w:type="character" w:customStyle="1" w:styleId="Heading4Char">
    <w:name w:val="Heading 4 Char"/>
    <w:aliases w:val="Heading 4 Char2 Char,Heading 4 Char1 Char Char,Heading 4 Char Char Char Char,Heading 4 Char Char1 Char,Heading 4 Char1 Char1,Heading 4 Char Char Char1,Heading 4 Char2 Char Char Char,Heading 4 Char1 Char1 Char Char Char"/>
    <w:link w:val="Heading4"/>
    <w:rsid w:val="0074273E"/>
    <w:rPr>
      <w:b/>
      <w:snapToGrid w:val="0"/>
      <w:kern w:val="28"/>
      <w:sz w:val="22"/>
    </w:rPr>
  </w:style>
  <w:style w:type="character" w:customStyle="1" w:styleId="Heading5Char">
    <w:name w:val="Heading 5 Char"/>
    <w:link w:val="Heading5"/>
    <w:rsid w:val="0074273E"/>
    <w:rPr>
      <w:b/>
      <w:snapToGrid w:val="0"/>
      <w:kern w:val="28"/>
      <w:sz w:val="22"/>
    </w:rPr>
  </w:style>
  <w:style w:type="character" w:customStyle="1" w:styleId="Heading6Char">
    <w:name w:val="Heading 6 Char"/>
    <w:aliases w:val="h6 Char"/>
    <w:link w:val="Heading6"/>
    <w:rsid w:val="0074273E"/>
    <w:rPr>
      <w:b/>
      <w:snapToGrid w:val="0"/>
      <w:kern w:val="28"/>
      <w:sz w:val="22"/>
    </w:rPr>
  </w:style>
  <w:style w:type="character" w:customStyle="1" w:styleId="Heading7Char">
    <w:name w:val="Heading 7 Char"/>
    <w:link w:val="Heading7"/>
    <w:rsid w:val="0074273E"/>
    <w:rPr>
      <w:b/>
      <w:snapToGrid w:val="0"/>
      <w:kern w:val="28"/>
      <w:sz w:val="22"/>
    </w:rPr>
  </w:style>
  <w:style w:type="character" w:customStyle="1" w:styleId="Heading8Char">
    <w:name w:val="Heading 8 Char"/>
    <w:link w:val="Heading8"/>
    <w:rsid w:val="0074273E"/>
    <w:rPr>
      <w:b/>
      <w:snapToGrid w:val="0"/>
      <w:kern w:val="28"/>
      <w:sz w:val="22"/>
    </w:rPr>
  </w:style>
  <w:style w:type="character" w:customStyle="1" w:styleId="Heading9Char">
    <w:name w:val="Heading 9 Char"/>
    <w:aliases w:val="Topic Char,table Char,t Char,9 Char,Heading 9.table Char,Titre 9 Char"/>
    <w:link w:val="Heading9"/>
    <w:rsid w:val="0074273E"/>
    <w:rPr>
      <w:b/>
      <w:snapToGrid w:val="0"/>
      <w:kern w:val="28"/>
      <w:sz w:val="22"/>
    </w:rPr>
  </w:style>
  <w:style w:type="character" w:customStyle="1" w:styleId="FootnoteTextChar2">
    <w:name w:val="Footnote Text Char2"/>
    <w:aliases w:val="Footnote Text Char Char2,Footnote Text Char1 Char Char1,Footnote Text Char Char1 Char Char1,Footnote Text Char2 Char1 Char Char Char,Footnote Text Char Char1 Char Char Char1 Char,Footnote Text Char1 Char Char Char1 Char Char Char"/>
    <w:link w:val="FootnoteText"/>
    <w:locked/>
    <w:rsid w:val="0057724E"/>
  </w:style>
  <w:style w:type="character" w:customStyle="1" w:styleId="FootnoteTextChar2Char1">
    <w:name w:val="Footnote Text Char2 Char1"/>
    <w:aliases w:val="Footnote Text Char Char2 Char1,Footnote Text Char2 Char Char Char1,Footnote Text Char1 Char Char Char1 Char1,Footnote Text Char Char Char Char Char1 Char1,Footnote Text Char1 Char Char Char1 Char Char Char1"/>
    <w:basedOn w:val="DefaultParagraphFont"/>
    <w:semiHidden/>
    <w:locked/>
    <w:rsid w:val="0089207D"/>
    <w:rPr>
      <w:lang w:eastAsia="ja-JP"/>
    </w:rPr>
  </w:style>
  <w:style w:type="paragraph" w:customStyle="1" w:styleId="Style1">
    <w:name w:val="Style1"/>
    <w:basedOn w:val="ParaNum"/>
    <w:uiPriority w:val="99"/>
    <w:qFormat/>
    <w:rsid w:val="0039528A"/>
    <w:pPr>
      <w:numPr>
        <w:numId w:val="0"/>
      </w:numPr>
      <w:tabs>
        <w:tab w:val="num" w:pos="360"/>
      </w:tabs>
      <w:ind w:hanging="360"/>
    </w:pPr>
    <w:rPr>
      <w:lang w:val="x-none" w:eastAsia="x-none"/>
    </w:rPr>
  </w:style>
  <w:style w:type="character" w:customStyle="1" w:styleId="apple-style-span">
    <w:name w:val="apple-style-span"/>
    <w:rsid w:val="00D53C80"/>
  </w:style>
  <w:style w:type="character" w:customStyle="1" w:styleId="FootnoteTextChar4Char1Char">
    <w:name w:val="Footnote Text Char4 Char1 Char"/>
    <w:aliases w:val="Footnote Text Char Char4 Char1 Char,Footnote Text Char5 Char1 Char Char Char,Footnote Text Char4 Char1 Char Char1 Char Char,Footnote Text Char Char4 Char1 Char Char Char Char,Footnote Text Char6 Char"/>
    <w:locked/>
    <w:rsid w:val="00357582"/>
  </w:style>
  <w:style w:type="character" w:customStyle="1" w:styleId="CommentTextChar">
    <w:name w:val="Comment Text Char"/>
    <w:basedOn w:val="DefaultParagraphFont"/>
    <w:link w:val="CommentText"/>
    <w:semiHidden/>
    <w:rsid w:val="00EF1901"/>
    <w:rPr>
      <w:snapToGrid w:val="0"/>
      <w:kern w:val="28"/>
    </w:rPr>
  </w:style>
  <w:style w:type="character" w:customStyle="1" w:styleId="HeaderChar">
    <w:name w:val="Header Char"/>
    <w:basedOn w:val="DefaultParagraphFont"/>
    <w:link w:val="Header"/>
    <w:rsid w:val="00A371A5"/>
    <w:rPr>
      <w:b/>
      <w:snapToGrid w:val="0"/>
      <w:kern w:val="28"/>
      <w:sz w:val="22"/>
    </w:rPr>
  </w:style>
  <w:style w:type="paragraph" w:styleId="TOCHeading">
    <w:name w:val="TOC Heading"/>
    <w:basedOn w:val="Heading1"/>
    <w:next w:val="Normal"/>
    <w:uiPriority w:val="39"/>
    <w:semiHidden/>
    <w:unhideWhenUsed/>
    <w:qFormat/>
    <w:rsid w:val="00C21BC6"/>
    <w:pPr>
      <w:keepLines/>
      <w:widowControl/>
      <w:numPr>
        <w:numId w:val="0"/>
      </w:numPr>
      <w:tabs>
        <w:tab w:val="left" w:pos="720"/>
      </w:tabs>
      <w:suppressAutoHyphens w:val="0"/>
      <w:spacing w:before="480" w:after="0" w:line="276" w:lineRule="auto"/>
      <w:outlineLvl w:val="9"/>
    </w:pPr>
    <w:rPr>
      <w:rFonts w:asciiTheme="majorHAnsi" w:eastAsiaTheme="majorEastAsia" w:hAnsiTheme="majorHAnsi" w:cstheme="majorBidi"/>
      <w:bCs/>
      <w:caps w:val="0"/>
      <w:snapToGrid/>
      <w:color w:val="365F91" w:themeColor="accent1" w:themeShade="BF"/>
      <w:kern w:val="0"/>
      <w:sz w:val="28"/>
      <w:szCs w:val="28"/>
      <w:lang w:eastAsia="ja-JP"/>
    </w:rPr>
  </w:style>
  <w:style w:type="paragraph" w:customStyle="1" w:styleId="Body">
    <w:name w:val="Body"/>
    <w:rsid w:val="00E3749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2209">
      <w:bodyDiv w:val="1"/>
      <w:marLeft w:val="0"/>
      <w:marRight w:val="0"/>
      <w:marTop w:val="0"/>
      <w:marBottom w:val="0"/>
      <w:divBdr>
        <w:top w:val="none" w:sz="0" w:space="0" w:color="auto"/>
        <w:left w:val="none" w:sz="0" w:space="0" w:color="auto"/>
        <w:bottom w:val="none" w:sz="0" w:space="0" w:color="auto"/>
        <w:right w:val="none" w:sz="0" w:space="0" w:color="auto"/>
      </w:divBdr>
    </w:div>
    <w:div w:id="398090916">
      <w:bodyDiv w:val="1"/>
      <w:marLeft w:val="0"/>
      <w:marRight w:val="0"/>
      <w:marTop w:val="0"/>
      <w:marBottom w:val="0"/>
      <w:divBdr>
        <w:top w:val="none" w:sz="0" w:space="0" w:color="auto"/>
        <w:left w:val="none" w:sz="0" w:space="0" w:color="auto"/>
        <w:bottom w:val="none" w:sz="0" w:space="0" w:color="auto"/>
        <w:right w:val="none" w:sz="0" w:space="0" w:color="auto"/>
      </w:divBdr>
      <w:divsChild>
        <w:div w:id="683819633">
          <w:marLeft w:val="0"/>
          <w:marRight w:val="0"/>
          <w:marTop w:val="0"/>
          <w:marBottom w:val="0"/>
          <w:divBdr>
            <w:top w:val="none" w:sz="0" w:space="0" w:color="auto"/>
            <w:left w:val="none" w:sz="0" w:space="0" w:color="auto"/>
            <w:bottom w:val="none" w:sz="0" w:space="0" w:color="auto"/>
            <w:right w:val="none" w:sz="0" w:space="0" w:color="auto"/>
          </w:divBdr>
          <w:divsChild>
            <w:div w:id="701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768">
      <w:bodyDiv w:val="1"/>
      <w:marLeft w:val="0"/>
      <w:marRight w:val="0"/>
      <w:marTop w:val="0"/>
      <w:marBottom w:val="0"/>
      <w:divBdr>
        <w:top w:val="none" w:sz="0" w:space="0" w:color="auto"/>
        <w:left w:val="none" w:sz="0" w:space="0" w:color="auto"/>
        <w:bottom w:val="none" w:sz="0" w:space="0" w:color="auto"/>
        <w:right w:val="none" w:sz="0" w:space="0" w:color="auto"/>
      </w:divBdr>
    </w:div>
    <w:div w:id="658773416">
      <w:bodyDiv w:val="1"/>
      <w:marLeft w:val="0"/>
      <w:marRight w:val="0"/>
      <w:marTop w:val="0"/>
      <w:marBottom w:val="0"/>
      <w:divBdr>
        <w:top w:val="none" w:sz="0" w:space="0" w:color="auto"/>
        <w:left w:val="none" w:sz="0" w:space="0" w:color="auto"/>
        <w:bottom w:val="none" w:sz="0" w:space="0" w:color="auto"/>
        <w:right w:val="none" w:sz="0" w:space="0" w:color="auto"/>
      </w:divBdr>
    </w:div>
    <w:div w:id="1387604770">
      <w:bodyDiv w:val="1"/>
      <w:marLeft w:val="0"/>
      <w:marRight w:val="0"/>
      <w:marTop w:val="0"/>
      <w:marBottom w:val="0"/>
      <w:divBdr>
        <w:top w:val="none" w:sz="0" w:space="0" w:color="auto"/>
        <w:left w:val="none" w:sz="0" w:space="0" w:color="auto"/>
        <w:bottom w:val="none" w:sz="0" w:space="0" w:color="auto"/>
        <w:right w:val="none" w:sz="0" w:space="0" w:color="auto"/>
      </w:divBdr>
    </w:div>
    <w:div w:id="1395930922">
      <w:bodyDiv w:val="1"/>
      <w:marLeft w:val="0"/>
      <w:marRight w:val="0"/>
      <w:marTop w:val="0"/>
      <w:marBottom w:val="0"/>
      <w:divBdr>
        <w:top w:val="none" w:sz="0" w:space="0" w:color="auto"/>
        <w:left w:val="none" w:sz="0" w:space="0" w:color="auto"/>
        <w:bottom w:val="none" w:sz="0" w:space="0" w:color="auto"/>
        <w:right w:val="none" w:sz="0" w:space="0" w:color="auto"/>
      </w:divBdr>
      <w:divsChild>
        <w:div w:id="1785999392">
          <w:marLeft w:val="0"/>
          <w:marRight w:val="0"/>
          <w:marTop w:val="0"/>
          <w:marBottom w:val="0"/>
          <w:divBdr>
            <w:top w:val="none" w:sz="0" w:space="0" w:color="auto"/>
            <w:left w:val="none" w:sz="0" w:space="0" w:color="auto"/>
            <w:bottom w:val="none" w:sz="0" w:space="0" w:color="auto"/>
            <w:right w:val="none" w:sz="0" w:space="0" w:color="auto"/>
          </w:divBdr>
        </w:div>
      </w:divsChild>
    </w:div>
    <w:div w:id="17164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ul.Murray@fcc.gov"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Relationship Id="rId9" Type="http://schemas.openxmlformats.org/officeDocument/2006/relationships/hyperlink" Target="mailto:fcc504@fcc.gov" TargetMode="External"/><Relationship Id="rId10" Type="http://schemas.openxmlformats.org/officeDocument/2006/relationships/hyperlink" Target="mailto:Shaun.Maher@fcc.gov"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census.gov/cgi-bin/sssd/naics/naicsrch?code=334290&amp;search=2012" TargetMode="External"/><Relationship Id="rId12" Type="http://schemas.openxmlformats.org/officeDocument/2006/relationships/hyperlink" Target="http://factfinder2.census.gov/faces/tableservices/jsf/pages/productview.xhtml?pid=ECN_2007_US_31SG3&amp;prodType=table" TargetMode="External"/><Relationship Id="rId13" Type="http://schemas.openxmlformats.org/officeDocument/2006/relationships/hyperlink" Target="http://factfinder.census.gov/servlet/IBQTable?_bm=y&amp;-fds_name=EC0700A1&amp;-geo_id=&amp;-_skip=300&amp;-ds_name=EC0731SG2&amp;-_lang=en" TargetMode="External"/><Relationship Id="rId14" Type="http://schemas.openxmlformats.org/officeDocument/2006/relationships/hyperlink" Target="http://factfinder.census.gov/servlet/IBQTable?_bm=y&amp;-geo_id=&amp;-fds_name=EC0700A1&amp;-_skip=4500&amp;-ds_name=EC0731SG3&amp;-_lang=en" TargetMode="External"/><Relationship Id="rId1" Type="http://schemas.openxmlformats.org/officeDocument/2006/relationships/hyperlink" Target="http://data.fcc.gov/download/incentive-auctions/Simulation_Results/" TargetMode="External"/><Relationship Id="rId2" Type="http://schemas.openxmlformats.org/officeDocument/2006/relationships/hyperlink" Target="http://transition.fcc.gov/Bureaus/Engineering_Technology/Documents/bulletins/oet69/oet69.pdf" TargetMode="External"/><Relationship Id="rId3" Type="http://schemas.openxmlformats.org/officeDocument/2006/relationships/hyperlink" Target="http://www.sba.gov/sites/default/files/FAQ_March_2014_0.pdf" TargetMode="External"/><Relationship Id="rId4" Type="http://schemas.openxmlformats.org/officeDocument/2006/relationships/hyperlink" Target="http://www2.census.gov/govs/cog/g12_org.pdf" TargetMode="External"/><Relationship Id="rId5" Type="http://schemas.openxmlformats.org/officeDocument/2006/relationships/hyperlink" Target="http://www.census.gov/cgi-bin/sssd/naics/naicsrch?code=515120&amp;search=2012" TargetMode="External"/><Relationship Id="rId6" Type="http://schemas.openxmlformats.org/officeDocument/2006/relationships/hyperlink" Target="http://www.census.gov/cgi-bin/sssd/naics/naicsrch?code=515120&amp;search=2012" TargetMode="External"/><Relationship Id="rId7" Type="http://schemas.openxmlformats.org/officeDocument/2006/relationships/hyperlink" Target="http://www.census.gov/cgi-bin/sssd/naics/naicsrch?code=515120&amp;search=2012" TargetMode="External"/><Relationship Id="rId8" Type="http://schemas.openxmlformats.org/officeDocument/2006/relationships/hyperlink" Target="http://wireless.fcc.gov/uls/index.htm?job=home" TargetMode="External"/><Relationship Id="rId9" Type="http://schemas.openxmlformats.org/officeDocument/2006/relationships/hyperlink" Target="http://www.census.gov/cgi-bin/sssd/naics/naicsrch?code=334220&amp;search=2012" TargetMode="External"/><Relationship Id="rId10" Type="http://schemas.openxmlformats.org/officeDocument/2006/relationships/hyperlink" Target="http://factfinder2.census.gov/faces/tableservices/jsf/pages/productview.xhtml?pid=ECN_2007_US_31SG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\Forms\OS Process\Orders TOC by Paragraph.dot</Template>
  <TotalTime>0</TotalTime>
  <Pages>35</Pages>
  <Words>14685</Words>
  <Characters>83711</Characters>
  <Application>Microsoft Macintosh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98200</CharactersWithSpaces>
  <SharedDoc>false</SharedDoc>
  <HyperlinkBase> </HyperlinkBase>
  <HLinks>
    <vt:vector size="6" baseType="variant">
      <vt:variant>
        <vt:i4>7798909</vt:i4>
      </vt:variant>
      <vt:variant>
        <vt:i4>0</vt:i4>
      </vt:variant>
      <vt:variant>
        <vt:i4>0</vt:i4>
      </vt:variant>
      <vt:variant>
        <vt:i4>5</vt:i4>
      </vt:variant>
      <vt:variant>
        <vt:lpwstr>http://download.broadband.gov/plan/national-broadband-plan.pdf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2015-02-04T14:07:00Z</cp:lastPrinted>
  <dcterms:created xsi:type="dcterms:W3CDTF">2015-06-24T16:58:00Z</dcterms:created>
  <dcterms:modified xsi:type="dcterms:W3CDTF">2015-06-24T17:21:00Z</dcterms:modified>
  <cp:category> </cp:category>
  <cp:contentStatus> </cp:contentStatus>
</cp:coreProperties>
</file>