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EB" w:rsidRDefault="005572EB">
      <w:pPr>
        <w:rPr>
          <w:color w:val="000000"/>
          <w:sz w:val="28"/>
          <w:szCs w:val="28"/>
        </w:rPr>
      </w:pPr>
      <w:bookmarkStart w:id="0" w:name="_GoBack"/>
      <w:bookmarkEnd w:id="0"/>
    </w:p>
    <w:p w:rsidR="005572EB" w:rsidRDefault="005572EB">
      <w:pPr>
        <w:rPr>
          <w:color w:val="000000"/>
          <w:sz w:val="28"/>
          <w:szCs w:val="28"/>
        </w:rPr>
      </w:pPr>
    </w:p>
    <w:p w:rsidR="005572EB" w:rsidRDefault="005572EB">
      <w:pPr>
        <w:rPr>
          <w:color w:val="000000"/>
          <w:sz w:val="28"/>
          <w:szCs w:val="28"/>
        </w:rPr>
      </w:pPr>
    </w:p>
    <w:p w:rsidR="005572EB" w:rsidRDefault="00030BB8">
      <w:pPr>
        <w:pStyle w:val="Heading4"/>
      </w:pPr>
      <w:r>
        <w:t>Charter for the 802.18 Radio Regulatory Technical Advisory Group</w:t>
      </w:r>
    </w:p>
    <w:p w:rsidR="005572EB" w:rsidRDefault="00030BB8">
      <w:pPr>
        <w:jc w:val="center"/>
        <w:rPr>
          <w:color w:val="000000"/>
          <w:sz w:val="28"/>
          <w:szCs w:val="28"/>
        </w:rPr>
      </w:pPr>
      <w:r>
        <w:rPr>
          <w:color w:val="000000"/>
          <w:sz w:val="28"/>
          <w:szCs w:val="28"/>
        </w:rPr>
        <w:t>(RR-TAG)</w:t>
      </w:r>
    </w:p>
    <w:p w:rsidR="001B4B4A" w:rsidRDefault="00030BB8">
      <w:pPr>
        <w:jc w:val="center"/>
        <w:rPr>
          <w:color w:val="000000"/>
          <w:sz w:val="28"/>
          <w:szCs w:val="28"/>
        </w:rPr>
      </w:pPr>
      <w:r>
        <w:rPr>
          <w:color w:val="000000"/>
          <w:sz w:val="28"/>
          <w:szCs w:val="28"/>
        </w:rPr>
        <w:t>(</w:t>
      </w:r>
      <w:proofErr w:type="gramStart"/>
      <w:r>
        <w:rPr>
          <w:color w:val="000000"/>
          <w:sz w:val="28"/>
          <w:szCs w:val="28"/>
        </w:rPr>
        <w:t>as</w:t>
      </w:r>
      <w:proofErr w:type="gramEnd"/>
      <w:r>
        <w:rPr>
          <w:color w:val="000000"/>
          <w:sz w:val="28"/>
          <w:szCs w:val="28"/>
        </w:rPr>
        <w:t xml:space="preserve"> approved by the IEEE 802 LMSC SEC, July 2002</w:t>
      </w:r>
    </w:p>
    <w:p w:rsidR="005572EB" w:rsidRDefault="001B4B4A">
      <w:pPr>
        <w:jc w:val="center"/>
        <w:rPr>
          <w:rFonts w:ascii="Arial Unicode MS" w:eastAsia="Arial Unicode MS" w:hAnsi="Arial Unicode MS" w:cs="Arial Unicode MS"/>
          <w:vanish/>
          <w:color w:val="000000"/>
          <w:sz w:val="24"/>
          <w:szCs w:val="24"/>
          <w:lang w:val="en-US"/>
        </w:rPr>
      </w:pPr>
      <w:proofErr w:type="gramStart"/>
      <w:r>
        <w:rPr>
          <w:color w:val="000000"/>
          <w:sz w:val="28"/>
          <w:szCs w:val="28"/>
        </w:rPr>
        <w:t>and</w:t>
      </w:r>
      <w:proofErr w:type="gramEnd"/>
      <w:r>
        <w:rPr>
          <w:color w:val="000000"/>
          <w:sz w:val="28"/>
          <w:szCs w:val="28"/>
        </w:rPr>
        <w:t xml:space="preserve"> reaffirmed by the RR-TAG on May 13, 2014)</w:t>
      </w:r>
    </w:p>
    <w:p w:rsidR="005572EB" w:rsidRDefault="005572EB">
      <w:pPr>
        <w:jc w:val="center"/>
      </w:pPr>
    </w:p>
    <w:p w:rsidR="005572EB" w:rsidRDefault="005572EB"/>
    <w:p w:rsidR="005572EB" w:rsidRDefault="005572EB">
      <w:pPr>
        <w:pStyle w:val="BodyText"/>
      </w:pPr>
    </w:p>
    <w:p w:rsidR="005572EB" w:rsidRDefault="00030BB8">
      <w:pPr>
        <w:pStyle w:val="BodyText"/>
        <w:numPr>
          <w:ilvl w:val="0"/>
          <w:numId w:val="3"/>
        </w:numPr>
      </w:pPr>
      <w:r>
        <w:t>To encourage collaborative participation in the radio regulatory process by members of the RR-TAG including official representatives from the wireless Working Groups</w:t>
      </w:r>
    </w:p>
    <w:p w:rsidR="005572EB" w:rsidRDefault="005572EB">
      <w:pPr>
        <w:pStyle w:val="BodyText"/>
      </w:pPr>
    </w:p>
    <w:p w:rsidR="005572EB" w:rsidRDefault="00030BB8">
      <w:pPr>
        <w:pStyle w:val="BodyText"/>
        <w:numPr>
          <w:ilvl w:val="0"/>
          <w:numId w:val="3"/>
        </w:numPr>
      </w:pPr>
      <w:r>
        <w:t>To monitor the regulatory environment as it may apply to or affect existing IEEE 802 wireless standards or standards in process and advise the wireless Working Groups and the IEEE 802 SEC of issues of interest at their opening plenaries</w:t>
      </w:r>
    </w:p>
    <w:p w:rsidR="005572EB" w:rsidRDefault="005572EB">
      <w:pPr>
        <w:pStyle w:val="BodyText"/>
      </w:pPr>
    </w:p>
    <w:p w:rsidR="005572EB" w:rsidRDefault="00030BB8">
      <w:pPr>
        <w:numPr>
          <w:ilvl w:val="0"/>
          <w:numId w:val="3"/>
        </w:numPr>
        <w:rPr>
          <w:color w:val="000000"/>
          <w:sz w:val="24"/>
          <w:szCs w:val="18"/>
        </w:rPr>
      </w:pPr>
      <w:r>
        <w:rPr>
          <w:color w:val="000000"/>
          <w:sz w:val="24"/>
          <w:szCs w:val="18"/>
        </w:rPr>
        <w:t>To prepare, review, and submit approved</w:t>
      </w:r>
      <w:r>
        <w:rPr>
          <w:rStyle w:val="FootnoteReference"/>
          <w:color w:val="000000"/>
          <w:sz w:val="24"/>
          <w:szCs w:val="18"/>
        </w:rPr>
        <w:footnoteReference w:id="1"/>
      </w:r>
      <w:r>
        <w:rPr>
          <w:color w:val="000000"/>
          <w:sz w:val="24"/>
          <w:szCs w:val="18"/>
        </w:rPr>
        <w:t xml:space="preserve"> radio regulatory documents</w:t>
      </w:r>
      <w:r>
        <w:rPr>
          <w:rStyle w:val="FootnoteReference"/>
          <w:color w:val="000000"/>
          <w:sz w:val="24"/>
          <w:szCs w:val="18"/>
        </w:rPr>
        <w:footnoteReference w:id="2"/>
      </w:r>
      <w:r>
        <w:rPr>
          <w:color w:val="000000"/>
          <w:sz w:val="24"/>
          <w:szCs w:val="18"/>
        </w:rPr>
        <w:t xml:space="preserve"> on behalf of the RR-TAG, the wireless Working Groups, and/or the IEEE 802 SEC that fairly reflect all points of view</w:t>
      </w:r>
    </w:p>
    <w:p w:rsidR="005572EB" w:rsidRDefault="005572EB">
      <w:pPr>
        <w:rPr>
          <w:color w:val="000000"/>
          <w:sz w:val="24"/>
          <w:szCs w:val="18"/>
        </w:rPr>
      </w:pPr>
    </w:p>
    <w:p w:rsidR="005572EB" w:rsidRDefault="00030BB8">
      <w:pPr>
        <w:numPr>
          <w:ilvl w:val="0"/>
          <w:numId w:val="3"/>
        </w:numPr>
        <w:rPr>
          <w:color w:val="000000"/>
          <w:sz w:val="24"/>
          <w:szCs w:val="18"/>
        </w:rPr>
      </w:pPr>
      <w:r>
        <w:rPr>
          <w:color w:val="000000"/>
          <w:sz w:val="24"/>
          <w:szCs w:val="18"/>
        </w:rPr>
        <w:t xml:space="preserve">To serve as the official communications channel between the 802 wireless WGs, any relevant TAGs, and the IEEE 802 SEC and other standards and industry bodies on radio regulatory matters </w:t>
      </w:r>
    </w:p>
    <w:p w:rsidR="005572EB" w:rsidRDefault="005572EB">
      <w:pPr>
        <w:rPr>
          <w:color w:val="000000"/>
          <w:sz w:val="24"/>
          <w:szCs w:val="18"/>
        </w:rPr>
      </w:pPr>
    </w:p>
    <w:p w:rsidR="005572EB" w:rsidRDefault="00030BB8">
      <w:pPr>
        <w:pStyle w:val="BodyTextIndent"/>
      </w:pPr>
      <w:r>
        <w:t>–To liaise and seek cooperative relationships on radio regulatory matters of mutual interest with other standards and industry bodies</w:t>
      </w:r>
    </w:p>
    <w:p w:rsidR="005572EB" w:rsidRDefault="005572EB">
      <w:pPr>
        <w:rPr>
          <w:color w:val="000000"/>
          <w:sz w:val="24"/>
          <w:szCs w:val="18"/>
        </w:rPr>
      </w:pPr>
    </w:p>
    <w:p w:rsidR="005572EB" w:rsidRDefault="00030BB8">
      <w:pPr>
        <w:numPr>
          <w:ilvl w:val="0"/>
          <w:numId w:val="4"/>
        </w:numPr>
        <w:rPr>
          <w:color w:val="000000"/>
          <w:sz w:val="24"/>
          <w:szCs w:val="18"/>
        </w:rPr>
      </w:pPr>
      <w:r>
        <w:rPr>
          <w:color w:val="000000"/>
          <w:sz w:val="24"/>
          <w:szCs w:val="18"/>
        </w:rPr>
        <w:t xml:space="preserve">To serve as the official communications channel between the 802 Wireless WGs, any relevant TAGs, and the IEEE 802 SEC and regulatory agencies and spectrum management bodies on radio regulatory matters </w:t>
      </w:r>
    </w:p>
    <w:p w:rsidR="005572EB" w:rsidRDefault="005572EB">
      <w:pPr>
        <w:rPr>
          <w:color w:val="000000"/>
          <w:sz w:val="24"/>
          <w:szCs w:val="18"/>
        </w:rPr>
      </w:pPr>
    </w:p>
    <w:p w:rsidR="005572EB" w:rsidRDefault="00030BB8">
      <w:pPr>
        <w:pStyle w:val="BodyTextIndent"/>
      </w:pPr>
      <w:r>
        <w:t>–To establish and maintain contacts within, and understand the processes for interaction with, radio regulatory and spectrum management bodies</w:t>
      </w:r>
    </w:p>
    <w:p w:rsidR="005572EB" w:rsidRDefault="005572EB">
      <w:pPr>
        <w:ind w:left="720"/>
        <w:rPr>
          <w:color w:val="000000"/>
          <w:sz w:val="24"/>
          <w:szCs w:val="16"/>
        </w:rPr>
      </w:pPr>
    </w:p>
    <w:p w:rsidR="005572EB" w:rsidRDefault="00030BB8">
      <w:pPr>
        <w:numPr>
          <w:ilvl w:val="0"/>
          <w:numId w:val="4"/>
        </w:numPr>
        <w:rPr>
          <w:color w:val="000000"/>
          <w:sz w:val="24"/>
          <w:szCs w:val="18"/>
        </w:rPr>
      </w:pPr>
      <w:r>
        <w:rPr>
          <w:color w:val="000000"/>
          <w:sz w:val="24"/>
          <w:szCs w:val="18"/>
        </w:rPr>
        <w:t>To liaise on radio regulatory matters with such co-existence groups as may exist in the 802 domain</w:t>
      </w:r>
    </w:p>
    <w:p w:rsidR="005572EB" w:rsidRDefault="005572EB">
      <w:pPr>
        <w:rPr>
          <w:color w:val="000000"/>
          <w:sz w:val="24"/>
          <w:szCs w:val="18"/>
        </w:rPr>
      </w:pPr>
    </w:p>
    <w:p w:rsidR="005572EB" w:rsidRDefault="005572EB">
      <w:pPr>
        <w:rPr>
          <w:color w:val="000000"/>
          <w:sz w:val="24"/>
          <w:szCs w:val="18"/>
        </w:rPr>
      </w:pPr>
    </w:p>
    <w:p w:rsidR="005572EB" w:rsidRDefault="005572EB">
      <w:pPr>
        <w:pStyle w:val="BodyText"/>
      </w:pPr>
    </w:p>
    <w:p w:rsidR="005572EB" w:rsidRDefault="005572EB">
      <w:pPr>
        <w:rPr>
          <w:color w:val="000000"/>
          <w:sz w:val="24"/>
          <w:szCs w:val="18"/>
        </w:rPr>
      </w:pPr>
    </w:p>
    <w:p w:rsidR="005572EB" w:rsidRDefault="005572EB">
      <w:pPr>
        <w:ind w:left="720"/>
        <w:rPr>
          <w:color w:val="000000"/>
          <w:sz w:val="24"/>
          <w:szCs w:val="16"/>
        </w:rPr>
      </w:pPr>
    </w:p>
    <w:p w:rsidR="005572EB" w:rsidRDefault="005572EB">
      <w:pPr>
        <w:rPr>
          <w:color w:val="000000"/>
          <w:sz w:val="24"/>
          <w:szCs w:val="18"/>
        </w:rPr>
      </w:pPr>
    </w:p>
    <w:p w:rsidR="005572EB" w:rsidRDefault="005572EB">
      <w:pPr>
        <w:rPr>
          <w:color w:val="000000"/>
          <w:sz w:val="24"/>
          <w:szCs w:val="18"/>
        </w:rPr>
      </w:pPr>
    </w:p>
    <w:p w:rsidR="005572EB" w:rsidRDefault="005572EB">
      <w:pPr>
        <w:rPr>
          <w:vanish/>
          <w:color w:val="000000"/>
          <w:sz w:val="24"/>
          <w:szCs w:val="24"/>
        </w:rPr>
      </w:pPr>
    </w:p>
    <w:p w:rsidR="00030BB8" w:rsidRDefault="00030BB8">
      <w:pPr>
        <w:rPr>
          <w:sz w:val="24"/>
        </w:rPr>
      </w:pPr>
    </w:p>
    <w:sectPr w:rsidR="00030BB8">
      <w:headerReference w:type="default" r:id="rId7"/>
      <w:footerReference w:type="default" r:id="rId8"/>
      <w:pgSz w:w="12240" w:h="15840" w:code="1"/>
      <w:pgMar w:top="864" w:right="1080" w:bottom="72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4E" w:rsidRDefault="00E4734E">
      <w:r>
        <w:separator/>
      </w:r>
    </w:p>
  </w:endnote>
  <w:endnote w:type="continuationSeparator" w:id="0">
    <w:p w:rsidR="00E4734E" w:rsidRDefault="00E4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EB" w:rsidRDefault="00030BB8">
    <w:pPr>
      <w:pStyle w:val="Footer"/>
    </w:pPr>
    <w:fldSimple w:instr=" SUBJECT  \* MERGEFORMAT ">
      <w:r>
        <w:t>Submission</w:t>
      </w:r>
    </w:fldSimple>
    <w:r>
      <w:tab/>
      <w:t xml:space="preserve">page </w:t>
    </w:r>
    <w:r>
      <w:fldChar w:fldCharType="begin"/>
    </w:r>
    <w:r>
      <w:instrText xml:space="preserve">page </w:instrText>
    </w:r>
    <w:r>
      <w:fldChar w:fldCharType="separate"/>
    </w:r>
    <w:r w:rsidR="00D50357">
      <w:rPr>
        <w:noProof/>
      </w:rPr>
      <w:t>1</w:t>
    </w:r>
    <w:r>
      <w:fldChar w:fldCharType="end"/>
    </w:r>
    <w:r>
      <w:tab/>
    </w:r>
    <w:r>
      <w:fldChar w:fldCharType="begin"/>
    </w:r>
    <w:r>
      <w:instrText xml:space="preserve"> COMMENTS  \* MERGEFORMAT </w:instrText>
    </w:r>
    <w:r>
      <w:fldChar w:fldCharType="separate"/>
    </w:r>
    <w:r>
      <w:t xml:space="preserve">Carl R. Stevenson, </w:t>
    </w:r>
    <w:proofErr w:type="spellStart"/>
    <w:r>
      <w:t>Agere</w:t>
    </w:r>
    <w:proofErr w:type="spellEnd"/>
    <w:r>
      <w:t xml:space="preserve"> Systems</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4E" w:rsidRDefault="00E4734E">
      <w:r>
        <w:separator/>
      </w:r>
    </w:p>
  </w:footnote>
  <w:footnote w:type="continuationSeparator" w:id="0">
    <w:p w:rsidR="00E4734E" w:rsidRDefault="00E4734E">
      <w:r>
        <w:continuationSeparator/>
      </w:r>
    </w:p>
  </w:footnote>
  <w:footnote w:id="1">
    <w:p w:rsidR="005572EB" w:rsidRDefault="00030BB8">
      <w:pPr>
        <w:pStyle w:val="FootnoteText"/>
      </w:pPr>
      <w:r>
        <w:rPr>
          <w:rStyle w:val="FootnoteReference"/>
        </w:rPr>
        <w:footnoteRef/>
      </w:r>
      <w:r>
        <w:t xml:space="preserve"> Approved per RR-TAG, relevant Working Group, and LMSC rules. (</w:t>
      </w:r>
      <w:proofErr w:type="gramStart"/>
      <w:r>
        <w:t>see</w:t>
      </w:r>
      <w:proofErr w:type="gramEnd"/>
      <w:r>
        <w:t xml:space="preserve"> </w:t>
      </w:r>
      <w:hyperlink r:id="rId1" w:history="1">
        <w:r>
          <w:rPr>
            <w:rStyle w:val="Hyperlink"/>
          </w:rPr>
          <w:t>LMSC Rules</w:t>
        </w:r>
      </w:hyperlink>
      <w:r>
        <w:t>, Procedures 3 and 4.)</w:t>
      </w:r>
    </w:p>
  </w:footnote>
  <w:footnote w:id="2">
    <w:p w:rsidR="005572EB" w:rsidRDefault="00030BB8">
      <w:pPr>
        <w:pStyle w:val="FootnoteText"/>
      </w:pPr>
      <w:r>
        <w:rPr>
          <w:rStyle w:val="FootnoteReference"/>
        </w:rPr>
        <w:footnoteRef/>
      </w:r>
      <w:r>
        <w:t xml:space="preserve"> Such documents may include, but are not necessarily limited to comments and reply comments on regulatory matters, responses to public consultations, petitions for rulemaking, petitions for reconsideration, oppositions to petitions, </w:t>
      </w:r>
      <w:proofErr w:type="gramStart"/>
      <w:r>
        <w:t>liaison</w:t>
      </w:r>
      <w:proofErr w:type="gramEnd"/>
      <w:r>
        <w:t xml:space="preserve"> statements to other regulatory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EB" w:rsidRDefault="001B4B4A">
    <w:pPr>
      <w:pStyle w:val="Header"/>
    </w:pPr>
    <w:r>
      <w:t>May 2014</w:t>
    </w:r>
    <w:r w:rsidR="00030BB8">
      <w:tab/>
    </w:r>
    <w:r w:rsidR="00030BB8">
      <w:tab/>
    </w:r>
    <w:fldSimple w:instr=" TITLE  \* MERGEFORMAT ">
      <w:r w:rsidR="00030BB8">
        <w:t>doc.: IEEE 802.18-</w:t>
      </w:r>
      <w:r>
        <w:t>14</w:t>
      </w:r>
      <w:r w:rsidR="00030BB8">
        <w:t>/</w:t>
      </w:r>
      <w:r w:rsidR="00B146A3">
        <w:t>024</w:t>
      </w:r>
      <w:r w:rsidR="00030BB8">
        <w:t>r</w:t>
      </w:r>
    </w:fldSimple>
    <w:r w:rsidR="008E572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87EB6"/>
    <w:multiLevelType w:val="hybridMultilevel"/>
    <w:tmpl w:val="D36EAC1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616B0FB3"/>
    <w:multiLevelType w:val="hybridMultilevel"/>
    <w:tmpl w:val="FC0266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533313"/>
    <w:multiLevelType w:val="hybridMultilevel"/>
    <w:tmpl w:val="42A056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D2D7C6B"/>
    <w:multiLevelType w:val="hybridMultilevel"/>
    <w:tmpl w:val="D8D8974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4A"/>
    <w:rsid w:val="00030BB8"/>
    <w:rsid w:val="001B4B4A"/>
    <w:rsid w:val="001C52F3"/>
    <w:rsid w:val="00220C94"/>
    <w:rsid w:val="005572EB"/>
    <w:rsid w:val="008E5726"/>
    <w:rsid w:val="00B146A3"/>
    <w:rsid w:val="00D50357"/>
    <w:rsid w:val="00E4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9C8C78-557D-4C5E-A19A-6B18A67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1" w:color="auto"/>
      </w:pBdr>
      <w:tabs>
        <w:tab w:val="center" w:pos="4680"/>
        <w:tab w:val="right" w:pos="9360"/>
      </w:tabs>
    </w:pPr>
    <w:rPr>
      <w:sz w:val="24"/>
    </w:rPr>
  </w:style>
  <w:style w:type="paragraph" w:styleId="Header">
    <w:name w:val="header"/>
    <w:basedOn w:val="Normal"/>
    <w:semiHidden/>
    <w:pPr>
      <w:pBdr>
        <w:bottom w:val="single" w:sz="6" w:space="2" w:color="auto"/>
      </w:pBdr>
      <w:tabs>
        <w:tab w:val="center" w:pos="4680"/>
        <w:tab w:val="right" w:pos="93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
    <w:name w:val="Body Text"/>
    <w:basedOn w:val="Normal"/>
    <w:semiHidden/>
    <w:rPr>
      <w:color w:val="000000"/>
      <w:sz w:val="24"/>
      <w:szCs w:val="18"/>
    </w:rPr>
  </w:style>
  <w:style w:type="paragraph" w:customStyle="1" w:styleId="Motionmakers">
    <w:name w:val="Motion makers"/>
    <w:basedOn w:val="Normal"/>
    <w:pPr>
      <w:pBdr>
        <w:top w:val="single" w:sz="4" w:space="1" w:color="auto"/>
      </w:pBdr>
    </w:pPr>
    <w:rPr>
      <w:b/>
    </w:rPr>
  </w:style>
  <w:style w:type="paragraph" w:customStyle="1" w:styleId="Motiontext">
    <w:name w:val="Motion text"/>
    <w:basedOn w:val="Normal"/>
    <w:pPr>
      <w:pBdr>
        <w:top w:val="single" w:sz="4" w:space="1" w:color="auto"/>
        <w:left w:val="single" w:sz="4" w:space="4" w:color="auto"/>
        <w:bottom w:val="single" w:sz="4" w:space="1" w:color="auto"/>
        <w:right w:val="single" w:sz="4" w:space="4" w:color="auto"/>
      </w:pBdr>
    </w:pPr>
    <w:rPr>
      <w:b/>
    </w:rPr>
  </w:style>
  <w:style w:type="paragraph" w:customStyle="1" w:styleId="Motiondiscussion">
    <w:name w:val="Motion discussion"/>
    <w:basedOn w:val="Normal"/>
    <w:next w:val="Normal"/>
    <w:pPr>
      <w:ind w:left="170"/>
    </w:pPr>
  </w:style>
  <w:style w:type="paragraph" w:customStyle="1" w:styleId="Motionresult">
    <w:name w:val="Motion result"/>
    <w:basedOn w:val="Normal"/>
    <w:next w:val="Normal"/>
    <w:pPr>
      <w:pBdr>
        <w:bottom w:val="single" w:sz="4" w:space="1" w:color="auto"/>
      </w:pBdr>
    </w:pPr>
    <w:rPr>
      <w:b/>
    </w:rPr>
  </w:style>
  <w:style w:type="paragraph" w:styleId="BodyTextIndent">
    <w:name w:val="Body Text Indent"/>
    <w:basedOn w:val="Normal"/>
    <w:semiHidden/>
    <w:pPr>
      <w:ind w:left="720"/>
    </w:pPr>
    <w:rPr>
      <w:color w:val="000000"/>
      <w:sz w:val="24"/>
      <w:szCs w:val="16"/>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eee802.or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stevenson.NA04\Application%20Data\Microsoft\Templates\802.18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802.18_doc.dot</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doc.: IEEE 802.18-02/012r1</vt:lpstr>
    </vt:vector>
  </TitlesOfParts>
  <Company>Agere Systems</Company>
  <LinksUpToDate>false</LinksUpToDate>
  <CharactersWithSpaces>1542</CharactersWithSpaces>
  <SharedDoc>false</SharedDoc>
  <HLinks>
    <vt:vector size="6" baseType="variant">
      <vt:variant>
        <vt:i4>6160400</vt:i4>
      </vt:variant>
      <vt:variant>
        <vt:i4>0</vt:i4>
      </vt:variant>
      <vt:variant>
        <vt:i4>0</vt:i4>
      </vt:variant>
      <vt:variant>
        <vt:i4>5</vt:i4>
      </vt:variant>
      <vt:variant>
        <vt:lpwstr>http://ieee802.org/rules.pdf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802.18-14/0024r0</dc:title>
  <dc:subject>Submission</dc:subject>
  <dc:creator>Carl R. Stevenson</dc:creator>
  <cp:keywords>May 2014</cp:keywords>
  <dc:description>_</dc:description>
  <cp:lastModifiedBy>Holcomb, Jay</cp:lastModifiedBy>
  <cp:revision>3</cp:revision>
  <cp:lastPrinted>2014-05-13T16:50:00Z</cp:lastPrinted>
  <dcterms:created xsi:type="dcterms:W3CDTF">2014-05-13T18:39:00Z</dcterms:created>
  <dcterms:modified xsi:type="dcterms:W3CDTF">2014-05-13T18:41:00Z</dcterms:modified>
</cp:coreProperties>
</file>