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74403A" w:rsidP="0074403A">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74403A" w:rsidRPr="00587B13" w:rsidRDefault="00AC703B" w:rsidP="00343150">
            <w:pPr>
              <w:shd w:val="solid" w:color="FFFFFF" w:fill="FFFFFF"/>
              <w:tabs>
                <w:tab w:val="clear" w:pos="1134"/>
                <w:tab w:val="clear" w:pos="1871"/>
                <w:tab w:val="clear" w:pos="2268"/>
              </w:tabs>
              <w:spacing w:before="0" w:after="120"/>
              <w:ind w:left="1134" w:hanging="1134"/>
              <w:rPr>
                <w:rFonts w:ascii="Verdana" w:hAnsi="Verdana"/>
                <w:sz w:val="20"/>
                <w:lang w:val="fr-CH"/>
              </w:rPr>
            </w:pPr>
            <w:bookmarkStart w:id="1" w:name="recibido"/>
            <w:bookmarkStart w:id="2" w:name="dnum" w:colFirst="1" w:colLast="1"/>
            <w:bookmarkEnd w:id="1"/>
            <w:r w:rsidRPr="00587B13">
              <w:rPr>
                <w:rFonts w:ascii="Verdana" w:hAnsi="Verdana"/>
                <w:sz w:val="20"/>
                <w:lang w:val="fr-CH"/>
              </w:rPr>
              <w:t>Source</w:t>
            </w:r>
            <w:r w:rsidR="0074403A" w:rsidRPr="00587B13">
              <w:rPr>
                <w:rFonts w:ascii="Verdana" w:hAnsi="Verdana"/>
                <w:sz w:val="20"/>
                <w:lang w:val="fr-CH"/>
              </w:rPr>
              <w:t>:</w:t>
            </w:r>
            <w:r w:rsidR="0074403A" w:rsidRPr="00587B13">
              <w:rPr>
                <w:rFonts w:ascii="Verdana" w:hAnsi="Verdana"/>
                <w:sz w:val="20"/>
                <w:lang w:val="fr-CH"/>
              </w:rPr>
              <w:tab/>
            </w:r>
            <w:r w:rsidR="002744D8" w:rsidRPr="002744D8">
              <w:rPr>
                <w:rFonts w:ascii="Verdana" w:hAnsi="Verdana"/>
                <w:bCs/>
                <w:sz w:val="20"/>
                <w:lang w:val="en-US" w:eastAsia="zh-CN"/>
              </w:rPr>
              <w:t>Document 6A/TEMP/151</w:t>
            </w:r>
          </w:p>
        </w:tc>
        <w:tc>
          <w:tcPr>
            <w:tcW w:w="3451" w:type="dxa"/>
          </w:tcPr>
          <w:p w:rsidR="000069D4" w:rsidRPr="0074403A" w:rsidRDefault="002744D8" w:rsidP="002744D8">
            <w:pPr>
              <w:shd w:val="solid" w:color="FFFFFF" w:fill="FFFFFF"/>
              <w:spacing w:before="0" w:line="240" w:lineRule="atLeast"/>
              <w:rPr>
                <w:rFonts w:ascii="Verdana" w:hAnsi="Verdana"/>
                <w:sz w:val="20"/>
                <w:lang w:eastAsia="zh-CN"/>
              </w:rPr>
            </w:pPr>
            <w:r>
              <w:rPr>
                <w:rFonts w:ascii="Verdana" w:hAnsi="Verdana"/>
                <w:b/>
                <w:sz w:val="20"/>
                <w:lang w:eastAsia="zh-CN"/>
              </w:rPr>
              <w:t xml:space="preserve">Annex 14 to </w:t>
            </w:r>
            <w:r>
              <w:rPr>
                <w:rFonts w:ascii="Verdana" w:hAnsi="Verdana"/>
                <w:b/>
                <w:sz w:val="20"/>
                <w:lang w:eastAsia="zh-CN"/>
              </w:rPr>
              <w:br/>
              <w:t>Document 6A/360-E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74403A" w:rsidRDefault="002744D8" w:rsidP="000D0DEC">
            <w:pPr>
              <w:shd w:val="solid" w:color="FFFFFF" w:fill="FFFFFF"/>
              <w:spacing w:before="0" w:line="240" w:lineRule="atLeast"/>
              <w:rPr>
                <w:rFonts w:ascii="Verdana" w:hAnsi="Verdana"/>
                <w:sz w:val="20"/>
                <w:lang w:eastAsia="zh-CN"/>
              </w:rPr>
            </w:pPr>
            <w:r>
              <w:rPr>
                <w:rFonts w:ascii="Verdana" w:hAnsi="Verdana"/>
                <w:b/>
                <w:sz w:val="20"/>
                <w:lang w:eastAsia="zh-CN"/>
              </w:rPr>
              <w:t>10 December 2013</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74403A" w:rsidRDefault="0074403A"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9000C9" w:rsidRPr="009000C9" w:rsidRDefault="002744D8" w:rsidP="002744D8">
            <w:pPr>
              <w:pStyle w:val="Source"/>
              <w:spacing w:before="720"/>
              <w:rPr>
                <w:lang w:eastAsia="zh-CN"/>
              </w:rPr>
            </w:pPr>
            <w:bookmarkStart w:id="5" w:name="dsource" w:colFirst="0" w:colLast="0"/>
            <w:bookmarkEnd w:id="4"/>
            <w:r w:rsidRPr="005B75E1">
              <w:rPr>
                <w:lang w:eastAsia="ko-KR"/>
              </w:rPr>
              <w:t xml:space="preserve">Annex </w:t>
            </w:r>
            <w:r>
              <w:rPr>
                <w:lang w:eastAsia="ko-KR"/>
              </w:rPr>
              <w:t>14</w:t>
            </w:r>
            <w:r w:rsidRPr="005B75E1">
              <w:rPr>
                <w:lang w:eastAsia="ko-KR"/>
              </w:rPr>
              <w:t xml:space="preserve"> to</w:t>
            </w:r>
            <w:r>
              <w:rPr>
                <w:rFonts w:ascii="Verdana" w:hAnsi="Verdana"/>
                <w:sz w:val="20"/>
                <w:lang w:eastAsia="zh-CN"/>
              </w:rPr>
              <w:t xml:space="preserve"> </w:t>
            </w:r>
            <w:r>
              <w:rPr>
                <w:lang w:eastAsia="ko-KR"/>
              </w:rPr>
              <w:t>Working Party 6A Chairman's Report</w:t>
            </w:r>
          </w:p>
        </w:tc>
      </w:tr>
      <w:tr w:rsidR="007C2A48" w:rsidTr="005E4667">
        <w:trPr>
          <w:cantSplit/>
        </w:trPr>
        <w:tc>
          <w:tcPr>
            <w:tcW w:w="10031" w:type="dxa"/>
            <w:gridSpan w:val="2"/>
          </w:tcPr>
          <w:p w:rsidR="007C2A48" w:rsidRPr="00920101" w:rsidRDefault="007C2A48" w:rsidP="00343150">
            <w:pPr>
              <w:pStyle w:val="RepNo"/>
              <w:spacing w:before="360"/>
            </w:pPr>
            <w:bookmarkStart w:id="6" w:name="drec" w:colFirst="0" w:colLast="0"/>
            <w:bookmarkStart w:id="7" w:name="_GoBack" w:colFirst="0" w:colLast="0"/>
            <w:bookmarkEnd w:id="5"/>
            <w:r>
              <w:t xml:space="preserve">Working Document towards a preliminary draft </w:t>
            </w:r>
            <w:r w:rsidR="00D10A0E">
              <w:br/>
            </w:r>
            <w:r>
              <w:t>new report</w:t>
            </w:r>
            <w:r w:rsidR="00D10A0E">
              <w:t xml:space="preserve"> ITU-R BT.</w:t>
            </w:r>
            <w:r w:rsidR="00DF7C44">
              <w:t>[CRS_BS_BANDS]</w:t>
            </w:r>
          </w:p>
        </w:tc>
      </w:tr>
      <w:tr w:rsidR="007C2A48" w:rsidTr="005E4667">
        <w:trPr>
          <w:cantSplit/>
        </w:trPr>
        <w:tc>
          <w:tcPr>
            <w:tcW w:w="10031" w:type="dxa"/>
            <w:gridSpan w:val="2"/>
          </w:tcPr>
          <w:p w:rsidR="007C2A48" w:rsidRDefault="00D10A0E" w:rsidP="00796C88">
            <w:pPr>
              <w:pStyle w:val="Reptitle"/>
              <w:rPr>
                <w:lang w:eastAsia="zh-CN"/>
              </w:rPr>
            </w:pPr>
            <w:bookmarkStart w:id="8" w:name="dtitle1" w:colFirst="0" w:colLast="0"/>
            <w:bookmarkEnd w:id="6"/>
            <w:r>
              <w:t>Compatibility issues and national approa</w:t>
            </w:r>
            <w:r w:rsidR="00343150">
              <w:t>c</w:t>
            </w:r>
            <w:r>
              <w:t xml:space="preserve">hes related to introduction of </w:t>
            </w:r>
            <w:r w:rsidR="00796C88" w:rsidRPr="007E58C4">
              <w:t>C</w:t>
            </w:r>
            <w:r w:rsidRPr="007E58C4">
              <w:t xml:space="preserve">ognitive </w:t>
            </w:r>
            <w:r w:rsidR="00796C88">
              <w:t>R</w:t>
            </w:r>
            <w:r w:rsidRPr="007E58C4">
              <w:t xml:space="preserve">adio </w:t>
            </w:r>
            <w:r w:rsidR="00796C88">
              <w:t>S</w:t>
            </w:r>
            <w:r w:rsidRPr="007E58C4">
              <w:t xml:space="preserve">ystems </w:t>
            </w:r>
            <w:r>
              <w:t>within frequency bands used by terrestrial broadcasting services</w:t>
            </w:r>
          </w:p>
        </w:tc>
      </w:tr>
    </w:tbl>
    <w:p w:rsidR="007C2A48" w:rsidRPr="00AA5EEC" w:rsidRDefault="00D10A0E" w:rsidP="00343150">
      <w:pPr>
        <w:pStyle w:val="Heading1"/>
        <w:spacing w:before="480"/>
      </w:pPr>
      <w:bookmarkStart w:id="9" w:name="dbreak"/>
      <w:bookmarkEnd w:id="8"/>
      <w:bookmarkEnd w:id="9"/>
      <w:bookmarkEnd w:id="7"/>
      <w:r>
        <w:t>1</w:t>
      </w:r>
      <w:r>
        <w:tab/>
      </w:r>
      <w:r w:rsidR="007C2A48" w:rsidRPr="00AA5EEC">
        <w:t>Introduction</w:t>
      </w:r>
    </w:p>
    <w:p w:rsidR="007C2A48" w:rsidRDefault="007C2A48" w:rsidP="00D10A0E">
      <w:pPr>
        <w:rPr>
          <w:lang w:val="en-US" w:eastAsia="zh-CN"/>
        </w:rPr>
      </w:pPr>
      <w:r>
        <w:rPr>
          <w:lang w:val="en-US" w:eastAsia="zh-CN"/>
        </w:rPr>
        <w:t xml:space="preserve">A number of countries have recently introduced or considering the introduction of Cognitive </w:t>
      </w:r>
      <w:r w:rsidR="000A453C">
        <w:rPr>
          <w:lang w:val="en-US" w:eastAsia="zh-CN"/>
        </w:rPr>
        <w:t>R</w:t>
      </w:r>
      <w:r>
        <w:rPr>
          <w:lang w:val="en-US" w:eastAsia="zh-CN"/>
        </w:rPr>
        <w:t xml:space="preserve">adio </w:t>
      </w:r>
      <w:r w:rsidR="000A453C">
        <w:rPr>
          <w:lang w:val="en-US" w:eastAsia="zh-CN"/>
        </w:rPr>
        <w:t>S</w:t>
      </w:r>
      <w:r>
        <w:rPr>
          <w:lang w:val="en-US" w:eastAsia="zh-CN"/>
        </w:rPr>
        <w:t>ystems (CRS) within frequency bands, allo</w:t>
      </w:r>
      <w:r w:rsidR="00036D72">
        <w:rPr>
          <w:lang w:val="en-US" w:eastAsia="zh-CN"/>
        </w:rPr>
        <w:t>cated to Broadcasting Service.</w:t>
      </w:r>
    </w:p>
    <w:p w:rsidR="007C2A48" w:rsidRDefault="007C2A48" w:rsidP="00D10A0E">
      <w:r>
        <w:t>Devices applying cognitive radio techniques are seeking to use currently available spectrum using either sensing of its environment or via device management within specifications of a national database.</w:t>
      </w:r>
      <w:r w:rsidRPr="003B3A06">
        <w:t xml:space="preserve"> </w:t>
      </w:r>
      <w:r>
        <w:t>CRS are techniques that can be applied to many applications and radio systems and do not have or require the definition of a se</w:t>
      </w:r>
      <w:r w:rsidR="00036D72">
        <w:t>rvice in the Radio Regulations.</w:t>
      </w:r>
    </w:p>
    <w:p w:rsidR="007C2A48" w:rsidRDefault="007C2A48" w:rsidP="00343150">
      <w:r>
        <w:t>The definitions of</w:t>
      </w:r>
      <w:r>
        <w:rPr>
          <w:lang w:val="en-US" w:eastAsia="zh-CN"/>
        </w:rPr>
        <w:t xml:space="preserve"> Cognitive radio system and Software-defined radio given in </w:t>
      </w:r>
      <w:r>
        <w:t xml:space="preserve">Report </w:t>
      </w:r>
      <w:r w:rsidR="00036D72">
        <w:br/>
      </w:r>
      <w:r w:rsidR="00343150">
        <w:t xml:space="preserve">ITU-R </w:t>
      </w:r>
      <w:hyperlink r:id="rId10" w:history="1">
        <w:r w:rsidRPr="00343150">
          <w:rPr>
            <w:rStyle w:val="Hyperlink"/>
            <w:u w:val="single"/>
          </w:rPr>
          <w:t>SM.2152</w:t>
        </w:r>
      </w:hyperlink>
      <w:r w:rsidR="00036D72">
        <w:t>.</w:t>
      </w:r>
    </w:p>
    <w:p w:rsidR="007C2A48" w:rsidRPr="00DC1C85" w:rsidRDefault="007C2A48" w:rsidP="00D10A0E">
      <w:r w:rsidRPr="00DC1C85">
        <w:t>“</w:t>
      </w:r>
      <w:r w:rsidRPr="00DC1C85">
        <w:rPr>
          <w:i/>
          <w:iCs/>
        </w:rPr>
        <w:t>Cognitive radio system (CRS)</w:t>
      </w:r>
      <w:r w:rsidRPr="00DC1C85">
        <w:t>: A radio system employing technology that allows the system to obtain knowledge of its operational and geographical environment, established policies and its internal state; to dynamically and autonomously adjust its operational parameters and protocols according to its obtained knowledge in order to achieve predefined objectives; and to learn from the results obtained.”</w:t>
      </w:r>
    </w:p>
    <w:p w:rsidR="007C2A48" w:rsidRDefault="007C2A48" w:rsidP="00D10A0E">
      <w:pPr>
        <w:rPr>
          <w:lang w:val="en-US" w:eastAsia="zh-CN"/>
        </w:rPr>
      </w:pPr>
      <w:r>
        <w:t xml:space="preserve">Practical application of cognitive technique requires that implementing radio system could have at least some capabilities of </w:t>
      </w:r>
      <w:r w:rsidR="00036D72">
        <w:rPr>
          <w:lang w:val="en-US" w:eastAsia="zh-CN"/>
        </w:rPr>
        <w:t>software-defined radio.</w:t>
      </w:r>
    </w:p>
    <w:p w:rsidR="007C2A48" w:rsidRDefault="007C2A48" w:rsidP="00D10A0E">
      <w:r w:rsidRPr="007D2BB8">
        <w:t>“</w:t>
      </w:r>
      <w:r w:rsidRPr="0006299D">
        <w:rPr>
          <w:i/>
          <w:iCs/>
        </w:rPr>
        <w:t>Software-defined radio (SDR)</w:t>
      </w:r>
      <w:r w:rsidRPr="007D2BB8">
        <w:t>:</w:t>
      </w:r>
      <w:r w:rsidRPr="001B05CA">
        <w:t xml:space="preserve"> A radio transmitter and/or receiver employing a technology that allows the RF operating parameters including, but not limited to, frequency range, modulation type, or output power to be set or altered by software, excluding changes to operating parameters which occur during the normal pre-installed and predetermined operation of a radio according to a system specification or standard</w:t>
      </w:r>
      <w:r>
        <w:t>.</w:t>
      </w:r>
      <w:r w:rsidRPr="001B05CA">
        <w:t>”</w:t>
      </w:r>
    </w:p>
    <w:p w:rsidR="007C2A48" w:rsidRDefault="007C2A48" w:rsidP="00D10A0E">
      <w:r w:rsidRPr="00E45886">
        <w:t>Working Party 6A is concerned with the protection of the broadcasting service from interference, particularly from unlicensed users of the broadcasting spectrum. Applications, which do not have a defined frequency allocation in the RRs, must not cause any interference or claim protection from the services which are in t</w:t>
      </w:r>
      <w:r w:rsidR="00036D72">
        <w:t>he same band or adjacent bands.</w:t>
      </w:r>
    </w:p>
    <w:p w:rsidR="00343150" w:rsidRDefault="00343150">
      <w:pPr>
        <w:tabs>
          <w:tab w:val="clear" w:pos="1134"/>
          <w:tab w:val="clear" w:pos="1871"/>
          <w:tab w:val="clear" w:pos="2268"/>
        </w:tabs>
        <w:overflowPunct/>
        <w:autoSpaceDE/>
        <w:autoSpaceDN/>
        <w:adjustRightInd/>
        <w:spacing w:before="0"/>
        <w:textAlignment w:val="auto"/>
        <w:rPr>
          <w:szCs w:val="24"/>
        </w:rPr>
      </w:pPr>
      <w:r>
        <w:rPr>
          <w:szCs w:val="24"/>
        </w:rPr>
        <w:br w:type="page"/>
      </w:r>
    </w:p>
    <w:p w:rsidR="007C2A48" w:rsidRPr="001C48EB" w:rsidRDefault="007C2A48" w:rsidP="00D10A0E">
      <w:pPr>
        <w:rPr>
          <w:szCs w:val="24"/>
        </w:rPr>
      </w:pPr>
      <w:r>
        <w:rPr>
          <w:szCs w:val="24"/>
        </w:rPr>
        <w:lastRenderedPageBreak/>
        <w:t>CRS may operate using a part of the spectrum, which is currently available for it application (service, system) at a given time in a given geographical area on a non-interfering / non protected basis with regard to primary services and other services with a higher priority on a national basis. Therefore</w:t>
      </w:r>
      <w:r>
        <w:t>,</w:t>
      </w:r>
      <w:r>
        <w:rPr>
          <w:szCs w:val="24"/>
        </w:rPr>
        <w:t xml:space="preserve"> extent of </w:t>
      </w:r>
      <w:r w:rsidRPr="002206D3">
        <w:t xml:space="preserve">cognitive systems </w:t>
      </w:r>
      <w:r>
        <w:rPr>
          <w:szCs w:val="24"/>
        </w:rPr>
        <w:t>implementation</w:t>
      </w:r>
      <w:r w:rsidRPr="002206D3">
        <w:t xml:space="preserve"> will </w:t>
      </w:r>
      <w:r>
        <w:t>be determined</w:t>
      </w:r>
      <w:r w:rsidRPr="002206D3">
        <w:t xml:space="preserve"> </w:t>
      </w:r>
      <w:r>
        <w:t xml:space="preserve">by </w:t>
      </w:r>
      <w:r w:rsidRPr="002206D3">
        <w:t xml:space="preserve">the presence of available frequency spectrum and </w:t>
      </w:r>
      <w:r>
        <w:t>will depend from</w:t>
      </w:r>
      <w:r w:rsidRPr="002206D3">
        <w:t xml:space="preserve"> the technical parameters </w:t>
      </w:r>
      <w:r>
        <w:t>necessary for</w:t>
      </w:r>
      <w:r w:rsidRPr="002206D3">
        <w:t xml:space="preserve"> </w:t>
      </w:r>
      <w:r>
        <w:t xml:space="preserve">such </w:t>
      </w:r>
      <w:r w:rsidRPr="002206D3">
        <w:t>cognitive systems</w:t>
      </w:r>
      <w:r>
        <w:t xml:space="preserve"> to operate</w:t>
      </w:r>
      <w:r w:rsidRPr="002206D3">
        <w:t>.</w:t>
      </w:r>
    </w:p>
    <w:p w:rsidR="007C2A48" w:rsidRPr="00DD68DA" w:rsidRDefault="007C2A48" w:rsidP="007C2A48">
      <w:pPr>
        <w:rPr>
          <w:szCs w:val="24"/>
          <w:lang w:val="en-US"/>
        </w:rPr>
      </w:pPr>
      <w:r>
        <w:rPr>
          <w:szCs w:val="24"/>
        </w:rPr>
        <w:t>The potential impact of</w:t>
      </w:r>
      <w:r>
        <w:rPr>
          <w:szCs w:val="24"/>
          <w:lang w:val="en-US"/>
        </w:rPr>
        <w:t>:</w:t>
      </w:r>
    </w:p>
    <w:p w:rsidR="007C2A48" w:rsidRPr="00694CDA" w:rsidRDefault="00036D72" w:rsidP="00036D72">
      <w:pPr>
        <w:pStyle w:val="enumlev1"/>
      </w:pPr>
      <w:r>
        <w:t>–</w:t>
      </w:r>
      <w:r>
        <w:tab/>
      </w:r>
      <w:r w:rsidR="007C2A48" w:rsidRPr="00694CDA">
        <w:t xml:space="preserve">CRS cross-border emissions affecting national </w:t>
      </w:r>
      <w:r w:rsidR="007C2A48">
        <w:t xml:space="preserve">frequency </w:t>
      </w:r>
      <w:r w:rsidR="007C2A48" w:rsidRPr="00694CDA">
        <w:t>assignments</w:t>
      </w:r>
      <w:r w:rsidR="00343150">
        <w:rPr>
          <w:lang w:val="en-US"/>
        </w:rPr>
        <w:t>;</w:t>
      </w:r>
    </w:p>
    <w:p w:rsidR="007C2A48" w:rsidRPr="00694CDA" w:rsidRDefault="00036D72" w:rsidP="00036D72">
      <w:pPr>
        <w:pStyle w:val="enumlev1"/>
      </w:pPr>
      <w:r>
        <w:t>–</w:t>
      </w:r>
      <w:r>
        <w:tab/>
      </w:r>
      <w:r w:rsidR="007C2A48" w:rsidRPr="00694CDA">
        <w:t>CRS to become ubiquitous or have a global roaming</w:t>
      </w:r>
      <w:r w:rsidR="00343150">
        <w:t>;</w:t>
      </w:r>
    </w:p>
    <w:p w:rsidR="007C2A48" w:rsidRDefault="007C2A48" w:rsidP="00D10A0E">
      <w:r>
        <w:t>should also be considered.</w:t>
      </w:r>
    </w:p>
    <w:p w:rsidR="00AB1302" w:rsidRPr="00AA5EEC" w:rsidRDefault="00D10A0E" w:rsidP="00D10A0E">
      <w:pPr>
        <w:pStyle w:val="Heading1"/>
        <w:rPr>
          <w:lang w:val="en-AU"/>
        </w:rPr>
      </w:pPr>
      <w:r>
        <w:t>2</w:t>
      </w:r>
      <w:r>
        <w:tab/>
      </w:r>
      <w:r w:rsidR="00DF7C44" w:rsidRPr="00AA5EEC">
        <w:t>B</w:t>
      </w:r>
      <w:r w:rsidR="007C2A48" w:rsidRPr="00AA5EEC">
        <w:t>ands, allocated to the broadcasting service</w:t>
      </w:r>
    </w:p>
    <w:p w:rsidR="007C2A48" w:rsidRDefault="007C2A48" w:rsidP="00D10A0E">
      <w:r>
        <w:t>The broadcasting service has been allocated on a common Primary basis by Region as well as on a Primary / secondary basis by Region.</w:t>
      </w:r>
    </w:p>
    <w:p w:rsidR="007C2A48" w:rsidRDefault="007C2A48" w:rsidP="00D10A0E">
      <w:r>
        <w:t>Frequency allocations made to the broadcasting service have also been allocated i</w:t>
      </w:r>
      <w:r>
        <w:rPr>
          <w:lang w:val="en-US"/>
        </w:rPr>
        <w:t xml:space="preserve">n many administrations as the primary delivery method of news to the general public. In addition, bands allocated to the broadcasting service have been applied to program making e.g. wireless microphones </w:t>
      </w:r>
      <w:r w:rsidR="00E133A9">
        <w:t>e.g. No 5.296</w:t>
      </w:r>
      <w:r w:rsidR="00F300A4">
        <w:t>.</w:t>
      </w:r>
    </w:p>
    <w:p w:rsidR="007C2A48" w:rsidRDefault="007C2A48" w:rsidP="00D10A0E">
      <w:r>
        <w:t xml:space="preserve">Bands allocated to the broadcasting service may be found in Article </w:t>
      </w:r>
      <w:r w:rsidRPr="00036D72">
        <w:rPr>
          <w:b/>
          <w:bCs/>
        </w:rPr>
        <w:t>5</w:t>
      </w:r>
      <w:r>
        <w:t xml:space="preserve"> of the 2012 edition of Radio Regulations. ITU-R Study Group 6 has developed a report, what lists these frequency bands. Please refer to Document </w:t>
      </w:r>
      <w:hyperlink r:id="rId11" w:history="1">
        <w:r w:rsidRPr="00343150">
          <w:rPr>
            <w:rStyle w:val="Hyperlink"/>
            <w:szCs w:val="24"/>
            <w:u w:val="single"/>
          </w:rPr>
          <w:t>6A/229</w:t>
        </w:r>
      </w:hyperlink>
      <w:r>
        <w:t>.</w:t>
      </w:r>
    </w:p>
    <w:p w:rsidR="007C2A48" w:rsidRDefault="007C2A48" w:rsidP="00D10A0E">
      <w:r>
        <w:t>It should be noted that in some parts of the wor</w:t>
      </w:r>
      <w:r w:rsidR="00262F63">
        <w:t>l</w:t>
      </w:r>
      <w:r>
        <w:t xml:space="preserve">d bands </w:t>
      </w:r>
      <w:r w:rsidR="00262F63">
        <w:t xml:space="preserve">are </w:t>
      </w:r>
      <w:r>
        <w:t xml:space="preserve">also shared with other services. For example, </w:t>
      </w:r>
      <w:r w:rsidR="00262F63">
        <w:t xml:space="preserve">the </w:t>
      </w:r>
      <w:r>
        <w:t>frequency band 790-800 MHz band is co-primary allocated with Mobile Service, except Aeronautical mobile service in all RR Regions</w:t>
      </w:r>
      <w:r w:rsidRPr="00E45886">
        <w:t xml:space="preserve"> </w:t>
      </w:r>
      <w:r w:rsidR="00262F63">
        <w:t>starting from WRC-2012.</w:t>
      </w:r>
    </w:p>
    <w:p w:rsidR="007C2A48" w:rsidRPr="00AA5EEC" w:rsidRDefault="00D10A0E" w:rsidP="00D10A0E">
      <w:pPr>
        <w:pStyle w:val="Heading1"/>
        <w:rPr>
          <w:lang w:val="en-AU"/>
        </w:rPr>
      </w:pPr>
      <w:r>
        <w:t>3</w:t>
      </w:r>
      <w:r>
        <w:tab/>
      </w:r>
      <w:r w:rsidR="007C2A48" w:rsidRPr="00AA5EEC">
        <w:t>ITU-R parameters for the protection of the broadcasting service</w:t>
      </w:r>
    </w:p>
    <w:p w:rsidR="007C2A48" w:rsidRDefault="007C2A48" w:rsidP="00D10A0E">
      <w:r>
        <w:t>In frequency bands where the broadcasting service has been allocated on a long-term basis, ITU-R has developed a series of Recommendations for the planning, implementation and protection of broadcasting services. These include the following</w:t>
      </w:r>
      <w:r w:rsidR="00262F63">
        <w:t xml:space="preserve"> ITU-R Recommendations</w:t>
      </w:r>
      <w:r>
        <w:t>:</w:t>
      </w:r>
    </w:p>
    <w:p w:rsidR="007C2A48" w:rsidRDefault="00036D72" w:rsidP="00036D72">
      <w:pPr>
        <w:pStyle w:val="enumlev1"/>
      </w:pPr>
      <w:r>
        <w:t>–</w:t>
      </w:r>
      <w:r>
        <w:tab/>
      </w:r>
      <w:r w:rsidR="007C2A48">
        <w:t>BS</w:t>
      </w:r>
      <w:r w:rsidR="00343150">
        <w:t>.</w:t>
      </w:r>
      <w:r w:rsidR="007C2A48">
        <w:t>/BT.1895 Protection criteria for terrestrial broadcasting systems</w:t>
      </w:r>
      <w:r w:rsidR="00343150">
        <w:t>.</w:t>
      </w:r>
    </w:p>
    <w:p w:rsidR="007C2A48" w:rsidRDefault="00036D72" w:rsidP="00036D72">
      <w:pPr>
        <w:pStyle w:val="enumlev1"/>
      </w:pPr>
      <w:r>
        <w:t>–</w:t>
      </w:r>
      <w:r>
        <w:tab/>
      </w:r>
      <w:r w:rsidR="007C2A48">
        <w:t>BT.1368 Planning criteria, including protection ratios, for digital terrestrial television services in the VHF/UHF bands</w:t>
      </w:r>
      <w:r w:rsidR="00343150">
        <w:t>.</w:t>
      </w:r>
    </w:p>
    <w:p w:rsidR="007C2A48" w:rsidRDefault="00036D72" w:rsidP="00036D72">
      <w:pPr>
        <w:pStyle w:val="enumlev1"/>
      </w:pPr>
      <w:r>
        <w:t>–</w:t>
      </w:r>
      <w:r>
        <w:tab/>
      </w:r>
      <w:r w:rsidR="007C2A48">
        <w:t>BT.2033 Planning criteria, including protection ratios, for second generation of digital terrestrial television broadcasting systems in the VHF/UHF bands</w:t>
      </w:r>
      <w:r w:rsidR="00343150">
        <w:t>.</w:t>
      </w:r>
    </w:p>
    <w:p w:rsidR="007C2A48" w:rsidRDefault="00036D72" w:rsidP="00036D72">
      <w:pPr>
        <w:pStyle w:val="enumlev1"/>
      </w:pPr>
      <w:r>
        <w:t>–</w:t>
      </w:r>
      <w:r>
        <w:tab/>
      </w:r>
      <w:r w:rsidR="007C2A48">
        <w:t>P.1546 Method for point-to-area predictions for terrestrial services in the frequency range 30 MHz to 3 000 MHz where applied for planning</w:t>
      </w:r>
      <w:r w:rsidR="007C2A48" w:rsidRPr="00860E42">
        <w:t xml:space="preserve"> </w:t>
      </w:r>
      <w:r w:rsidR="007C2A48">
        <w:t>and for interference assessment</w:t>
      </w:r>
      <w:r w:rsidR="00343150">
        <w:t>.</w:t>
      </w:r>
    </w:p>
    <w:p w:rsidR="007C2A48" w:rsidRPr="002F4DD4" w:rsidRDefault="007C2A48" w:rsidP="00343150">
      <w:r>
        <w:t>Where assessment for continuous interference has been a consideration</w:t>
      </w:r>
      <w:r w:rsidR="00262F63">
        <w:t>,</w:t>
      </w:r>
      <w:r>
        <w:t xml:space="preserve"> ITU-R has applied a method of applying a 3</w:t>
      </w:r>
      <w:r w:rsidR="00036D72">
        <w:t xml:space="preserve"> </w:t>
      </w:r>
      <w:r>
        <w:t>dB increase to the interference allowance for environmental variations e.g. reflections, in the planning process. [</w:t>
      </w:r>
      <w:r w:rsidRPr="00C35110">
        <w:rPr>
          <w:i/>
          <w:lang w:val="en-US" w:eastAsia="zh-CN"/>
        </w:rPr>
        <w:t>Ed</w:t>
      </w:r>
      <w:r w:rsidR="00343150">
        <w:rPr>
          <w:i/>
          <w:lang w:val="en-US" w:eastAsia="zh-CN"/>
        </w:rPr>
        <w:t>itorial</w:t>
      </w:r>
      <w:r w:rsidRPr="00C35110">
        <w:rPr>
          <w:i/>
          <w:lang w:val="en-US" w:eastAsia="zh-CN"/>
        </w:rPr>
        <w:t xml:space="preserve"> Note:</w:t>
      </w:r>
      <w:r>
        <w:rPr>
          <w:i/>
          <w:lang w:val="en-US" w:eastAsia="zh-CN"/>
        </w:rPr>
        <w:t xml:space="preserve"> </w:t>
      </w:r>
      <w:r>
        <w:rPr>
          <w:lang w:val="en-US" w:eastAsia="zh-CN"/>
        </w:rPr>
        <w:t>R</w:t>
      </w:r>
      <w:r w:rsidRPr="002F4DD4">
        <w:rPr>
          <w:lang w:val="en-US" w:eastAsia="zh-CN"/>
        </w:rPr>
        <w:t>eference</w:t>
      </w:r>
      <w:r>
        <w:rPr>
          <w:lang w:val="en-US" w:eastAsia="zh-CN"/>
        </w:rPr>
        <w:t xml:space="preserve"> to be placed.</w:t>
      </w:r>
      <w:r w:rsidRPr="002F4DD4">
        <w:rPr>
          <w:lang w:val="en-US" w:eastAsia="zh-CN"/>
        </w:rPr>
        <w:t>]</w:t>
      </w:r>
    </w:p>
    <w:p w:rsidR="007C2A48" w:rsidRPr="00AA5EEC" w:rsidRDefault="00D10A0E" w:rsidP="00D10A0E">
      <w:pPr>
        <w:pStyle w:val="Heading1"/>
        <w:rPr>
          <w:lang w:val="en-AU"/>
        </w:rPr>
      </w:pPr>
      <w:r>
        <w:t>4</w:t>
      </w:r>
      <w:r>
        <w:tab/>
      </w:r>
      <w:r w:rsidR="007C2A48" w:rsidRPr="00AA5EEC">
        <w:t>Technical parameters for the SDR/CRS systems</w:t>
      </w:r>
    </w:p>
    <w:p w:rsidR="007C2A48" w:rsidRDefault="007C2A48" w:rsidP="00262F63">
      <w:r>
        <w:rPr>
          <w:lang w:val="en-US" w:eastAsia="zh-CN"/>
        </w:rPr>
        <w:t>[</w:t>
      </w:r>
      <w:r w:rsidRPr="00C35110">
        <w:rPr>
          <w:i/>
          <w:lang w:val="en-US" w:eastAsia="zh-CN"/>
        </w:rPr>
        <w:t>Ed</w:t>
      </w:r>
      <w:r w:rsidR="00343150">
        <w:rPr>
          <w:i/>
          <w:lang w:val="en-US" w:eastAsia="zh-CN"/>
        </w:rPr>
        <w:t>itorial</w:t>
      </w:r>
      <w:r w:rsidRPr="00C35110">
        <w:rPr>
          <w:i/>
          <w:lang w:val="en-US" w:eastAsia="zh-CN"/>
        </w:rPr>
        <w:t xml:space="preserve"> Note:</w:t>
      </w:r>
      <w:r>
        <w:rPr>
          <w:lang w:val="en-US" w:eastAsia="zh-CN"/>
        </w:rPr>
        <w:t xml:space="preserve"> </w:t>
      </w:r>
      <w:r w:rsidR="00262F63">
        <w:rPr>
          <w:szCs w:val="24"/>
        </w:rPr>
        <w:t>This</w:t>
      </w:r>
      <w:r>
        <w:t xml:space="preserve"> is a place </w:t>
      </w:r>
      <w:r w:rsidR="000A453C">
        <w:rPr>
          <w:szCs w:val="24"/>
        </w:rPr>
        <w:t xml:space="preserve">holder </w:t>
      </w:r>
      <w:r>
        <w:t>for references to ITU-R Reports and Recommendations containing the technical parameters of Cognitive radio system</w:t>
      </w:r>
      <w:r w:rsidR="00036D72">
        <w:t>s and Software-defined radio.]</w:t>
      </w:r>
    </w:p>
    <w:p w:rsidR="007C2A48" w:rsidRPr="00AA5EEC" w:rsidRDefault="00D10A0E" w:rsidP="00D10A0E">
      <w:pPr>
        <w:pStyle w:val="Heading1"/>
      </w:pPr>
      <w:r>
        <w:rPr>
          <w:lang w:val="en-US"/>
        </w:rPr>
        <w:lastRenderedPageBreak/>
        <w:t>5</w:t>
      </w:r>
      <w:r>
        <w:rPr>
          <w:lang w:val="en-US"/>
        </w:rPr>
        <w:tab/>
      </w:r>
      <w:r w:rsidR="007C2A48" w:rsidRPr="00AA5EEC">
        <w:rPr>
          <w:lang w:val="en-US"/>
        </w:rPr>
        <w:t xml:space="preserve">SAB/SAP issues </w:t>
      </w:r>
    </w:p>
    <w:p w:rsidR="007C2A48" w:rsidRDefault="007C2A48" w:rsidP="00262F63">
      <w:pPr>
        <w:rPr>
          <w:szCs w:val="24"/>
        </w:rPr>
      </w:pPr>
      <w:r>
        <w:rPr>
          <w:szCs w:val="24"/>
          <w:lang w:val="en-US" w:eastAsia="zh-CN"/>
        </w:rPr>
        <w:t>[</w:t>
      </w:r>
      <w:r w:rsidRPr="00C35110">
        <w:rPr>
          <w:i/>
          <w:szCs w:val="24"/>
          <w:lang w:val="en-US" w:eastAsia="zh-CN"/>
        </w:rPr>
        <w:t>Ed</w:t>
      </w:r>
      <w:r w:rsidR="00343150">
        <w:rPr>
          <w:i/>
          <w:szCs w:val="24"/>
          <w:lang w:val="en-US" w:eastAsia="zh-CN"/>
        </w:rPr>
        <w:t>itorial</w:t>
      </w:r>
      <w:r w:rsidRPr="00C35110">
        <w:rPr>
          <w:i/>
          <w:szCs w:val="24"/>
          <w:lang w:val="en-US" w:eastAsia="zh-CN"/>
        </w:rPr>
        <w:t xml:space="preserve"> Note:</w:t>
      </w:r>
      <w:r>
        <w:rPr>
          <w:szCs w:val="24"/>
          <w:lang w:val="en-US" w:eastAsia="zh-CN"/>
        </w:rPr>
        <w:t xml:space="preserve"> </w:t>
      </w:r>
      <w:r w:rsidR="00262F63">
        <w:rPr>
          <w:szCs w:val="24"/>
        </w:rPr>
        <w:t>This</w:t>
      </w:r>
      <w:r>
        <w:rPr>
          <w:szCs w:val="24"/>
        </w:rPr>
        <w:t xml:space="preserve"> is a place </w:t>
      </w:r>
      <w:r w:rsidR="000A453C">
        <w:rPr>
          <w:szCs w:val="24"/>
        </w:rPr>
        <w:t xml:space="preserve">holder </w:t>
      </w:r>
      <w:r>
        <w:rPr>
          <w:szCs w:val="24"/>
        </w:rPr>
        <w:t>for material related to SAB/SAP issues with respect to:]</w:t>
      </w:r>
    </w:p>
    <w:p w:rsidR="007C2A48" w:rsidRPr="001A77F9" w:rsidRDefault="00AA5EEC" w:rsidP="00D10A0E">
      <w:pPr>
        <w:pStyle w:val="Heading2"/>
        <w:tabs>
          <w:tab w:val="clear" w:pos="1134"/>
          <w:tab w:val="left" w:pos="1560"/>
        </w:tabs>
        <w:rPr>
          <w:lang w:val="en-US"/>
        </w:rPr>
      </w:pPr>
      <w:r>
        <w:rPr>
          <w:lang w:val="en-US"/>
        </w:rPr>
        <w:t>5.1</w:t>
      </w:r>
      <w:r>
        <w:rPr>
          <w:lang w:val="en-US"/>
        </w:rPr>
        <w:tab/>
      </w:r>
      <w:r w:rsidR="007C2A48">
        <w:rPr>
          <w:lang w:val="en-US"/>
        </w:rPr>
        <w:t>C</w:t>
      </w:r>
      <w:r w:rsidR="007C2A48" w:rsidRPr="001A77F9">
        <w:rPr>
          <w:lang w:val="en-US"/>
        </w:rPr>
        <w:t>ognitive techn</w:t>
      </w:r>
      <w:r w:rsidR="000A453C">
        <w:rPr>
          <w:lang w:val="en-US"/>
        </w:rPr>
        <w:t>ique implementation for SAB/SAP</w:t>
      </w:r>
    </w:p>
    <w:p w:rsidR="007C2A48" w:rsidRPr="001A77F9" w:rsidRDefault="00AA5EEC" w:rsidP="00D10A0E">
      <w:pPr>
        <w:pStyle w:val="Heading2"/>
        <w:tabs>
          <w:tab w:val="clear" w:pos="1134"/>
          <w:tab w:val="left" w:pos="1560"/>
        </w:tabs>
        <w:rPr>
          <w:lang w:val="en-US"/>
        </w:rPr>
      </w:pPr>
      <w:r>
        <w:rPr>
          <w:lang w:val="en-US"/>
        </w:rPr>
        <w:t>5.2</w:t>
      </w:r>
      <w:r>
        <w:rPr>
          <w:lang w:val="en-US"/>
        </w:rPr>
        <w:tab/>
      </w:r>
      <w:r w:rsidR="007C2A48" w:rsidRPr="001A77F9">
        <w:rPr>
          <w:lang w:val="en-US"/>
        </w:rPr>
        <w:t>Future coexistence with CRS operating in frequency bands, allocated to broadcasting</w:t>
      </w:r>
    </w:p>
    <w:p w:rsidR="007C2A48" w:rsidRPr="00AA5EEC" w:rsidRDefault="007C2A48" w:rsidP="000A453C">
      <w:pPr>
        <w:pStyle w:val="Headingb"/>
      </w:pPr>
      <w:r w:rsidRPr="00AA5EEC">
        <w:t xml:space="preserve">Current state, identified compatibility issues and national approaches for </w:t>
      </w:r>
      <w:r w:rsidR="000A453C" w:rsidRPr="00AA5EEC">
        <w:t>C</w:t>
      </w:r>
      <w:r w:rsidR="00343150" w:rsidRPr="00AA5EEC">
        <w:t xml:space="preserve">ognitive </w:t>
      </w:r>
      <w:r w:rsidR="000A453C" w:rsidRPr="00AA5EEC">
        <w:t>R</w:t>
      </w:r>
      <w:r w:rsidRPr="00AA5EEC">
        <w:t xml:space="preserve">adio </w:t>
      </w:r>
      <w:r w:rsidR="000A453C">
        <w:t>S</w:t>
      </w:r>
      <w:r w:rsidR="00FA524A">
        <w:t>ystems implementation</w:t>
      </w:r>
    </w:p>
    <w:p w:rsidR="007C2A48" w:rsidRDefault="007C2A48" w:rsidP="00D10A0E">
      <w:pPr>
        <w:rPr>
          <w:lang w:val="en-US" w:eastAsia="zh-CN"/>
        </w:rPr>
      </w:pPr>
      <w:r>
        <w:rPr>
          <w:lang w:val="en-US" w:eastAsia="zh-CN"/>
        </w:rPr>
        <w:t xml:space="preserve">The annexes in this report provide a compilation of </w:t>
      </w:r>
      <w:r>
        <w:t>current state of CRS and their development,</w:t>
      </w:r>
      <w:r>
        <w:rPr>
          <w:lang w:val="en-US" w:eastAsia="zh-CN"/>
        </w:rPr>
        <w:t xml:space="preserve"> identified compatibility issues, national approaches / best practices and respective experiences in the protection of TV Services in conjunction with the introduction of CRS.</w:t>
      </w:r>
    </w:p>
    <w:p w:rsidR="007C2A48" w:rsidRPr="0043723A" w:rsidRDefault="007C2A48" w:rsidP="00343150">
      <w:pPr>
        <w:rPr>
          <w:lang w:val="en-US" w:eastAsia="zh-CN"/>
        </w:rPr>
      </w:pPr>
      <w:r>
        <w:rPr>
          <w:lang w:val="en-US" w:eastAsia="zh-CN"/>
        </w:rPr>
        <w:t>[</w:t>
      </w:r>
      <w:r w:rsidRPr="00C35110">
        <w:rPr>
          <w:i/>
          <w:lang w:val="en-US" w:eastAsia="zh-CN"/>
        </w:rPr>
        <w:t>Ed</w:t>
      </w:r>
      <w:r w:rsidR="00343150">
        <w:rPr>
          <w:i/>
          <w:szCs w:val="24"/>
          <w:lang w:val="en-US" w:eastAsia="zh-CN"/>
        </w:rPr>
        <w:t>itorial</w:t>
      </w:r>
      <w:r w:rsidRPr="00C35110">
        <w:rPr>
          <w:i/>
          <w:lang w:val="en-US" w:eastAsia="zh-CN"/>
        </w:rPr>
        <w:t xml:space="preserve"> Note:</w:t>
      </w:r>
      <w:r>
        <w:rPr>
          <w:lang w:val="en-US" w:eastAsia="zh-CN"/>
        </w:rPr>
        <w:t xml:space="preserve"> At </w:t>
      </w:r>
      <w:r w:rsidR="0043723A">
        <w:rPr>
          <w:lang w:val="en-US" w:eastAsia="zh-CN"/>
        </w:rPr>
        <w:t xml:space="preserve">the </w:t>
      </w:r>
      <w:r>
        <w:rPr>
          <w:lang w:val="en-US" w:eastAsia="zh-CN"/>
        </w:rPr>
        <w:t xml:space="preserve">next meeting of WP 6A, some input material for </w:t>
      </w:r>
      <w:r w:rsidR="0043723A">
        <w:rPr>
          <w:lang w:val="en-US" w:eastAsia="zh-CN"/>
        </w:rPr>
        <w:t>A</w:t>
      </w:r>
      <w:r>
        <w:rPr>
          <w:lang w:val="en-US" w:eastAsia="zh-CN"/>
        </w:rPr>
        <w:t xml:space="preserve">nnexes to be taken from the </w:t>
      </w:r>
      <w:r w:rsidR="00417200">
        <w:rPr>
          <w:lang w:val="en-US" w:eastAsia="zh-CN"/>
        </w:rPr>
        <w:t xml:space="preserve">preliminary draft new Report </w:t>
      </w:r>
      <w:r w:rsidRPr="00C35110">
        <w:t>ITU-R BT.[ASSESSDTTBCRS]</w:t>
      </w:r>
      <w:r w:rsidR="000A453C">
        <w:t xml:space="preserve"> </w:t>
      </w:r>
      <w:r w:rsidRPr="00C35110">
        <w:t>- Assessment of interference into the broadcasting service from cognitive device</w:t>
      </w:r>
      <w:r w:rsidR="00D10A0E">
        <w:t>s in the frequency band 470</w:t>
      </w:r>
      <w:r w:rsidR="00D10A0E">
        <w:noBreakHyphen/>
        <w:t>790 </w:t>
      </w:r>
      <w:r w:rsidRPr="00C35110">
        <w:t>MHz</w:t>
      </w:r>
      <w:r>
        <w:rPr>
          <w:lang w:val="en-US" w:eastAsia="zh-CN"/>
        </w:rPr>
        <w:t>.</w:t>
      </w:r>
      <w:r w:rsidR="0043723A">
        <w:rPr>
          <w:lang w:val="en-US" w:eastAsia="zh-CN"/>
        </w:rPr>
        <w:t xml:space="preserve"> </w:t>
      </w:r>
      <w:hyperlink r:id="rId12" w:history="1">
        <w:r w:rsidR="00075D1A" w:rsidRPr="00417200">
          <w:rPr>
            <w:rStyle w:val="Hyperlink"/>
            <w:szCs w:val="24"/>
            <w:u w:val="single"/>
            <w:lang w:val="en-US" w:eastAsia="zh-CN"/>
          </w:rPr>
          <w:t>Annex 9 to Document 6A/264</w:t>
        </w:r>
      </w:hyperlink>
      <w:r w:rsidR="00AB70C0">
        <w:rPr>
          <w:lang w:val="en-US" w:eastAsia="zh-CN"/>
        </w:rPr>
        <w:t>.</w:t>
      </w:r>
      <w:r w:rsidR="0043723A" w:rsidRPr="0043723A">
        <w:rPr>
          <w:lang w:val="en-US" w:eastAsia="zh-CN"/>
        </w:rPr>
        <w:t>]</w:t>
      </w:r>
    </w:p>
    <w:p w:rsidR="007C2A48" w:rsidRDefault="007C2A48" w:rsidP="00D10A0E">
      <w:pPr>
        <w:rPr>
          <w:lang w:val="en-AU"/>
        </w:rPr>
      </w:pPr>
      <w:r>
        <w:t>Working Party 6A seeks contributions from administrations, including</w:t>
      </w:r>
      <w:r w:rsidR="00343150">
        <w:t>:</w:t>
      </w:r>
    </w:p>
    <w:p w:rsidR="007C2A48" w:rsidRDefault="00036D72" w:rsidP="00036D72">
      <w:pPr>
        <w:pStyle w:val="enumlev1"/>
      </w:pPr>
      <w:r>
        <w:t>–</w:t>
      </w:r>
      <w:r>
        <w:tab/>
      </w:r>
      <w:r w:rsidR="007C2A48">
        <w:t>statements how it will be / has been implemented on a national basis</w:t>
      </w:r>
      <w:r w:rsidR="00343150">
        <w:t>;</w:t>
      </w:r>
    </w:p>
    <w:p w:rsidR="007C2A48" w:rsidRDefault="00036D72" w:rsidP="00036D72">
      <w:pPr>
        <w:pStyle w:val="enumlev1"/>
      </w:pPr>
      <w:r>
        <w:t>–</w:t>
      </w:r>
      <w:r>
        <w:tab/>
      </w:r>
      <w:r w:rsidR="007C2A48">
        <w:t>working examples on a national basis</w:t>
      </w:r>
      <w:r w:rsidR="00343150">
        <w:t>;</w:t>
      </w:r>
    </w:p>
    <w:p w:rsidR="007C2A48" w:rsidRDefault="00036D72" w:rsidP="00036D72">
      <w:pPr>
        <w:pStyle w:val="enumlev1"/>
      </w:pPr>
      <w:r>
        <w:t>–</w:t>
      </w:r>
      <w:r>
        <w:tab/>
      </w:r>
      <w:r w:rsidR="007C2A48">
        <w:t>common / typical characteristics of these systems</w:t>
      </w:r>
      <w:r w:rsidR="00343150">
        <w:t>;</w:t>
      </w:r>
    </w:p>
    <w:p w:rsidR="007C2A48" w:rsidRDefault="00036D72" w:rsidP="00036D72">
      <w:pPr>
        <w:pStyle w:val="enumlev1"/>
      </w:pPr>
      <w:r>
        <w:t>–</w:t>
      </w:r>
      <w:r>
        <w:tab/>
      </w:r>
      <w:r w:rsidR="007C2A48">
        <w:t xml:space="preserve">compatibility / implementation </w:t>
      </w:r>
      <w:r w:rsidR="007C2A48">
        <w:rPr>
          <w:lang w:val="en-US" w:eastAsia="zh-CN"/>
        </w:rPr>
        <w:t>issues identified</w:t>
      </w:r>
      <w:r w:rsidR="00343150">
        <w:rPr>
          <w:lang w:val="en-US" w:eastAsia="zh-CN"/>
        </w:rPr>
        <w:t>;</w:t>
      </w:r>
    </w:p>
    <w:p w:rsidR="007C2A48" w:rsidRDefault="00036D72" w:rsidP="00036D72">
      <w:pPr>
        <w:pStyle w:val="enumlev1"/>
      </w:pPr>
      <w:r>
        <w:t>–</w:t>
      </w:r>
      <w:r>
        <w:tab/>
      </w:r>
      <w:r w:rsidR="007C2A48">
        <w:t>protection requirements of the broadcasting service on an international regulatory basis</w:t>
      </w:r>
      <w:r w:rsidR="00343150">
        <w:t>;</w:t>
      </w:r>
    </w:p>
    <w:p w:rsidR="007C2A48" w:rsidRDefault="00036D72" w:rsidP="00036D72">
      <w:pPr>
        <w:pStyle w:val="enumlev1"/>
      </w:pPr>
      <w:r>
        <w:t>–</w:t>
      </w:r>
      <w:r>
        <w:tab/>
      </w:r>
      <w:r w:rsidR="007C2A48">
        <w:t>technical and regulatory approaches</w:t>
      </w:r>
      <w:r w:rsidR="00343150">
        <w:t>;</w:t>
      </w:r>
    </w:p>
    <w:p w:rsidR="007C2A48" w:rsidRDefault="00036D72" w:rsidP="00036D72">
      <w:pPr>
        <w:pStyle w:val="enumlev1"/>
      </w:pPr>
      <w:r>
        <w:t>–</w:t>
      </w:r>
      <w:r>
        <w:tab/>
      </w:r>
      <w:r w:rsidR="007C2A48">
        <w:t>management of CRS over locations/time</w:t>
      </w:r>
      <w:r w:rsidR="00343150">
        <w:t>;</w:t>
      </w:r>
    </w:p>
    <w:p w:rsidR="007C2A48" w:rsidRPr="000A2B7B" w:rsidRDefault="007C2A48" w:rsidP="00D10A0E">
      <w:r>
        <w:t>i</w:t>
      </w:r>
      <w:r w:rsidRPr="000A2B7B">
        <w:t xml:space="preserve">n the </w:t>
      </w:r>
      <w:r>
        <w:t>form relevant to be a separate a</w:t>
      </w:r>
      <w:r w:rsidRPr="000A2B7B">
        <w:t>nnex to this report</w:t>
      </w:r>
      <w:r>
        <w:t xml:space="preserve">. Authors of input </w:t>
      </w:r>
      <w:r w:rsidR="00417200">
        <w:t xml:space="preserve">Documents </w:t>
      </w:r>
      <w:hyperlink r:id="rId13" w:history="1">
        <w:r w:rsidRPr="00343150">
          <w:rPr>
            <w:rStyle w:val="Hyperlink"/>
            <w:u w:val="single"/>
          </w:rPr>
          <w:t>6A/308</w:t>
        </w:r>
      </w:hyperlink>
      <w:r>
        <w:t xml:space="preserve">, </w:t>
      </w:r>
      <w:hyperlink r:id="rId14" w:history="1">
        <w:r w:rsidRPr="00343150">
          <w:rPr>
            <w:rStyle w:val="Hyperlink"/>
            <w:u w:val="single"/>
          </w:rPr>
          <w:t>6A/311</w:t>
        </w:r>
      </w:hyperlink>
      <w:r>
        <w:t xml:space="preserve">, </w:t>
      </w:r>
      <w:hyperlink r:id="rId15" w:history="1">
        <w:r w:rsidRPr="00343150">
          <w:rPr>
            <w:rStyle w:val="Hyperlink"/>
            <w:u w:val="single"/>
          </w:rPr>
          <w:t>6A/323</w:t>
        </w:r>
      </w:hyperlink>
      <w:r>
        <w:t xml:space="preserve">, </w:t>
      </w:r>
      <w:hyperlink r:id="rId16" w:history="1">
        <w:r w:rsidRPr="00343150">
          <w:rPr>
            <w:rStyle w:val="Hyperlink"/>
            <w:u w:val="single"/>
          </w:rPr>
          <w:t>6A/343</w:t>
        </w:r>
      </w:hyperlink>
      <w:r>
        <w:t xml:space="preserve"> invited to update their material in the form relevant to be a separate Annex to this report and submit a new contribution]</w:t>
      </w:r>
    </w:p>
    <w:p w:rsidR="007C2A48" w:rsidRDefault="004B2BDA" w:rsidP="00D10A0E">
      <w:pPr>
        <w:rPr>
          <w:lang w:val="en-US" w:eastAsia="zh-CN"/>
        </w:rPr>
      </w:pPr>
      <w:r>
        <w:rPr>
          <w:lang w:val="en-US" w:eastAsia="zh-CN"/>
        </w:rPr>
        <w:t>[ANNEX 1</w:t>
      </w:r>
      <w:r>
        <w:rPr>
          <w:lang w:val="en-US" w:eastAsia="zh-CN"/>
        </w:rPr>
        <w:tab/>
      </w:r>
      <w:r w:rsidR="007C2A48">
        <w:rPr>
          <w:lang w:val="en-US" w:eastAsia="zh-CN"/>
        </w:rPr>
        <w:t>State of implementation, issues identified and national approaches form country XXX]</w:t>
      </w:r>
    </w:p>
    <w:p w:rsidR="007C2A48" w:rsidRDefault="007C2A48" w:rsidP="00D10A0E">
      <w:pPr>
        <w:rPr>
          <w:lang w:val="en-US" w:eastAsia="zh-CN"/>
        </w:rPr>
      </w:pPr>
      <w:r>
        <w:rPr>
          <w:lang w:val="en-US" w:eastAsia="zh-CN"/>
        </w:rPr>
        <w:t>[ANNEX 2 State of implementation, issues identified and national approaches form country YYY]</w:t>
      </w:r>
    </w:p>
    <w:p w:rsidR="007C2A48" w:rsidRDefault="007C2A48" w:rsidP="00D10A0E">
      <w:pPr>
        <w:rPr>
          <w:lang w:val="en-US" w:eastAsia="zh-CN"/>
        </w:rPr>
      </w:pPr>
      <w:r>
        <w:rPr>
          <w:lang w:val="en-US" w:eastAsia="zh-CN"/>
        </w:rPr>
        <w:t>[ANNEX 3 State of implementation, issues identified and national approaches form country ZZZ]</w:t>
      </w:r>
    </w:p>
    <w:p w:rsidR="00343150" w:rsidRDefault="00343150" w:rsidP="00343150"/>
    <w:sectPr w:rsidR="00343150" w:rsidSect="00D02712">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F68" w:rsidRDefault="00885F68">
      <w:r>
        <w:separator/>
      </w:r>
    </w:p>
  </w:endnote>
  <w:endnote w:type="continuationSeparator" w:id="0">
    <w:p w:rsidR="00885F68" w:rsidRDefault="0088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835" w:rsidRPr="00343150" w:rsidRDefault="008B0FDE" w:rsidP="00343150">
    <w:pPr>
      <w:pStyle w:val="Footer"/>
    </w:pPr>
    <w:r>
      <w:fldChar w:fldCharType="begin"/>
    </w:r>
    <w:r>
      <w:instrText xml:space="preserve"> FILENAME \p  \* MERGEFORMAT </w:instrText>
    </w:r>
    <w:r>
      <w:fldChar w:fldCharType="separate"/>
    </w:r>
    <w:r w:rsidR="002744D8">
      <w:t>M:\BRSGD\TEXT2013\SG06\WP6A\300\360\360N14e.docx</w:t>
    </w:r>
    <w:r>
      <w:fldChar w:fldCharType="end"/>
    </w:r>
    <w:r w:rsidR="002744D8">
      <w:tab/>
    </w:r>
    <w:r w:rsidR="002744D8">
      <w:fldChar w:fldCharType="begin"/>
    </w:r>
    <w:r w:rsidR="002744D8">
      <w:instrText xml:space="preserve"> SAVEDATE \@ DD.MM.YY </w:instrText>
    </w:r>
    <w:r w:rsidR="002744D8">
      <w:fldChar w:fldCharType="separate"/>
    </w:r>
    <w:r w:rsidR="004B2BDA">
      <w:t>11.12.13</w:t>
    </w:r>
    <w:r w:rsidR="002744D8">
      <w:fldChar w:fldCharType="end"/>
    </w:r>
    <w:r w:rsidR="002744D8">
      <w:tab/>
    </w:r>
    <w:r w:rsidR="002744D8">
      <w:fldChar w:fldCharType="begin"/>
    </w:r>
    <w:r w:rsidR="002744D8">
      <w:instrText xml:space="preserve"> PRINTDATE \@ DD.MM.YY </w:instrText>
    </w:r>
    <w:r w:rsidR="002744D8">
      <w:fldChar w:fldCharType="separate"/>
    </w:r>
    <w:r w:rsidR="002744D8">
      <w:t>20.11.13</w:t>
    </w:r>
    <w:r w:rsidR="002744D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50" w:rsidRDefault="008B0FDE">
    <w:pPr>
      <w:pStyle w:val="Footer"/>
    </w:pPr>
    <w:r>
      <w:fldChar w:fldCharType="begin"/>
    </w:r>
    <w:r>
      <w:instrText xml:space="preserve"> FILENAME \p  \* MERGEFORMAT </w:instrText>
    </w:r>
    <w:r>
      <w:fldChar w:fldCharType="separate"/>
    </w:r>
    <w:r w:rsidR="002744D8">
      <w:t>M:\BRSGD\TEXT2013\SG06\WP6A\300\360\360N14e.docx</w:t>
    </w:r>
    <w:r>
      <w:fldChar w:fldCharType="end"/>
    </w:r>
    <w:r w:rsidR="00343150">
      <w:tab/>
    </w:r>
    <w:r w:rsidR="00343150">
      <w:fldChar w:fldCharType="begin"/>
    </w:r>
    <w:r w:rsidR="00343150">
      <w:instrText xml:space="preserve"> SAVEDATE \@ DD.MM.YY </w:instrText>
    </w:r>
    <w:r w:rsidR="00343150">
      <w:fldChar w:fldCharType="separate"/>
    </w:r>
    <w:r w:rsidR="004B2BDA">
      <w:t>11.12.13</w:t>
    </w:r>
    <w:r w:rsidR="00343150">
      <w:fldChar w:fldCharType="end"/>
    </w:r>
    <w:r w:rsidR="00343150">
      <w:tab/>
    </w:r>
    <w:r w:rsidR="00343150">
      <w:fldChar w:fldCharType="begin"/>
    </w:r>
    <w:r w:rsidR="00343150">
      <w:instrText xml:space="preserve"> PRINTDATE \@ DD.MM.YY </w:instrText>
    </w:r>
    <w:r w:rsidR="00343150">
      <w:fldChar w:fldCharType="separate"/>
    </w:r>
    <w:r w:rsidR="002744D8">
      <w:t>20.11.13</w:t>
    </w:r>
    <w:r w:rsidR="0034315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F68" w:rsidRDefault="00885F68">
      <w:r>
        <w:t>____________________</w:t>
      </w:r>
    </w:p>
  </w:footnote>
  <w:footnote w:type="continuationSeparator" w:id="0">
    <w:p w:rsidR="00885F68" w:rsidRDefault="00885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835" w:rsidRPr="00522144" w:rsidRDefault="002744D8" w:rsidP="002744D8">
    <w:pPr>
      <w:pStyle w:val="Header"/>
    </w:pPr>
    <w:r w:rsidRPr="00D31EE7">
      <w:rPr>
        <w:szCs w:val="18"/>
        <w:lang w:val="en-US"/>
      </w:rPr>
      <w:t xml:space="preserve">- </w:t>
    </w:r>
    <w:r w:rsidRPr="00D31EE7">
      <w:rPr>
        <w:rStyle w:val="PageNumber"/>
        <w:szCs w:val="18"/>
      </w:rPr>
      <w:fldChar w:fldCharType="begin"/>
    </w:r>
    <w:r w:rsidRPr="00D31EE7">
      <w:rPr>
        <w:rStyle w:val="PageNumber"/>
        <w:szCs w:val="18"/>
      </w:rPr>
      <w:instrText xml:space="preserve"> PAGE </w:instrText>
    </w:r>
    <w:r w:rsidRPr="00D31EE7">
      <w:rPr>
        <w:rStyle w:val="PageNumber"/>
        <w:szCs w:val="18"/>
      </w:rPr>
      <w:fldChar w:fldCharType="separate"/>
    </w:r>
    <w:r w:rsidR="008B0FDE">
      <w:rPr>
        <w:rStyle w:val="PageNumber"/>
        <w:noProof/>
        <w:szCs w:val="18"/>
      </w:rPr>
      <w:t>2</w:t>
    </w:r>
    <w:r w:rsidRPr="00D31EE7">
      <w:rPr>
        <w:rStyle w:val="PageNumber"/>
        <w:szCs w:val="18"/>
      </w:rPr>
      <w:fldChar w:fldCharType="end"/>
    </w:r>
    <w:r w:rsidRPr="00D31EE7">
      <w:rPr>
        <w:rStyle w:val="PageNumber"/>
        <w:szCs w:val="18"/>
      </w:rPr>
      <w:t xml:space="preserve"> -</w:t>
    </w:r>
    <w:r w:rsidRPr="00D31EE7">
      <w:rPr>
        <w:rStyle w:val="PageNumber"/>
        <w:szCs w:val="18"/>
      </w:rPr>
      <w:br/>
    </w:r>
    <w:r>
      <w:rPr>
        <w:szCs w:val="18"/>
        <w:lang w:val="en-US"/>
      </w:rPr>
      <w:t>6A/360(Annex 14</w:t>
    </w:r>
    <w:r w:rsidRPr="00D31EE7">
      <w:rPr>
        <w:szCs w:val="18"/>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459B"/>
    <w:multiLevelType w:val="hybridMultilevel"/>
    <w:tmpl w:val="17A2E9EE"/>
    <w:lvl w:ilvl="0" w:tplc="8BEEC3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212190"/>
    <w:multiLevelType w:val="hybridMultilevel"/>
    <w:tmpl w:val="4C527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99445E"/>
    <w:multiLevelType w:val="multilevel"/>
    <w:tmpl w:val="04190025"/>
    <w:styleLink w:val="1"/>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48256693"/>
    <w:multiLevelType w:val="hybridMultilevel"/>
    <w:tmpl w:val="F12E0958"/>
    <w:lvl w:ilvl="0" w:tplc="2C08B096">
      <w:start w:val="7"/>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5A2A5035"/>
    <w:multiLevelType w:val="hybridMultilevel"/>
    <w:tmpl w:val="62804A2C"/>
    <w:lvl w:ilvl="0" w:tplc="8BEEC3B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C5283E"/>
    <w:multiLevelType w:val="hybridMultilevel"/>
    <w:tmpl w:val="393C05A8"/>
    <w:lvl w:ilvl="0" w:tplc="A51C95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A00053"/>
    <w:multiLevelType w:val="hybridMultilevel"/>
    <w:tmpl w:val="A4EC59B2"/>
    <w:lvl w:ilvl="0" w:tplc="2CCE5CEE">
      <w:start w:val="16"/>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7D7A1391"/>
    <w:multiLevelType w:val="multilevel"/>
    <w:tmpl w:val="04190025"/>
    <w:numStyleLink w:val="1"/>
  </w:abstractNum>
  <w:abstractNum w:abstractNumId="8">
    <w:nsid w:val="7E560553"/>
    <w:multiLevelType w:val="hybridMultilevel"/>
    <w:tmpl w:val="04C0805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7E9317CA"/>
    <w:multiLevelType w:val="hybridMultilevel"/>
    <w:tmpl w:val="B628AEF4"/>
    <w:lvl w:ilvl="0" w:tplc="8BEEC3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6"/>
  </w:num>
  <w:num w:numId="3">
    <w:abstractNumId w:val="1"/>
  </w:num>
  <w:num w:numId="4">
    <w:abstractNumId w:val="5"/>
  </w:num>
  <w:num w:numId="5">
    <w:abstractNumId w:val="4"/>
  </w:num>
  <w:num w:numId="6">
    <w:abstractNumId w:val="7"/>
  </w:num>
  <w:num w:numId="7">
    <w:abstractNumId w:val="2"/>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3A"/>
    <w:rsid w:val="000069D4"/>
    <w:rsid w:val="000138B4"/>
    <w:rsid w:val="000138C0"/>
    <w:rsid w:val="000174AD"/>
    <w:rsid w:val="000234F2"/>
    <w:rsid w:val="00036D72"/>
    <w:rsid w:val="00055EAF"/>
    <w:rsid w:val="00075D1A"/>
    <w:rsid w:val="000914D7"/>
    <w:rsid w:val="000A453C"/>
    <w:rsid w:val="000A7D55"/>
    <w:rsid w:val="000C2E8E"/>
    <w:rsid w:val="000D0DEC"/>
    <w:rsid w:val="000E0E7C"/>
    <w:rsid w:val="000E3674"/>
    <w:rsid w:val="000F0DBC"/>
    <w:rsid w:val="000F1B4B"/>
    <w:rsid w:val="0012744F"/>
    <w:rsid w:val="001559F4"/>
    <w:rsid w:val="00156F66"/>
    <w:rsid w:val="00166F61"/>
    <w:rsid w:val="00182528"/>
    <w:rsid w:val="0018500B"/>
    <w:rsid w:val="00196A19"/>
    <w:rsid w:val="001C2669"/>
    <w:rsid w:val="001D01CE"/>
    <w:rsid w:val="001F6073"/>
    <w:rsid w:val="00202DC1"/>
    <w:rsid w:val="002116EE"/>
    <w:rsid w:val="002309D8"/>
    <w:rsid w:val="00262F63"/>
    <w:rsid w:val="002744D8"/>
    <w:rsid w:val="002771D9"/>
    <w:rsid w:val="00284F8A"/>
    <w:rsid w:val="002A7FE2"/>
    <w:rsid w:val="002C66E1"/>
    <w:rsid w:val="002E1B4F"/>
    <w:rsid w:val="002E536C"/>
    <w:rsid w:val="002F2E67"/>
    <w:rsid w:val="00315546"/>
    <w:rsid w:val="00330567"/>
    <w:rsid w:val="00343150"/>
    <w:rsid w:val="00345DF7"/>
    <w:rsid w:val="00350CA0"/>
    <w:rsid w:val="00357DA2"/>
    <w:rsid w:val="00386A9D"/>
    <w:rsid w:val="00391081"/>
    <w:rsid w:val="003A3A1E"/>
    <w:rsid w:val="003B2789"/>
    <w:rsid w:val="003B6C79"/>
    <w:rsid w:val="003C13CE"/>
    <w:rsid w:val="003E2518"/>
    <w:rsid w:val="003F7CBE"/>
    <w:rsid w:val="00417200"/>
    <w:rsid w:val="00427BB6"/>
    <w:rsid w:val="0043723A"/>
    <w:rsid w:val="00471155"/>
    <w:rsid w:val="004A36E8"/>
    <w:rsid w:val="004B1EF7"/>
    <w:rsid w:val="004B2BDA"/>
    <w:rsid w:val="004B3FAD"/>
    <w:rsid w:val="004B4209"/>
    <w:rsid w:val="004D360F"/>
    <w:rsid w:val="00501DCA"/>
    <w:rsid w:val="0051165E"/>
    <w:rsid w:val="00513A47"/>
    <w:rsid w:val="00522144"/>
    <w:rsid w:val="005408DF"/>
    <w:rsid w:val="005632FC"/>
    <w:rsid w:val="00573344"/>
    <w:rsid w:val="00583F9B"/>
    <w:rsid w:val="00587B13"/>
    <w:rsid w:val="005A0165"/>
    <w:rsid w:val="005A661D"/>
    <w:rsid w:val="005B3F7F"/>
    <w:rsid w:val="005B484F"/>
    <w:rsid w:val="005C3956"/>
    <w:rsid w:val="005E5C10"/>
    <w:rsid w:val="005F2C78"/>
    <w:rsid w:val="005F523A"/>
    <w:rsid w:val="006144E4"/>
    <w:rsid w:val="006501E2"/>
    <w:rsid w:val="00650299"/>
    <w:rsid w:val="00655FC5"/>
    <w:rsid w:val="006714D1"/>
    <w:rsid w:val="00683213"/>
    <w:rsid w:val="006A5248"/>
    <w:rsid w:val="00722ABE"/>
    <w:rsid w:val="0074403A"/>
    <w:rsid w:val="00747081"/>
    <w:rsid w:val="00751CC3"/>
    <w:rsid w:val="00757E80"/>
    <w:rsid w:val="00796C88"/>
    <w:rsid w:val="007B3EE3"/>
    <w:rsid w:val="007B618E"/>
    <w:rsid w:val="007C2A48"/>
    <w:rsid w:val="00812791"/>
    <w:rsid w:val="00822581"/>
    <w:rsid w:val="0082671D"/>
    <w:rsid w:val="008309DD"/>
    <w:rsid w:val="0083227A"/>
    <w:rsid w:val="00866900"/>
    <w:rsid w:val="00881BA1"/>
    <w:rsid w:val="00885F68"/>
    <w:rsid w:val="0089566E"/>
    <w:rsid w:val="008A1123"/>
    <w:rsid w:val="008B0FDE"/>
    <w:rsid w:val="008C26B8"/>
    <w:rsid w:val="009000C9"/>
    <w:rsid w:val="00970ADE"/>
    <w:rsid w:val="00982084"/>
    <w:rsid w:val="00995963"/>
    <w:rsid w:val="009B61EB"/>
    <w:rsid w:val="009C2064"/>
    <w:rsid w:val="009D1697"/>
    <w:rsid w:val="009D19E8"/>
    <w:rsid w:val="009E4792"/>
    <w:rsid w:val="009F1DEE"/>
    <w:rsid w:val="00A014F8"/>
    <w:rsid w:val="00A11C25"/>
    <w:rsid w:val="00A212CB"/>
    <w:rsid w:val="00A5173C"/>
    <w:rsid w:val="00A61AEF"/>
    <w:rsid w:val="00AA5EEC"/>
    <w:rsid w:val="00AB1302"/>
    <w:rsid w:val="00AB70C0"/>
    <w:rsid w:val="00AC3973"/>
    <w:rsid w:val="00AC703B"/>
    <w:rsid w:val="00AD1E7E"/>
    <w:rsid w:val="00AD7468"/>
    <w:rsid w:val="00AF173A"/>
    <w:rsid w:val="00B066A4"/>
    <w:rsid w:val="00B0680F"/>
    <w:rsid w:val="00B07A13"/>
    <w:rsid w:val="00B12EC6"/>
    <w:rsid w:val="00B4279B"/>
    <w:rsid w:val="00B42EB8"/>
    <w:rsid w:val="00B45908"/>
    <w:rsid w:val="00B45FC9"/>
    <w:rsid w:val="00B518FB"/>
    <w:rsid w:val="00B616F8"/>
    <w:rsid w:val="00B82221"/>
    <w:rsid w:val="00B835BE"/>
    <w:rsid w:val="00B87375"/>
    <w:rsid w:val="00BC7CCF"/>
    <w:rsid w:val="00BE20DA"/>
    <w:rsid w:val="00BE470B"/>
    <w:rsid w:val="00C57A91"/>
    <w:rsid w:val="00C65A75"/>
    <w:rsid w:val="00C75A2A"/>
    <w:rsid w:val="00CC01C2"/>
    <w:rsid w:val="00CD2E59"/>
    <w:rsid w:val="00CE288A"/>
    <w:rsid w:val="00CF21F2"/>
    <w:rsid w:val="00D02712"/>
    <w:rsid w:val="00D10A0E"/>
    <w:rsid w:val="00D124C9"/>
    <w:rsid w:val="00D214D0"/>
    <w:rsid w:val="00D6546B"/>
    <w:rsid w:val="00D83E1A"/>
    <w:rsid w:val="00D962AB"/>
    <w:rsid w:val="00DD4BED"/>
    <w:rsid w:val="00DE39F0"/>
    <w:rsid w:val="00DF0AF3"/>
    <w:rsid w:val="00DF7C44"/>
    <w:rsid w:val="00E133A9"/>
    <w:rsid w:val="00E27D7E"/>
    <w:rsid w:val="00E42E13"/>
    <w:rsid w:val="00E6257C"/>
    <w:rsid w:val="00E63C59"/>
    <w:rsid w:val="00E80F93"/>
    <w:rsid w:val="00EA5DF1"/>
    <w:rsid w:val="00EF2629"/>
    <w:rsid w:val="00EF7F06"/>
    <w:rsid w:val="00F300A4"/>
    <w:rsid w:val="00F830ED"/>
    <w:rsid w:val="00FA124A"/>
    <w:rsid w:val="00FA524A"/>
    <w:rsid w:val="00FC08DD"/>
    <w:rsid w:val="00FC2316"/>
    <w:rsid w:val="00FC2CFD"/>
    <w:rsid w:val="00FE7E22"/>
    <w:rsid w:val="00FF4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footnote text" w:uiPriority="99"/>
    <w:lsdException w:name="annotation text"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endnote reference" w:uiPriority="99"/>
    <w:lsdException w:name="Title" w:qFormat="1"/>
    <w:lsdException w:name="Subtitle" w:qFormat="1"/>
    <w:lsdException w:name="Hyperlink" w:uiPriority="99"/>
    <w:lsdException w:name="Strong" w:uiPriority="22" w:qFormat="1"/>
    <w:lsdException w:name="Emphasis" w:uiPriority="99"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20DA"/>
    <w:rPr>
      <w:rFonts w:ascii="Times New Roman" w:hAnsi="Times New Roman"/>
      <w:b/>
      <w:sz w:val="28"/>
      <w:lang w:val="en-GB" w:eastAsia="en-US"/>
    </w:rPr>
  </w:style>
  <w:style w:type="character" w:customStyle="1" w:styleId="Heading2Char">
    <w:name w:val="Heading 2 Char"/>
    <w:basedOn w:val="DefaultParagraphFont"/>
    <w:link w:val="Heading2"/>
    <w:uiPriority w:val="99"/>
    <w:locked/>
    <w:rsid w:val="00BE20DA"/>
    <w:rPr>
      <w:rFonts w:ascii="Times New Roman" w:hAnsi="Times New Roman"/>
      <w:b/>
      <w:sz w:val="24"/>
      <w:lang w:val="en-GB" w:eastAsia="en-US"/>
    </w:rPr>
  </w:style>
  <w:style w:type="character" w:customStyle="1" w:styleId="Heading3Char">
    <w:name w:val="Heading 3 Char"/>
    <w:basedOn w:val="DefaultParagraphFont"/>
    <w:link w:val="Heading3"/>
    <w:uiPriority w:val="99"/>
    <w:locked/>
    <w:rsid w:val="00BE20DA"/>
    <w:rPr>
      <w:rFonts w:ascii="Times New Roman" w:hAnsi="Times New Roman"/>
      <w:b/>
      <w:sz w:val="24"/>
      <w:lang w:val="en-GB" w:eastAsia="en-US"/>
    </w:rPr>
  </w:style>
  <w:style w:type="character" w:customStyle="1" w:styleId="Heading4Char">
    <w:name w:val="Heading 4 Char"/>
    <w:basedOn w:val="DefaultParagraphFont"/>
    <w:link w:val="Heading4"/>
    <w:uiPriority w:val="99"/>
    <w:locked/>
    <w:rsid w:val="00BE20DA"/>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BE20DA"/>
    <w:rPr>
      <w:rFonts w:ascii="Times New Roman" w:hAnsi="Times New Roman"/>
      <w:b/>
      <w:sz w:val="24"/>
      <w:lang w:val="en-GB" w:eastAsia="en-US"/>
    </w:rPr>
  </w:style>
  <w:style w:type="character" w:customStyle="1" w:styleId="Heading6Char">
    <w:name w:val="Heading 6 Char"/>
    <w:basedOn w:val="DefaultParagraphFont"/>
    <w:link w:val="Heading6"/>
    <w:uiPriority w:val="99"/>
    <w:locked/>
    <w:rsid w:val="00BE20DA"/>
    <w:rPr>
      <w:rFonts w:ascii="Times New Roman" w:hAnsi="Times New Roman"/>
      <w:b/>
      <w:sz w:val="24"/>
      <w:lang w:val="en-GB" w:eastAsia="en-US"/>
    </w:rPr>
  </w:style>
  <w:style w:type="character" w:customStyle="1" w:styleId="Heading7Char">
    <w:name w:val="Heading 7 Char"/>
    <w:basedOn w:val="DefaultParagraphFont"/>
    <w:link w:val="Heading7"/>
    <w:uiPriority w:val="99"/>
    <w:locked/>
    <w:rsid w:val="00BE20DA"/>
    <w:rPr>
      <w:rFonts w:ascii="Times New Roman" w:hAnsi="Times New Roman"/>
      <w:b/>
      <w:sz w:val="24"/>
      <w:lang w:val="en-GB" w:eastAsia="en-US"/>
    </w:rPr>
  </w:style>
  <w:style w:type="character" w:customStyle="1" w:styleId="Heading8Char">
    <w:name w:val="Heading 8 Char"/>
    <w:basedOn w:val="DefaultParagraphFont"/>
    <w:link w:val="Heading8"/>
    <w:uiPriority w:val="99"/>
    <w:locked/>
    <w:rsid w:val="00BE20DA"/>
    <w:rPr>
      <w:rFonts w:ascii="Times New Roman" w:hAnsi="Times New Roman"/>
      <w:b/>
      <w:sz w:val="24"/>
      <w:lang w:val="en-GB" w:eastAsia="en-US"/>
    </w:rPr>
  </w:style>
  <w:style w:type="character" w:customStyle="1" w:styleId="Heading9Char">
    <w:name w:val="Heading 9 Char"/>
    <w:basedOn w:val="DefaultParagraphFont"/>
    <w:link w:val="Heading9"/>
    <w:uiPriority w:val="99"/>
    <w:locked/>
    <w:rsid w:val="00BE20DA"/>
    <w:rPr>
      <w:rFonts w:ascii="Times New Roman" w:hAnsi="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character" w:customStyle="1" w:styleId="enumlev1Char">
    <w:name w:val="enumlev1 Char"/>
    <w:link w:val="enumlev1"/>
    <w:uiPriority w:val="99"/>
    <w:locked/>
    <w:rsid w:val="00BE20DA"/>
    <w:rPr>
      <w:rFonts w:ascii="Times New Roman" w:hAnsi="Times New Roman"/>
      <w:sz w:val="24"/>
      <w:lang w:val="en-GB" w:eastAsia="en-US"/>
    </w:r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E63C59"/>
    <w:pPr>
      <w:ind w:left="1134"/>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Figuretitle">
    <w:name w:val="Figure_title"/>
    <w:basedOn w:val="Tabletitle"/>
    <w:next w:val="Normal"/>
    <w:uiPriority w:val="99"/>
    <w:rsid w:val="00E63C59"/>
    <w:pPr>
      <w:spacing w:after="480"/>
    </w:p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locked/>
    <w:rsid w:val="00BE20DA"/>
    <w:rPr>
      <w:rFonts w:ascii="Times New Roman" w:hAnsi="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
    <w:basedOn w:val="DefaultParagraphFont"/>
    <w:uiPriority w:val="99"/>
    <w:rsid w:val="00E63C59"/>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V-,DNV-FT Char"/>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link w:val="FootnoteText"/>
    <w:uiPriority w:val="99"/>
    <w:locked/>
    <w:rsid w:val="00BE20DA"/>
    <w:rPr>
      <w:rFonts w:ascii="Times New Roman" w:hAnsi="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aliases w:val="encabezado"/>
    <w:basedOn w:val="Normal"/>
    <w:link w:val="HeaderChar"/>
    <w:rsid w:val="00E63C59"/>
    <w:pPr>
      <w:spacing w:before="0"/>
      <w:jc w:val="center"/>
    </w:pPr>
    <w:rPr>
      <w:sz w:val="18"/>
    </w:rPr>
  </w:style>
  <w:style w:type="character" w:customStyle="1" w:styleId="HeaderChar">
    <w:name w:val="Header Char"/>
    <w:aliases w:val="encabezado Char"/>
    <w:basedOn w:val="DefaultParagraphFont"/>
    <w:link w:val="Header"/>
    <w:locked/>
    <w:rsid w:val="00BE20DA"/>
    <w:rPr>
      <w:rFonts w:ascii="Times New Roman" w:hAnsi="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character" w:customStyle="1" w:styleId="AnnexNoChar">
    <w:name w:val="Annex_No Char"/>
    <w:link w:val="AnnexNo"/>
    <w:uiPriority w:val="99"/>
    <w:locked/>
    <w:rsid w:val="00BE20DA"/>
    <w:rPr>
      <w:rFonts w:ascii="Times New Roman" w:hAnsi="Times New Roman"/>
      <w:caps/>
      <w:sz w:val="28"/>
      <w:lang w:val="en-GB" w:eastAsia="en-US"/>
    </w:rPr>
  </w:style>
  <w:style w:type="paragraph" w:customStyle="1" w:styleId="Partref">
    <w:name w:val="Part_ref"/>
    <w:basedOn w:val="Annexref"/>
    <w:next w:val="Parttitle"/>
    <w:uiPriority w:val="99"/>
    <w:rsid w:val="00E63C59"/>
  </w:style>
  <w:style w:type="paragraph" w:customStyle="1" w:styleId="Annexref">
    <w:name w:val="Annex_ref"/>
    <w:basedOn w:val="Normal"/>
    <w:next w:val="Normal"/>
    <w:uiPriority w:val="99"/>
    <w:rsid w:val="00E63C59"/>
    <w:pPr>
      <w:keepNext/>
      <w:keepLines/>
      <w:spacing w:after="280"/>
      <w:jc w:val="center"/>
    </w:pPr>
  </w:style>
  <w:style w:type="paragraph" w:customStyle="1" w:styleId="Parttitle">
    <w:name w:val="Part_title"/>
    <w:basedOn w:val="Annextitle"/>
    <w:next w:val="Normalaftertitle0"/>
    <w:uiPriority w:val="99"/>
    <w:rsid w:val="00E63C59"/>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uiPriority w:val="99"/>
    <w:rsid w:val="00E63C59"/>
    <w:pPr>
      <w:spacing w:before="280"/>
    </w:pPr>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b/>
    </w:rPr>
  </w:style>
  <w:style w:type="character" w:customStyle="1" w:styleId="Appref">
    <w:name w:val="App_ref"/>
    <w:basedOn w:val="DefaultParagraphFont"/>
    <w:uiPriority w:val="99"/>
    <w:rsid w:val="00E63C59"/>
  </w:style>
  <w:style w:type="character" w:customStyle="1" w:styleId="Artdef">
    <w:name w:val="Art_def"/>
    <w:basedOn w:val="DefaultParagraphFont"/>
    <w:uiPriority w:val="99"/>
    <w:rsid w:val="00E63C59"/>
    <w:rPr>
      <w:rFonts w:ascii="Times New Roman" w:hAnsi="Times New Roman"/>
      <w:b/>
    </w:rPr>
  </w:style>
  <w:style w:type="character" w:customStyle="1" w:styleId="Artref">
    <w:name w:val="Art_ref"/>
    <w:basedOn w:val="DefaultParagraphFont"/>
    <w:uiPriority w:val="99"/>
    <w:rsid w:val="00E63C59"/>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E63C59"/>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rsid w:val="00E63C59"/>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uiPriority w:val="99"/>
    <w:rsid w:val="00BE20DA"/>
    <w:pPr>
      <w:tabs>
        <w:tab w:val="clear" w:pos="1134"/>
        <w:tab w:val="clear" w:pos="1871"/>
        <w:tab w:val="clear" w:pos="2268"/>
      </w:tabs>
      <w:overflowPunct/>
      <w:autoSpaceDE/>
      <w:autoSpaceDN/>
      <w:adjustRightInd/>
      <w:spacing w:before="0"/>
      <w:textAlignment w:val="auto"/>
    </w:pPr>
    <w:rPr>
      <w:rFonts w:ascii="Tahoma" w:eastAsia="MS Mincho" w:hAnsi="Tahoma" w:cs="Tahoma"/>
      <w:sz w:val="16"/>
      <w:szCs w:val="16"/>
      <w:lang w:val="it-IT" w:eastAsia="ja-JP"/>
    </w:rPr>
  </w:style>
  <w:style w:type="character" w:customStyle="1" w:styleId="BalloonTextChar">
    <w:name w:val="Balloon Text Char"/>
    <w:basedOn w:val="DefaultParagraphFont"/>
    <w:link w:val="BalloonText"/>
    <w:uiPriority w:val="99"/>
    <w:rsid w:val="00BE20DA"/>
    <w:rPr>
      <w:rFonts w:ascii="Tahoma" w:eastAsia="MS Mincho" w:hAnsi="Tahoma" w:cs="Tahoma"/>
      <w:sz w:val="16"/>
      <w:szCs w:val="16"/>
      <w:lang w:val="it-IT" w:eastAsia="ja-JP"/>
    </w:rPr>
  </w:style>
  <w:style w:type="character" w:styleId="Hyperlink">
    <w:name w:val="Hyperlink"/>
    <w:basedOn w:val="DefaultParagraphFont"/>
    <w:uiPriority w:val="99"/>
    <w:rsid w:val="00BE20DA"/>
    <w:rPr>
      <w:rFonts w:cs="Times New Roman"/>
      <w:color w:val="0000FF"/>
      <w:u w:val="none"/>
    </w:rPr>
  </w:style>
  <w:style w:type="character" w:styleId="Emphasis">
    <w:name w:val="Emphasis"/>
    <w:basedOn w:val="DefaultParagraphFont"/>
    <w:uiPriority w:val="99"/>
    <w:qFormat/>
    <w:rsid w:val="00BE20DA"/>
    <w:rPr>
      <w:rFonts w:cs="Times New Roman"/>
      <w:i/>
    </w:rPr>
  </w:style>
  <w:style w:type="character" w:customStyle="1" w:styleId="artsem">
    <w:name w:val="artsem"/>
    <w:uiPriority w:val="99"/>
    <w:rsid w:val="00BE20DA"/>
  </w:style>
  <w:style w:type="paragraph" w:customStyle="1" w:styleId="dedeNormale">
    <w:name w:val="dedeNormale"/>
    <w:basedOn w:val="Normal"/>
    <w:uiPriority w:val="99"/>
    <w:rsid w:val="00BE20DA"/>
    <w:pPr>
      <w:tabs>
        <w:tab w:val="clear" w:pos="1134"/>
        <w:tab w:val="clear" w:pos="1871"/>
        <w:tab w:val="clear" w:pos="2268"/>
      </w:tabs>
      <w:overflowPunct/>
      <w:autoSpaceDE/>
      <w:autoSpaceDN/>
      <w:adjustRightInd/>
      <w:jc w:val="both"/>
      <w:textAlignment w:val="auto"/>
    </w:pPr>
    <w:rPr>
      <w:lang w:val="it-IT" w:eastAsia="it-IT"/>
    </w:rPr>
  </w:style>
  <w:style w:type="paragraph" w:customStyle="1" w:styleId="Default">
    <w:name w:val="Default"/>
    <w:uiPriority w:val="99"/>
    <w:rsid w:val="00BE20DA"/>
    <w:pPr>
      <w:autoSpaceDE w:val="0"/>
      <w:autoSpaceDN w:val="0"/>
      <w:adjustRightInd w:val="0"/>
    </w:pPr>
    <w:rPr>
      <w:rFonts w:ascii="Times New Roman" w:hAnsi="Times New Roman"/>
      <w:color w:val="000000"/>
      <w:sz w:val="24"/>
      <w:szCs w:val="24"/>
      <w:lang w:val="it-IT" w:eastAsia="it-IT"/>
    </w:rPr>
  </w:style>
  <w:style w:type="character" w:styleId="CommentReference">
    <w:name w:val="annotation reference"/>
    <w:basedOn w:val="DefaultParagraphFont"/>
    <w:uiPriority w:val="99"/>
    <w:rsid w:val="00BE20DA"/>
    <w:rPr>
      <w:rFonts w:cs="Times New Roman"/>
      <w:sz w:val="16"/>
      <w:szCs w:val="16"/>
    </w:rPr>
  </w:style>
  <w:style w:type="paragraph" w:styleId="CommentText">
    <w:name w:val="annotation text"/>
    <w:basedOn w:val="Normal"/>
    <w:link w:val="CommentTextChar"/>
    <w:uiPriority w:val="99"/>
    <w:rsid w:val="00BE20DA"/>
    <w:rPr>
      <w:sz w:val="20"/>
    </w:rPr>
  </w:style>
  <w:style w:type="character" w:customStyle="1" w:styleId="CommentTextChar">
    <w:name w:val="Comment Text Char"/>
    <w:basedOn w:val="DefaultParagraphFont"/>
    <w:link w:val="CommentText"/>
    <w:uiPriority w:val="99"/>
    <w:rsid w:val="00BE20DA"/>
    <w:rPr>
      <w:rFonts w:ascii="Times New Roman" w:hAnsi="Times New Roman"/>
      <w:lang w:val="en-GB" w:eastAsia="en-US"/>
    </w:rPr>
  </w:style>
  <w:style w:type="paragraph" w:styleId="CommentSubject">
    <w:name w:val="annotation subject"/>
    <w:basedOn w:val="CommentText"/>
    <w:next w:val="CommentText"/>
    <w:link w:val="CommentSubjectChar"/>
    <w:uiPriority w:val="99"/>
    <w:rsid w:val="00BE20DA"/>
    <w:rPr>
      <w:b/>
      <w:bCs/>
    </w:rPr>
  </w:style>
  <w:style w:type="character" w:customStyle="1" w:styleId="CommentSubjectChar">
    <w:name w:val="Comment Subject Char"/>
    <w:basedOn w:val="CommentTextChar"/>
    <w:link w:val="CommentSubject"/>
    <w:uiPriority w:val="99"/>
    <w:rsid w:val="00BE20DA"/>
    <w:rPr>
      <w:rFonts w:ascii="Times New Roman" w:hAnsi="Times New Roman"/>
      <w:b/>
      <w:bCs/>
      <w:lang w:val="en-GB" w:eastAsia="en-US"/>
    </w:rPr>
  </w:style>
  <w:style w:type="character" w:customStyle="1" w:styleId="hps">
    <w:name w:val="hps"/>
    <w:basedOn w:val="DefaultParagraphFont"/>
    <w:uiPriority w:val="99"/>
    <w:rsid w:val="00BE20DA"/>
    <w:rPr>
      <w:rFonts w:cs="Times New Roman"/>
    </w:rPr>
  </w:style>
  <w:style w:type="paragraph" w:styleId="ListParagraph">
    <w:name w:val="List Paragraph"/>
    <w:basedOn w:val="Normal"/>
    <w:uiPriority w:val="34"/>
    <w:qFormat/>
    <w:rsid w:val="007C2A48"/>
    <w:pPr>
      <w:ind w:left="720"/>
      <w:contextualSpacing/>
    </w:pPr>
  </w:style>
  <w:style w:type="numbering" w:customStyle="1" w:styleId="1">
    <w:name w:val="Стиль1"/>
    <w:uiPriority w:val="99"/>
    <w:rsid w:val="007C2A48"/>
    <w:pPr>
      <w:numPr>
        <w:numId w:val="7"/>
      </w:numPr>
    </w:pPr>
  </w:style>
  <w:style w:type="character" w:styleId="Strong">
    <w:name w:val="Strong"/>
    <w:basedOn w:val="DefaultParagraphFont"/>
    <w:uiPriority w:val="22"/>
    <w:qFormat/>
    <w:rsid w:val="007C2A48"/>
    <w:rPr>
      <w:b/>
      <w:bCs/>
    </w:rPr>
  </w:style>
  <w:style w:type="character" w:styleId="FollowedHyperlink">
    <w:name w:val="FollowedHyperlink"/>
    <w:basedOn w:val="DefaultParagraphFont"/>
    <w:rsid w:val="00075D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footnote text" w:uiPriority="99"/>
    <w:lsdException w:name="annotation text"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endnote reference" w:uiPriority="99"/>
    <w:lsdException w:name="Title" w:qFormat="1"/>
    <w:lsdException w:name="Subtitle" w:qFormat="1"/>
    <w:lsdException w:name="Hyperlink" w:uiPriority="99"/>
    <w:lsdException w:name="Strong" w:uiPriority="22" w:qFormat="1"/>
    <w:lsdException w:name="Emphasis" w:uiPriority="99"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20DA"/>
    <w:rPr>
      <w:rFonts w:ascii="Times New Roman" w:hAnsi="Times New Roman"/>
      <w:b/>
      <w:sz w:val="28"/>
      <w:lang w:val="en-GB" w:eastAsia="en-US"/>
    </w:rPr>
  </w:style>
  <w:style w:type="character" w:customStyle="1" w:styleId="Heading2Char">
    <w:name w:val="Heading 2 Char"/>
    <w:basedOn w:val="DefaultParagraphFont"/>
    <w:link w:val="Heading2"/>
    <w:uiPriority w:val="99"/>
    <w:locked/>
    <w:rsid w:val="00BE20DA"/>
    <w:rPr>
      <w:rFonts w:ascii="Times New Roman" w:hAnsi="Times New Roman"/>
      <w:b/>
      <w:sz w:val="24"/>
      <w:lang w:val="en-GB" w:eastAsia="en-US"/>
    </w:rPr>
  </w:style>
  <w:style w:type="character" w:customStyle="1" w:styleId="Heading3Char">
    <w:name w:val="Heading 3 Char"/>
    <w:basedOn w:val="DefaultParagraphFont"/>
    <w:link w:val="Heading3"/>
    <w:uiPriority w:val="99"/>
    <w:locked/>
    <w:rsid w:val="00BE20DA"/>
    <w:rPr>
      <w:rFonts w:ascii="Times New Roman" w:hAnsi="Times New Roman"/>
      <w:b/>
      <w:sz w:val="24"/>
      <w:lang w:val="en-GB" w:eastAsia="en-US"/>
    </w:rPr>
  </w:style>
  <w:style w:type="character" w:customStyle="1" w:styleId="Heading4Char">
    <w:name w:val="Heading 4 Char"/>
    <w:basedOn w:val="DefaultParagraphFont"/>
    <w:link w:val="Heading4"/>
    <w:uiPriority w:val="99"/>
    <w:locked/>
    <w:rsid w:val="00BE20DA"/>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BE20DA"/>
    <w:rPr>
      <w:rFonts w:ascii="Times New Roman" w:hAnsi="Times New Roman"/>
      <w:b/>
      <w:sz w:val="24"/>
      <w:lang w:val="en-GB" w:eastAsia="en-US"/>
    </w:rPr>
  </w:style>
  <w:style w:type="character" w:customStyle="1" w:styleId="Heading6Char">
    <w:name w:val="Heading 6 Char"/>
    <w:basedOn w:val="DefaultParagraphFont"/>
    <w:link w:val="Heading6"/>
    <w:uiPriority w:val="99"/>
    <w:locked/>
    <w:rsid w:val="00BE20DA"/>
    <w:rPr>
      <w:rFonts w:ascii="Times New Roman" w:hAnsi="Times New Roman"/>
      <w:b/>
      <w:sz w:val="24"/>
      <w:lang w:val="en-GB" w:eastAsia="en-US"/>
    </w:rPr>
  </w:style>
  <w:style w:type="character" w:customStyle="1" w:styleId="Heading7Char">
    <w:name w:val="Heading 7 Char"/>
    <w:basedOn w:val="DefaultParagraphFont"/>
    <w:link w:val="Heading7"/>
    <w:uiPriority w:val="99"/>
    <w:locked/>
    <w:rsid w:val="00BE20DA"/>
    <w:rPr>
      <w:rFonts w:ascii="Times New Roman" w:hAnsi="Times New Roman"/>
      <w:b/>
      <w:sz w:val="24"/>
      <w:lang w:val="en-GB" w:eastAsia="en-US"/>
    </w:rPr>
  </w:style>
  <w:style w:type="character" w:customStyle="1" w:styleId="Heading8Char">
    <w:name w:val="Heading 8 Char"/>
    <w:basedOn w:val="DefaultParagraphFont"/>
    <w:link w:val="Heading8"/>
    <w:uiPriority w:val="99"/>
    <w:locked/>
    <w:rsid w:val="00BE20DA"/>
    <w:rPr>
      <w:rFonts w:ascii="Times New Roman" w:hAnsi="Times New Roman"/>
      <w:b/>
      <w:sz w:val="24"/>
      <w:lang w:val="en-GB" w:eastAsia="en-US"/>
    </w:rPr>
  </w:style>
  <w:style w:type="character" w:customStyle="1" w:styleId="Heading9Char">
    <w:name w:val="Heading 9 Char"/>
    <w:basedOn w:val="DefaultParagraphFont"/>
    <w:link w:val="Heading9"/>
    <w:uiPriority w:val="99"/>
    <w:locked/>
    <w:rsid w:val="00BE20DA"/>
    <w:rPr>
      <w:rFonts w:ascii="Times New Roman" w:hAnsi="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character" w:customStyle="1" w:styleId="enumlev1Char">
    <w:name w:val="enumlev1 Char"/>
    <w:link w:val="enumlev1"/>
    <w:uiPriority w:val="99"/>
    <w:locked/>
    <w:rsid w:val="00BE20DA"/>
    <w:rPr>
      <w:rFonts w:ascii="Times New Roman" w:hAnsi="Times New Roman"/>
      <w:sz w:val="24"/>
      <w:lang w:val="en-GB" w:eastAsia="en-US"/>
    </w:r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E63C59"/>
    <w:pPr>
      <w:ind w:left="1134"/>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Figuretitle">
    <w:name w:val="Figure_title"/>
    <w:basedOn w:val="Tabletitle"/>
    <w:next w:val="Normal"/>
    <w:uiPriority w:val="99"/>
    <w:rsid w:val="00E63C59"/>
    <w:pPr>
      <w:spacing w:after="480"/>
    </w:p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locked/>
    <w:rsid w:val="00BE20DA"/>
    <w:rPr>
      <w:rFonts w:ascii="Times New Roman" w:hAnsi="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
    <w:basedOn w:val="DefaultParagraphFont"/>
    <w:uiPriority w:val="99"/>
    <w:rsid w:val="00E63C59"/>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V-,DNV-FT Char"/>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link w:val="FootnoteText"/>
    <w:uiPriority w:val="99"/>
    <w:locked/>
    <w:rsid w:val="00BE20DA"/>
    <w:rPr>
      <w:rFonts w:ascii="Times New Roman" w:hAnsi="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aliases w:val="encabezado"/>
    <w:basedOn w:val="Normal"/>
    <w:link w:val="HeaderChar"/>
    <w:rsid w:val="00E63C59"/>
    <w:pPr>
      <w:spacing w:before="0"/>
      <w:jc w:val="center"/>
    </w:pPr>
    <w:rPr>
      <w:sz w:val="18"/>
    </w:rPr>
  </w:style>
  <w:style w:type="character" w:customStyle="1" w:styleId="HeaderChar">
    <w:name w:val="Header Char"/>
    <w:aliases w:val="encabezado Char"/>
    <w:basedOn w:val="DefaultParagraphFont"/>
    <w:link w:val="Header"/>
    <w:locked/>
    <w:rsid w:val="00BE20DA"/>
    <w:rPr>
      <w:rFonts w:ascii="Times New Roman" w:hAnsi="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character" w:customStyle="1" w:styleId="AnnexNoChar">
    <w:name w:val="Annex_No Char"/>
    <w:link w:val="AnnexNo"/>
    <w:uiPriority w:val="99"/>
    <w:locked/>
    <w:rsid w:val="00BE20DA"/>
    <w:rPr>
      <w:rFonts w:ascii="Times New Roman" w:hAnsi="Times New Roman"/>
      <w:caps/>
      <w:sz w:val="28"/>
      <w:lang w:val="en-GB" w:eastAsia="en-US"/>
    </w:rPr>
  </w:style>
  <w:style w:type="paragraph" w:customStyle="1" w:styleId="Partref">
    <w:name w:val="Part_ref"/>
    <w:basedOn w:val="Annexref"/>
    <w:next w:val="Parttitle"/>
    <w:uiPriority w:val="99"/>
    <w:rsid w:val="00E63C59"/>
  </w:style>
  <w:style w:type="paragraph" w:customStyle="1" w:styleId="Annexref">
    <w:name w:val="Annex_ref"/>
    <w:basedOn w:val="Normal"/>
    <w:next w:val="Normal"/>
    <w:uiPriority w:val="99"/>
    <w:rsid w:val="00E63C59"/>
    <w:pPr>
      <w:keepNext/>
      <w:keepLines/>
      <w:spacing w:after="280"/>
      <w:jc w:val="center"/>
    </w:pPr>
  </w:style>
  <w:style w:type="paragraph" w:customStyle="1" w:styleId="Parttitle">
    <w:name w:val="Part_title"/>
    <w:basedOn w:val="Annextitle"/>
    <w:next w:val="Normalaftertitle0"/>
    <w:uiPriority w:val="99"/>
    <w:rsid w:val="00E63C59"/>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uiPriority w:val="99"/>
    <w:rsid w:val="00E63C59"/>
    <w:pPr>
      <w:spacing w:before="280"/>
    </w:pPr>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b/>
    </w:rPr>
  </w:style>
  <w:style w:type="character" w:customStyle="1" w:styleId="Appref">
    <w:name w:val="App_ref"/>
    <w:basedOn w:val="DefaultParagraphFont"/>
    <w:uiPriority w:val="99"/>
    <w:rsid w:val="00E63C59"/>
  </w:style>
  <w:style w:type="character" w:customStyle="1" w:styleId="Artdef">
    <w:name w:val="Art_def"/>
    <w:basedOn w:val="DefaultParagraphFont"/>
    <w:uiPriority w:val="99"/>
    <w:rsid w:val="00E63C59"/>
    <w:rPr>
      <w:rFonts w:ascii="Times New Roman" w:hAnsi="Times New Roman"/>
      <w:b/>
    </w:rPr>
  </w:style>
  <w:style w:type="character" w:customStyle="1" w:styleId="Artref">
    <w:name w:val="Art_ref"/>
    <w:basedOn w:val="DefaultParagraphFont"/>
    <w:uiPriority w:val="99"/>
    <w:rsid w:val="00E63C59"/>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E63C59"/>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rsid w:val="00E63C59"/>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uiPriority w:val="99"/>
    <w:rsid w:val="00BE20DA"/>
    <w:pPr>
      <w:tabs>
        <w:tab w:val="clear" w:pos="1134"/>
        <w:tab w:val="clear" w:pos="1871"/>
        <w:tab w:val="clear" w:pos="2268"/>
      </w:tabs>
      <w:overflowPunct/>
      <w:autoSpaceDE/>
      <w:autoSpaceDN/>
      <w:adjustRightInd/>
      <w:spacing w:before="0"/>
      <w:textAlignment w:val="auto"/>
    </w:pPr>
    <w:rPr>
      <w:rFonts w:ascii="Tahoma" w:eastAsia="MS Mincho" w:hAnsi="Tahoma" w:cs="Tahoma"/>
      <w:sz w:val="16"/>
      <w:szCs w:val="16"/>
      <w:lang w:val="it-IT" w:eastAsia="ja-JP"/>
    </w:rPr>
  </w:style>
  <w:style w:type="character" w:customStyle="1" w:styleId="BalloonTextChar">
    <w:name w:val="Balloon Text Char"/>
    <w:basedOn w:val="DefaultParagraphFont"/>
    <w:link w:val="BalloonText"/>
    <w:uiPriority w:val="99"/>
    <w:rsid w:val="00BE20DA"/>
    <w:rPr>
      <w:rFonts w:ascii="Tahoma" w:eastAsia="MS Mincho" w:hAnsi="Tahoma" w:cs="Tahoma"/>
      <w:sz w:val="16"/>
      <w:szCs w:val="16"/>
      <w:lang w:val="it-IT" w:eastAsia="ja-JP"/>
    </w:rPr>
  </w:style>
  <w:style w:type="character" w:styleId="Hyperlink">
    <w:name w:val="Hyperlink"/>
    <w:basedOn w:val="DefaultParagraphFont"/>
    <w:uiPriority w:val="99"/>
    <w:rsid w:val="00BE20DA"/>
    <w:rPr>
      <w:rFonts w:cs="Times New Roman"/>
      <w:color w:val="0000FF"/>
      <w:u w:val="none"/>
    </w:rPr>
  </w:style>
  <w:style w:type="character" w:styleId="Emphasis">
    <w:name w:val="Emphasis"/>
    <w:basedOn w:val="DefaultParagraphFont"/>
    <w:uiPriority w:val="99"/>
    <w:qFormat/>
    <w:rsid w:val="00BE20DA"/>
    <w:rPr>
      <w:rFonts w:cs="Times New Roman"/>
      <w:i/>
    </w:rPr>
  </w:style>
  <w:style w:type="character" w:customStyle="1" w:styleId="artsem">
    <w:name w:val="artsem"/>
    <w:uiPriority w:val="99"/>
    <w:rsid w:val="00BE20DA"/>
  </w:style>
  <w:style w:type="paragraph" w:customStyle="1" w:styleId="dedeNormale">
    <w:name w:val="dedeNormale"/>
    <w:basedOn w:val="Normal"/>
    <w:uiPriority w:val="99"/>
    <w:rsid w:val="00BE20DA"/>
    <w:pPr>
      <w:tabs>
        <w:tab w:val="clear" w:pos="1134"/>
        <w:tab w:val="clear" w:pos="1871"/>
        <w:tab w:val="clear" w:pos="2268"/>
      </w:tabs>
      <w:overflowPunct/>
      <w:autoSpaceDE/>
      <w:autoSpaceDN/>
      <w:adjustRightInd/>
      <w:jc w:val="both"/>
      <w:textAlignment w:val="auto"/>
    </w:pPr>
    <w:rPr>
      <w:lang w:val="it-IT" w:eastAsia="it-IT"/>
    </w:rPr>
  </w:style>
  <w:style w:type="paragraph" w:customStyle="1" w:styleId="Default">
    <w:name w:val="Default"/>
    <w:uiPriority w:val="99"/>
    <w:rsid w:val="00BE20DA"/>
    <w:pPr>
      <w:autoSpaceDE w:val="0"/>
      <w:autoSpaceDN w:val="0"/>
      <w:adjustRightInd w:val="0"/>
    </w:pPr>
    <w:rPr>
      <w:rFonts w:ascii="Times New Roman" w:hAnsi="Times New Roman"/>
      <w:color w:val="000000"/>
      <w:sz w:val="24"/>
      <w:szCs w:val="24"/>
      <w:lang w:val="it-IT" w:eastAsia="it-IT"/>
    </w:rPr>
  </w:style>
  <w:style w:type="character" w:styleId="CommentReference">
    <w:name w:val="annotation reference"/>
    <w:basedOn w:val="DefaultParagraphFont"/>
    <w:uiPriority w:val="99"/>
    <w:rsid w:val="00BE20DA"/>
    <w:rPr>
      <w:rFonts w:cs="Times New Roman"/>
      <w:sz w:val="16"/>
      <w:szCs w:val="16"/>
    </w:rPr>
  </w:style>
  <w:style w:type="paragraph" w:styleId="CommentText">
    <w:name w:val="annotation text"/>
    <w:basedOn w:val="Normal"/>
    <w:link w:val="CommentTextChar"/>
    <w:uiPriority w:val="99"/>
    <w:rsid w:val="00BE20DA"/>
    <w:rPr>
      <w:sz w:val="20"/>
    </w:rPr>
  </w:style>
  <w:style w:type="character" w:customStyle="1" w:styleId="CommentTextChar">
    <w:name w:val="Comment Text Char"/>
    <w:basedOn w:val="DefaultParagraphFont"/>
    <w:link w:val="CommentText"/>
    <w:uiPriority w:val="99"/>
    <w:rsid w:val="00BE20DA"/>
    <w:rPr>
      <w:rFonts w:ascii="Times New Roman" w:hAnsi="Times New Roman"/>
      <w:lang w:val="en-GB" w:eastAsia="en-US"/>
    </w:rPr>
  </w:style>
  <w:style w:type="paragraph" w:styleId="CommentSubject">
    <w:name w:val="annotation subject"/>
    <w:basedOn w:val="CommentText"/>
    <w:next w:val="CommentText"/>
    <w:link w:val="CommentSubjectChar"/>
    <w:uiPriority w:val="99"/>
    <w:rsid w:val="00BE20DA"/>
    <w:rPr>
      <w:b/>
      <w:bCs/>
    </w:rPr>
  </w:style>
  <w:style w:type="character" w:customStyle="1" w:styleId="CommentSubjectChar">
    <w:name w:val="Comment Subject Char"/>
    <w:basedOn w:val="CommentTextChar"/>
    <w:link w:val="CommentSubject"/>
    <w:uiPriority w:val="99"/>
    <w:rsid w:val="00BE20DA"/>
    <w:rPr>
      <w:rFonts w:ascii="Times New Roman" w:hAnsi="Times New Roman"/>
      <w:b/>
      <w:bCs/>
      <w:lang w:val="en-GB" w:eastAsia="en-US"/>
    </w:rPr>
  </w:style>
  <w:style w:type="character" w:customStyle="1" w:styleId="hps">
    <w:name w:val="hps"/>
    <w:basedOn w:val="DefaultParagraphFont"/>
    <w:uiPriority w:val="99"/>
    <w:rsid w:val="00BE20DA"/>
    <w:rPr>
      <w:rFonts w:cs="Times New Roman"/>
    </w:rPr>
  </w:style>
  <w:style w:type="paragraph" w:styleId="ListParagraph">
    <w:name w:val="List Paragraph"/>
    <w:basedOn w:val="Normal"/>
    <w:uiPriority w:val="34"/>
    <w:qFormat/>
    <w:rsid w:val="007C2A48"/>
    <w:pPr>
      <w:ind w:left="720"/>
      <w:contextualSpacing/>
    </w:pPr>
  </w:style>
  <w:style w:type="numbering" w:customStyle="1" w:styleId="1">
    <w:name w:val="Стиль1"/>
    <w:uiPriority w:val="99"/>
    <w:rsid w:val="007C2A48"/>
    <w:pPr>
      <w:numPr>
        <w:numId w:val="7"/>
      </w:numPr>
    </w:pPr>
  </w:style>
  <w:style w:type="character" w:styleId="Strong">
    <w:name w:val="Strong"/>
    <w:basedOn w:val="DefaultParagraphFont"/>
    <w:uiPriority w:val="22"/>
    <w:qFormat/>
    <w:rsid w:val="007C2A48"/>
    <w:rPr>
      <w:b/>
      <w:bCs/>
    </w:rPr>
  </w:style>
  <w:style w:type="character" w:styleId="FollowedHyperlink">
    <w:name w:val="FollowedHyperlink"/>
    <w:basedOn w:val="DefaultParagraphFont"/>
    <w:rsid w:val="00075D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WP6A-C-0308/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itu.int/md/choice_md.asp?id=R12-WP6A-C-0264!N09!MSW-E&amp;lang=en&amp;type=sitem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R12-WP6A-C-0343/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WP6A-C-0229/en" TargetMode="External"/><Relationship Id="rId5" Type="http://schemas.openxmlformats.org/officeDocument/2006/relationships/settings" Target="settings.xml"/><Relationship Id="rId15" Type="http://schemas.openxmlformats.org/officeDocument/2006/relationships/hyperlink" Target="http://www.itu.int/md/R12-WP6A-C-0323/en" TargetMode="External"/><Relationship Id="rId10" Type="http://schemas.openxmlformats.org/officeDocument/2006/relationships/hyperlink" Target="http://www.itu.int/pub/publications.aspx?lang=en&amp;parent=R-REP-SM.2152-2009"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md/R12-WP6A-C-031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F900B-9B4C-4A27-B98C-E0A274CE4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71</TotalTime>
  <Pages>3</Pages>
  <Words>1059</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jovet</dc:creator>
  <cp:lastModifiedBy>Song, Xiaojing</cp:lastModifiedBy>
  <cp:revision>9</cp:revision>
  <cp:lastPrinted>2013-11-20T12:39:00Z</cp:lastPrinted>
  <dcterms:created xsi:type="dcterms:W3CDTF">2013-12-10T15:32:00Z</dcterms:created>
  <dcterms:modified xsi:type="dcterms:W3CDTF">2013-12-11T09:26:00Z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