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The IEEE 802 Lan/Man Standards Committee Response to the OFCOM Consultation on the 870-876 MHz and 915-921 mhz bands</w:t>
      </w:r>
      <w:r w:rsidRPr="001A4291">
        <w:rPr>
          <w:rFonts w:ascii="Times New Roman" w:hAnsi="Times New Roman" w:cs="Times New Roman"/>
          <w:b/>
          <w:color w:val="auto"/>
          <w:sz w:val="24"/>
          <w:lang w:eastAsia="en-US"/>
        </w:rPr>
        <w:t xml:space="preserve"> </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 submits these responses to the Ofcom consultation</w:t>
      </w:r>
      <w:r w:rsidR="009E4203">
        <w:rPr>
          <w:rStyle w:val="FootnoteReference"/>
          <w:rFonts w:ascii="Times New Roman" w:hAnsi="Times New Roman" w:cs="Times New Roman"/>
          <w:color w:val="auto"/>
          <w:szCs w:val="24"/>
          <w:lang w:val="en-GB" w:eastAsia="en-US"/>
        </w:rPr>
        <w:footnoteReference w:id="2"/>
      </w:r>
      <w:r w:rsidRPr="001A4291">
        <w:rPr>
          <w:rFonts w:ascii="Times New Roman" w:hAnsi="Times New Roman" w:cs="Times New Roman"/>
          <w:color w:val="auto"/>
          <w:sz w:val="24"/>
          <w:szCs w:val="24"/>
          <w:lang w:val="en-GB" w:eastAsia="en-US"/>
        </w:rPr>
        <w:t xml:space="preserve">. </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Ofcom.</w:t>
      </w: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color w:val="auto"/>
          <w:sz w:val="24"/>
          <w:szCs w:val="24"/>
          <w:lang w:val="en-GB" w:eastAsia="en-US"/>
        </w:rPr>
        <w:t>First and foremost, we would like to commend Ofcom for considering the license-exempt usage of the 870-876 MHz and 915-921 MHz bands.  We believe that effective use of this spectrum by services using licen</w:t>
      </w:r>
      <w:r w:rsidR="0071453C">
        <w:rPr>
          <w:rFonts w:ascii="Times New Roman" w:hAnsi="Times New Roman" w:cs="Times New Roman"/>
          <w:color w:val="auto"/>
          <w:sz w:val="24"/>
          <w:szCs w:val="24"/>
          <w:lang w:val="en-GB" w:eastAsia="en-US"/>
        </w:rPr>
        <w:t>ce</w:t>
      </w:r>
      <w:r w:rsidRPr="001A4291">
        <w:rPr>
          <w:rFonts w:ascii="Times New Roman" w:hAnsi="Times New Roman" w:cs="Times New Roman"/>
          <w:color w:val="auto"/>
          <w:sz w:val="24"/>
          <w:szCs w:val="24"/>
          <w:lang w:val="en-GB" w:eastAsia="en-US"/>
        </w:rPr>
        <w:t xml:space="preserve"> exempt devices offers opportunities for growth in a wide range of applications in all sectors of the economy, including consumer, business, smart building, smart energy, to name a few.</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has been developing a number of standards and amendments to standards that can</w:t>
      </w:r>
      <w:r w:rsidR="00AC0493">
        <w:rPr>
          <w:rFonts w:ascii="Times New Roman" w:hAnsi="Times New Roman" w:cs="Times New Roman"/>
          <w:color w:val="auto"/>
          <w:sz w:val="24"/>
          <w:szCs w:val="24"/>
          <w:lang w:val="en-GB" w:eastAsia="en-US"/>
        </w:rPr>
        <w:t xml:space="preserve"> provide wireless communication</w:t>
      </w:r>
      <w:r w:rsidRPr="001A4291">
        <w:rPr>
          <w:rFonts w:ascii="Times New Roman" w:hAnsi="Times New Roman" w:cs="Times New Roman"/>
          <w:color w:val="auto"/>
          <w:sz w:val="24"/>
          <w:szCs w:val="24"/>
          <w:lang w:val="en-GB" w:eastAsia="en-US"/>
        </w:rPr>
        <w:t xml:space="preserve"> services in these bands, including the IEEE P802.11, IEEE P802.15, IEEE P802.16, IEEE P802.19, IEEE P802.22 families of standards, to name a few.</w:t>
      </w:r>
      <w:r w:rsidR="0071453C">
        <w:rPr>
          <w:rFonts w:ascii="Times New Roman" w:hAnsi="Times New Roman" w:cs="Times New Roman"/>
          <w:color w:val="auto"/>
          <w:sz w:val="24"/>
          <w:szCs w:val="24"/>
          <w:lang w:val="en-GB" w:eastAsia="en-US"/>
        </w:rPr>
        <w:t xml:space="preserve"> These technologies are widely adopted across the UK and Europe, serving as the foundation for Wi</w:t>
      </w:r>
      <w:r w:rsidR="00E05039">
        <w:rPr>
          <w:rFonts w:ascii="Times New Roman" w:hAnsi="Times New Roman" w:cs="Times New Roman"/>
          <w:color w:val="auto"/>
          <w:sz w:val="24"/>
          <w:szCs w:val="24"/>
          <w:lang w:val="en-GB" w:eastAsia="en-US"/>
        </w:rPr>
        <w:t>-</w:t>
      </w:r>
      <w:r w:rsidR="0071453C">
        <w:rPr>
          <w:rFonts w:ascii="Times New Roman" w:hAnsi="Times New Roman" w:cs="Times New Roman"/>
          <w:color w:val="auto"/>
          <w:sz w:val="24"/>
          <w:szCs w:val="24"/>
          <w:lang w:val="en-GB" w:eastAsia="en-US"/>
        </w:rPr>
        <w:t>Fi</w:t>
      </w:r>
      <w:r w:rsidR="00E05039">
        <w:rPr>
          <w:rFonts w:ascii="Times New Roman" w:hAnsi="Times New Roman" w:cs="Times New Roman"/>
          <w:color w:val="auto"/>
          <w:sz w:val="24"/>
          <w:szCs w:val="24"/>
          <w:lang w:val="en-GB" w:eastAsia="en-US"/>
        </w:rPr>
        <w:t>™</w:t>
      </w:r>
      <w:r w:rsidR="0071453C">
        <w:rPr>
          <w:rFonts w:ascii="Times New Roman" w:hAnsi="Times New Roman" w:cs="Times New Roman"/>
          <w:color w:val="auto"/>
          <w:sz w:val="24"/>
          <w:szCs w:val="24"/>
          <w:lang w:val="en-GB" w:eastAsia="en-US"/>
        </w:rPr>
        <w:t>, WiMAX</w:t>
      </w:r>
      <w:r w:rsidR="00E05039">
        <w:rPr>
          <w:rFonts w:ascii="Times New Roman" w:hAnsi="Times New Roman" w:cs="Times New Roman"/>
          <w:color w:val="auto"/>
          <w:sz w:val="24"/>
          <w:szCs w:val="24"/>
          <w:lang w:val="en-GB" w:eastAsia="en-US"/>
        </w:rPr>
        <w:t>™</w:t>
      </w:r>
      <w:r w:rsidR="0071453C">
        <w:rPr>
          <w:rFonts w:ascii="Times New Roman" w:hAnsi="Times New Roman" w:cs="Times New Roman"/>
          <w:color w:val="auto"/>
          <w:sz w:val="24"/>
          <w:szCs w:val="24"/>
          <w:lang w:val="en-GB" w:eastAsia="en-US"/>
        </w:rPr>
        <w:t>, Bluetooth</w:t>
      </w:r>
      <w:r w:rsidR="00E05039">
        <w:rPr>
          <w:rFonts w:ascii="Times New Roman" w:hAnsi="Times New Roman" w:cs="Times New Roman"/>
          <w:color w:val="auto"/>
          <w:sz w:val="24"/>
          <w:szCs w:val="24"/>
          <w:lang w:val="en-GB" w:eastAsia="en-US"/>
        </w:rPr>
        <w:t>™</w:t>
      </w:r>
      <w:r w:rsidR="0071453C">
        <w:rPr>
          <w:rFonts w:ascii="Times New Roman" w:hAnsi="Times New Roman" w:cs="Times New Roman"/>
          <w:color w:val="auto"/>
          <w:sz w:val="24"/>
          <w:szCs w:val="24"/>
          <w:lang w:val="en-GB" w:eastAsia="en-US"/>
        </w:rPr>
        <w:t>, ZigBee</w:t>
      </w:r>
      <w:r w:rsidR="00E05039">
        <w:rPr>
          <w:rFonts w:ascii="Times New Roman" w:hAnsi="Times New Roman" w:cs="Times New Roman"/>
          <w:color w:val="auto"/>
          <w:sz w:val="24"/>
          <w:szCs w:val="24"/>
          <w:lang w:val="en-GB" w:eastAsia="en-US"/>
        </w:rPr>
        <w:t>™</w:t>
      </w:r>
      <w:r w:rsidR="0071453C">
        <w:rPr>
          <w:rFonts w:ascii="Times New Roman" w:hAnsi="Times New Roman" w:cs="Times New Roman"/>
          <w:color w:val="auto"/>
          <w:sz w:val="24"/>
          <w:szCs w:val="24"/>
          <w:lang w:val="en-GB" w:eastAsia="en-US"/>
        </w:rPr>
        <w:t>, etc.</w:t>
      </w:r>
    </w:p>
    <w:p w:rsidR="001A4291" w:rsidRPr="001A4291" w:rsidRDefault="001A4291" w:rsidP="001A4291">
      <w:pPr>
        <w:numPr>
          <w:ilvl w:val="0"/>
          <w:numId w:val="10"/>
        </w:numPr>
        <w:spacing w:before="0" w:line="360" w:lineRule="auto"/>
        <w:rPr>
          <w:rFonts w:ascii="Times New Roman" w:hAnsi="Times New Roman" w:cs="TimesNewRomanPS-BoldMT"/>
          <w:bCs/>
          <w:color w:val="auto"/>
          <w:sz w:val="24"/>
          <w:szCs w:val="24"/>
          <w:lang w:val="en-GB" w:eastAsia="en-US"/>
        </w:rPr>
      </w:pPr>
      <w:r w:rsidRPr="001A4291">
        <w:rPr>
          <w:rFonts w:ascii="Times New Roman" w:hAnsi="Times New Roman" w:cs="TimesNewRomanPS-BoldMT"/>
          <w:bCs/>
          <w:color w:val="auto"/>
          <w:sz w:val="24"/>
          <w:szCs w:val="24"/>
          <w:lang w:val="en-GB" w:eastAsia="en-US"/>
        </w:rPr>
        <w:t>We believe the following benefits would result from making this spectrum available:</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Helps to satisfy the growing demand for </w:t>
      </w:r>
      <w:r w:rsidR="0071453C">
        <w:rPr>
          <w:rFonts w:ascii="Times New Roman" w:hAnsi="Times New Roman" w:cs="Times New Roman"/>
          <w:color w:val="auto"/>
          <w:sz w:val="24"/>
          <w:szCs w:val="24"/>
          <w:lang w:val="en-GB" w:eastAsia="en-US"/>
        </w:rPr>
        <w:t>M2M</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services.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lastRenderedPageBreak/>
        <w:t xml:space="preserve">Provides additional spectrum for other services, </w:t>
      </w:r>
      <w:r w:rsidR="0071453C">
        <w:rPr>
          <w:rFonts w:ascii="Times New Roman" w:hAnsi="Times New Roman" w:cs="Times New Roman"/>
          <w:color w:val="auto"/>
          <w:sz w:val="24"/>
          <w:szCs w:val="24"/>
          <w:lang w:val="en-GB" w:eastAsia="en-US"/>
        </w:rPr>
        <w:t>including Smart Metering,</w:t>
      </w:r>
      <w:r w:rsidRPr="001A4291">
        <w:rPr>
          <w:rFonts w:ascii="Times New Roman" w:hAnsi="Times New Roman" w:cs="Times New Roman"/>
          <w:color w:val="auto"/>
          <w:sz w:val="24"/>
          <w:szCs w:val="24"/>
          <w:lang w:val="en-GB" w:eastAsia="en-US"/>
        </w:rPr>
        <w:t xml:space="preserve"> Smart Grid</w:t>
      </w:r>
      <w:r w:rsidR="0071453C">
        <w:rPr>
          <w:rFonts w:ascii="Times New Roman" w:hAnsi="Times New Roman" w:cs="Times New Roman"/>
          <w:color w:val="auto"/>
          <w:sz w:val="24"/>
          <w:szCs w:val="24"/>
          <w:lang w:val="en-GB" w:eastAsia="en-US"/>
        </w:rPr>
        <w:t>, Smart City, and Internet of Things</w:t>
      </w:r>
      <w:r w:rsidRPr="001A4291">
        <w:rPr>
          <w:rFonts w:ascii="Times New Roman" w:hAnsi="Times New Roman" w:cs="Times New Roman"/>
          <w:color w:val="auto"/>
          <w:sz w:val="24"/>
          <w:szCs w:val="24"/>
          <w:lang w:val="en-GB" w:eastAsia="en-US"/>
        </w:rPr>
        <w:t xml:space="preserve"> applications.</w:t>
      </w:r>
      <w:bookmarkStart w:id="0" w:name="_GoBack"/>
      <w:bookmarkEnd w:id="0"/>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Making the current spectrum licen</w:t>
      </w:r>
      <w:r w:rsidR="0071453C">
        <w:rPr>
          <w:rFonts w:ascii="Times New Roman" w:hAnsi="Times New Roman" w:cs="Times New Roman"/>
          <w:color w:val="auto"/>
          <w:sz w:val="24"/>
          <w:szCs w:val="24"/>
          <w:lang w:val="en-GB" w:eastAsia="en-US"/>
        </w:rPr>
        <w:t>c</w:t>
      </w:r>
      <w:r w:rsidRPr="001A4291">
        <w:rPr>
          <w:rFonts w:ascii="Times New Roman" w:hAnsi="Times New Roman" w:cs="Times New Roman"/>
          <w:color w:val="auto"/>
          <w:sz w:val="24"/>
          <w:szCs w:val="24"/>
          <w:lang w:val="en-GB" w:eastAsia="en-US"/>
        </w:rPr>
        <w:t xml:space="preserve">e-exempt </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or</w:t>
      </w:r>
      <w:r w:rsidR="0071453C">
        <w:rPr>
          <w:rFonts w:ascii="Times New Roman" w:hAnsi="Times New Roman" w:cs="Times New Roman"/>
          <w:color w:val="auto"/>
          <w:sz w:val="24"/>
          <w:szCs w:val="24"/>
          <w:lang w:val="en-GB" w:eastAsia="en-US"/>
        </w:rPr>
        <w:t>, if required,</w:t>
      </w:r>
      <w:r w:rsidRPr="001A4291">
        <w:rPr>
          <w:rFonts w:ascii="Times New Roman" w:hAnsi="Times New Roman" w:cs="Times New Roman"/>
          <w:color w:val="auto"/>
          <w:sz w:val="24"/>
          <w:szCs w:val="24"/>
          <w:lang w:val="en-GB" w:eastAsia="en-US"/>
        </w:rPr>
        <w:t xml:space="preserve"> lightly licensed</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permits flexible spectrum sharing as applications evolve in the market place.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commend the work that has taken place to arrive at </w:t>
      </w:r>
      <w:r w:rsidR="00A276D7">
        <w:rPr>
          <w:rFonts w:ascii="Times New Roman" w:hAnsi="Times New Roman" w:cs="Times New Roman"/>
          <w:color w:val="auto"/>
          <w:sz w:val="24"/>
          <w:szCs w:val="24"/>
          <w:lang w:val="en-GB" w:eastAsia="en-US"/>
        </w:rPr>
        <w:t xml:space="preserve">the </w:t>
      </w:r>
      <w:r w:rsidRPr="001A4291">
        <w:rPr>
          <w:rFonts w:ascii="Times New Roman" w:hAnsi="Times New Roman" w:cs="Times New Roman"/>
          <w:color w:val="auto"/>
          <w:sz w:val="24"/>
          <w:szCs w:val="24"/>
          <w:lang w:val="en-GB" w:eastAsia="en-US"/>
        </w:rPr>
        <w:t>proposed rules for operation in these bands and endorse their findings.</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believe </w:t>
      </w:r>
      <w:r w:rsidR="0071453C">
        <w:rPr>
          <w:rFonts w:ascii="Times New Roman" w:hAnsi="Times New Roman" w:cs="Times New Roman"/>
          <w:color w:val="auto"/>
          <w:sz w:val="24"/>
          <w:szCs w:val="24"/>
          <w:lang w:val="en-GB" w:eastAsia="en-US"/>
        </w:rPr>
        <w:t>that it is imperative to allow for the</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 xml:space="preserve">operation of Network Relay Points </w:t>
      </w:r>
      <w:r w:rsidR="0071453C">
        <w:rPr>
          <w:rFonts w:ascii="Times New Roman" w:hAnsi="Times New Roman" w:cs="Times New Roman"/>
          <w:color w:val="auto"/>
          <w:sz w:val="24"/>
          <w:szCs w:val="24"/>
          <w:lang w:val="en-GB" w:eastAsia="en-US"/>
        </w:rPr>
        <w:t xml:space="preserve">(NRPs) </w:t>
      </w:r>
      <w:r w:rsidRPr="001A4291">
        <w:rPr>
          <w:rFonts w:ascii="Times New Roman" w:hAnsi="Times New Roman" w:cs="Times New Roman"/>
          <w:color w:val="auto"/>
          <w:sz w:val="24"/>
          <w:szCs w:val="24"/>
          <w:lang w:val="en-GB" w:eastAsia="en-US"/>
        </w:rPr>
        <w:t xml:space="preserve">with duty cycles of up to 10% </w:t>
      </w:r>
      <w:r w:rsidR="0071453C">
        <w:rPr>
          <w:rFonts w:ascii="Times New Roman" w:hAnsi="Times New Roman" w:cs="Times New Roman"/>
          <w:color w:val="auto"/>
          <w:sz w:val="24"/>
          <w:szCs w:val="24"/>
          <w:lang w:val="en-GB" w:eastAsia="en-US"/>
        </w:rPr>
        <w:t>so as to</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strengthen the business case for the use of these bands, by allowing for network deployments otherwise made impractical, when used in combination with appropriate technical and procedural safeguards.</w:t>
      </w:r>
    </w:p>
    <w:p w:rsidR="001A4291" w:rsidRPr="001A4291" w:rsidRDefault="001A4291" w:rsidP="001A4291">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rsidR="001A4291" w:rsidRPr="001A4291" w:rsidRDefault="001A4291" w:rsidP="001A4291">
      <w:pPr>
        <w:spacing w:before="0" w:line="360" w:lineRule="auto"/>
        <w:ind w:left="90"/>
        <w:rPr>
          <w:rFonts w:ascii="Times New Roman" w:hAnsi="Times New Roman" w:cs="Times New Roman"/>
          <w:color w:val="auto"/>
          <w:sz w:val="24"/>
          <w:szCs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rsidR="001A4291" w:rsidRPr="001A4291" w:rsidRDefault="001A4291" w:rsidP="001A4291">
      <w:pPr>
        <w:numPr>
          <w:ilvl w:val="0"/>
          <w:numId w:val="10"/>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Ofcom’s efforts in this proceeding to adopt the regulatory framework for licensed exempt technology in the 870-876 MHz and 915-921 MHz bands. We believe that moving forward in opening up this spectrum to the kinds of devices and applications that have been so successfully deployed in the more established license exempt bands like </w:t>
      </w:r>
      <w:r w:rsidR="006A7CCE">
        <w:rPr>
          <w:rFonts w:ascii="Times New Roman" w:hAnsi="Times New Roman" w:cs="Times New Roman"/>
          <w:color w:val="auto"/>
          <w:sz w:val="24"/>
          <w:lang w:val="en-GB" w:eastAsia="en-US"/>
        </w:rPr>
        <w:t xml:space="preserve">the 863-870 MHz, the ISM 902-928 MHz, </w:t>
      </w:r>
      <w:r w:rsidRPr="001A4291">
        <w:rPr>
          <w:rFonts w:ascii="Times New Roman" w:hAnsi="Times New Roman" w:cs="Times New Roman"/>
          <w:color w:val="auto"/>
          <w:sz w:val="24"/>
          <w:lang w:val="en-GB" w:eastAsia="en-US"/>
        </w:rPr>
        <w:t>2.4 GHz and 5 GHz will bring economic and social benefits to the people of UK.</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rsidR="001A4291" w:rsidRPr="001A4291" w:rsidRDefault="001A4291" w:rsidP="001A4291">
      <w:pPr>
        <w:spacing w:before="0" w:line="240" w:lineRule="auto"/>
        <w:rPr>
          <w:rFonts w:ascii="Times New Roman" w:hAnsi="Times New Roman" w:cs="Times New Roman"/>
          <w:color w:val="auto"/>
          <w:sz w:val="24"/>
          <w:lang w:val="en-GB" w:eastAsia="en-US"/>
        </w:rPr>
      </w:pPr>
    </w:p>
    <w:tbl>
      <w:tblPr>
        <w:tblW w:w="0" w:type="auto"/>
        <w:tblLook w:val="0000" w:firstRow="0" w:lastRow="0" w:firstColumn="0" w:lastColumn="0" w:noHBand="0" w:noVBand="0"/>
      </w:tblPr>
      <w:tblGrid>
        <w:gridCol w:w="8385"/>
      </w:tblGrid>
      <w:tr w:rsidR="001A4291" w:rsidRPr="001A4291" w:rsidTr="00E63E85">
        <w:trPr>
          <w:trHeight w:val="293"/>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/s/</w:t>
            </w:r>
          </w:p>
          <w:p w:rsidR="001A4291" w:rsidRPr="001A4291" w:rsidRDefault="001A4291" w:rsidP="001A4291">
            <w:pPr>
              <w:spacing w:before="0" w:line="240" w:lineRule="auto"/>
              <w:rPr>
                <w:rFonts w:ascii="Times New Roman" w:hAnsi="Times New Roman" w:cs="Times New Roman"/>
                <w:color w:val="auto"/>
                <w:sz w:val="24"/>
                <w:lang w:val="en-GB" w:eastAsia="en-US"/>
              </w:rPr>
            </w:pPr>
          </w:p>
        </w:tc>
      </w:tr>
      <w:tr w:rsidR="001A4291" w:rsidRPr="001A4291" w:rsidTr="00E63E85">
        <w:trPr>
          <w:trHeight w:val="277"/>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Michael Lynch</w:t>
            </w:r>
          </w:p>
        </w:tc>
      </w:tr>
      <w:tr w:rsidR="001A4291" w:rsidRPr="001A4291" w:rsidTr="00E63E85">
        <w:trPr>
          <w:trHeight w:val="570"/>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Chair, IEEE 802.18 Radio Regulatory Technical Advisory Group</w:t>
            </w:r>
          </w:p>
          <w:p w:rsidR="001A4291" w:rsidRPr="001A4291" w:rsidRDefault="001A4291" w:rsidP="001A4291">
            <w:pPr>
              <w:spacing w:before="0" w:line="24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972.814.4901</w:t>
            </w: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szCs w:val="24"/>
                <w:lang w:val="en-GB" w:eastAsia="en-US"/>
              </w:rPr>
              <w:t>freqmgr@ieee.org</w:t>
            </w:r>
          </w:p>
        </w:tc>
      </w:tr>
    </w:tbl>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autoSpaceDE w:val="0"/>
        <w:autoSpaceDN w:val="0"/>
        <w:adjustRightInd w:val="0"/>
        <w:spacing w:before="0" w:line="480" w:lineRule="auto"/>
        <w:rPr>
          <w:rFonts w:ascii="Times New Roman" w:eastAsia="MS Mincho" w:hAnsi="Times New Roman" w:cs="Times New Roman"/>
          <w:b/>
          <w:color w:val="010101"/>
          <w:sz w:val="24"/>
          <w:lang w:val="en-GB"/>
        </w:rPr>
      </w:pPr>
    </w:p>
    <w:p w:rsidR="001A4291" w:rsidRPr="001A4291" w:rsidRDefault="001A4291" w:rsidP="001A4291">
      <w:pPr>
        <w:spacing w:before="0" w:line="240" w:lineRule="auto"/>
        <w:rPr>
          <w:rFonts w:ascii="Times New Roman" w:hAnsi="Times New Roman" w:cs="Times New Roman"/>
          <w:color w:val="auto"/>
          <w:lang w:eastAsia="en-US"/>
        </w:rPr>
      </w:pPr>
    </w:p>
    <w:p w:rsidR="002500F5" w:rsidRDefault="001027B1"/>
    <w:sectPr w:rsidR="002500F5" w:rsidSect="00751EED">
      <w:headerReference w:type="default" r:id="rId8"/>
      <w:footerReference w:type="default" r:id="rId9"/>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B1" w:rsidRDefault="001027B1" w:rsidP="001A4291">
      <w:pPr>
        <w:spacing w:before="0" w:line="240" w:lineRule="auto"/>
      </w:pPr>
      <w:r>
        <w:separator/>
      </w:r>
    </w:p>
  </w:endnote>
  <w:endnote w:type="continuationSeparator" w:id="0">
    <w:p w:rsidR="001027B1" w:rsidRDefault="001027B1" w:rsidP="001A42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ED" w:rsidRDefault="00214F67">
    <w:pPr>
      <w:pStyle w:val="Footer"/>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250EC">
      <w:rPr>
        <w:noProof/>
      </w:rPr>
      <w:t>2</w:t>
    </w:r>
    <w:r>
      <w:fldChar w:fldCharType="end"/>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B1" w:rsidRDefault="001027B1" w:rsidP="001A4291">
      <w:pPr>
        <w:spacing w:before="0" w:line="240" w:lineRule="auto"/>
      </w:pPr>
      <w:r>
        <w:separator/>
      </w:r>
    </w:p>
  </w:footnote>
  <w:footnote w:type="continuationSeparator" w:id="0">
    <w:p w:rsidR="001027B1" w:rsidRDefault="001027B1" w:rsidP="001A4291">
      <w:pPr>
        <w:spacing w:before="0" w:line="240" w:lineRule="auto"/>
      </w:pPr>
      <w:r>
        <w:continuationSeparator/>
      </w:r>
    </w:p>
  </w:footnote>
  <w:footnote w:id="1">
    <w:p w:rsidR="001A4291" w:rsidRDefault="001A4291" w:rsidP="001A4291">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rsidR="009E4203" w:rsidRDefault="009E4203">
      <w:pPr>
        <w:pStyle w:val="FootnoteText"/>
      </w:pPr>
      <w:r>
        <w:rPr>
          <w:rStyle w:val="FootnoteReference"/>
        </w:rPr>
        <w:footnoteRef/>
      </w:r>
      <w:r>
        <w:t xml:space="preserve"> 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36" w:rsidRDefault="001027B1">
    <w:pPr>
      <w:pStyle w:val="Header"/>
    </w:pPr>
    <w:sdt>
      <w:sdtPr>
        <w:id w:val="-142756816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6661B">
      <w:t>Doc.: 18-14/01r</w:t>
    </w:r>
    <w:r w:rsidR="00351863">
      <w:t>4</w:t>
    </w:r>
  </w:p>
  <w:p w:rsidR="00751EED" w:rsidRPr="002D4E45" w:rsidRDefault="001027B1" w:rsidP="00751EED">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D27"/>
    <w:multiLevelType w:val="hybridMultilevel"/>
    <w:tmpl w:val="13C6EBC6"/>
    <w:lvl w:ilvl="0" w:tplc="AA24BCD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164E5DCE"/>
    <w:multiLevelType w:val="multilevel"/>
    <w:tmpl w:val="F8EC41A0"/>
    <w:lvl w:ilvl="0">
      <w:start w:val="1"/>
      <w:numFmt w:val="decimal"/>
      <w:lvlText w:val="%1"/>
      <w:lvlJc w:val="left"/>
      <w:pPr>
        <w:tabs>
          <w:tab w:val="num" w:pos="432"/>
        </w:tabs>
        <w:ind w:left="432" w:hanging="432"/>
      </w:pPr>
    </w:lvl>
    <w:lvl w:ilvl="1">
      <w:start w:val="1"/>
      <w:numFmt w:val="decimal"/>
      <w:pStyle w:val="Heading2"/>
      <w:lvlText w:val="%1.%2"/>
      <w:lvlJc w:val="left"/>
      <w:pPr>
        <w:tabs>
          <w:tab w:val="num" w:pos="677"/>
        </w:tabs>
        <w:ind w:left="6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65"/>
        </w:tabs>
        <w:ind w:left="965" w:hanging="864"/>
      </w:pPr>
    </w:lvl>
    <w:lvl w:ilvl="4">
      <w:start w:val="1"/>
      <w:numFmt w:val="decimal"/>
      <w:pStyle w:val="Heading5"/>
      <w:lvlText w:val="%1.%2.%3.%4.%5"/>
      <w:lvlJc w:val="left"/>
      <w:pPr>
        <w:tabs>
          <w:tab w:val="num" w:pos="1109"/>
        </w:tabs>
        <w:ind w:left="1109" w:hanging="1008"/>
      </w:pPr>
    </w:lvl>
    <w:lvl w:ilvl="5">
      <w:start w:val="1"/>
      <w:numFmt w:val="decimal"/>
      <w:pStyle w:val="Heading6"/>
      <w:lvlText w:val="%1.%2.%3.%4.%5.%6"/>
      <w:lvlJc w:val="left"/>
      <w:pPr>
        <w:tabs>
          <w:tab w:val="num" w:pos="1253"/>
        </w:tabs>
        <w:ind w:left="1253" w:hanging="1152"/>
      </w:pPr>
    </w:lvl>
    <w:lvl w:ilvl="6">
      <w:start w:val="1"/>
      <w:numFmt w:val="decimal"/>
      <w:pStyle w:val="Heading7"/>
      <w:lvlText w:val="%1.%2.%3.%4.%5.%6.%7"/>
      <w:lvlJc w:val="left"/>
      <w:pPr>
        <w:tabs>
          <w:tab w:val="num" w:pos="1397"/>
        </w:tabs>
        <w:ind w:left="1397" w:hanging="1296"/>
      </w:pPr>
    </w:lvl>
    <w:lvl w:ilvl="7">
      <w:start w:val="1"/>
      <w:numFmt w:val="decimal"/>
      <w:pStyle w:val="Heading8"/>
      <w:lvlText w:val="%1.%2.%3.%4.%5.%6.%7.%8"/>
      <w:lvlJc w:val="left"/>
      <w:pPr>
        <w:tabs>
          <w:tab w:val="num" w:pos="1541"/>
        </w:tabs>
        <w:ind w:left="1541" w:hanging="1440"/>
      </w:pPr>
    </w:lvl>
    <w:lvl w:ilvl="8">
      <w:start w:val="1"/>
      <w:numFmt w:val="decimal"/>
      <w:lvlText w:val="%1.%2.%3.%4.%5.%6.%7.%8.%9"/>
      <w:lvlJc w:val="left"/>
      <w:pPr>
        <w:tabs>
          <w:tab w:val="num" w:pos="1685"/>
        </w:tabs>
        <w:ind w:left="1685" w:hanging="1584"/>
      </w:pPr>
    </w:lvl>
  </w:abstractNum>
  <w:abstractNum w:abstractNumId="2">
    <w:nsid w:val="5ABC35B6"/>
    <w:multiLevelType w:val="hybridMultilevel"/>
    <w:tmpl w:val="659A25E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91"/>
    <w:rsid w:val="0006661B"/>
    <w:rsid w:val="001027B1"/>
    <w:rsid w:val="0014269C"/>
    <w:rsid w:val="001A4291"/>
    <w:rsid w:val="00204483"/>
    <w:rsid w:val="00214F67"/>
    <w:rsid w:val="00231AA6"/>
    <w:rsid w:val="00287500"/>
    <w:rsid w:val="0029263B"/>
    <w:rsid w:val="002A08DA"/>
    <w:rsid w:val="00351863"/>
    <w:rsid w:val="004250EC"/>
    <w:rsid w:val="00507184"/>
    <w:rsid w:val="00521F12"/>
    <w:rsid w:val="005A5FFB"/>
    <w:rsid w:val="00604270"/>
    <w:rsid w:val="00671A99"/>
    <w:rsid w:val="006A7CCE"/>
    <w:rsid w:val="0070592C"/>
    <w:rsid w:val="0071453C"/>
    <w:rsid w:val="007226FA"/>
    <w:rsid w:val="007513C7"/>
    <w:rsid w:val="00776609"/>
    <w:rsid w:val="00776ACB"/>
    <w:rsid w:val="008543AA"/>
    <w:rsid w:val="009B27BA"/>
    <w:rsid w:val="009B7811"/>
    <w:rsid w:val="009E4203"/>
    <w:rsid w:val="00A276D7"/>
    <w:rsid w:val="00A422CB"/>
    <w:rsid w:val="00AC0493"/>
    <w:rsid w:val="00B36E35"/>
    <w:rsid w:val="00B635B6"/>
    <w:rsid w:val="00E05039"/>
    <w:rsid w:val="00E417AD"/>
    <w:rsid w:val="00E5065C"/>
    <w:rsid w:val="00E66736"/>
    <w:rsid w:val="00EF5CD5"/>
    <w:rsid w:val="00F536BF"/>
    <w:rsid w:val="00F91F9B"/>
    <w:rsid w:val="00FB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31165815-1D19-475C-9FF8-9B140CBB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85A6-3B08-4544-B129-F9AB170E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Seibert</dc:creator>
  <cp:lastModifiedBy>Holcomb, Jay</cp:lastModifiedBy>
  <cp:revision>3</cp:revision>
  <cp:lastPrinted>2014-01-20T23:54:00Z</cp:lastPrinted>
  <dcterms:created xsi:type="dcterms:W3CDTF">2014-01-23T16:40:00Z</dcterms:created>
  <dcterms:modified xsi:type="dcterms:W3CDTF">2014-01-23T16:43:00Z</dcterms:modified>
</cp:coreProperties>
</file>