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1E1A51"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 communication</w:t>
            </w:r>
            <w:r w:rsidR="000069D4">
              <w:rPr>
                <w:rFonts w:ascii="Verdana" w:hAnsi="Verdana" w:cs="Times New Roman Bold"/>
                <w:b/>
                <w:bCs/>
                <w:sz w:val="26"/>
                <w:szCs w:val="26"/>
              </w:rPr>
              <w:t xml:space="preserve"> Study Groups</w:t>
            </w:r>
          </w:p>
        </w:tc>
        <w:tc>
          <w:tcPr>
            <w:tcW w:w="3451" w:type="dxa"/>
          </w:tcPr>
          <w:p w:rsidR="000069D4" w:rsidRDefault="008078D5" w:rsidP="008078D5">
            <w:pPr>
              <w:shd w:val="solid" w:color="FFFFFF" w:fill="FFFFFF"/>
              <w:spacing w:before="0" w:line="240" w:lineRule="atLeast"/>
            </w:pPr>
            <w:bookmarkStart w:id="1" w:name="ditulogo"/>
            <w:bookmarkEnd w:id="1"/>
            <w:r>
              <w:rPr>
                <w:noProof/>
                <w:lang w:val="en-US"/>
              </w:rPr>
              <w:drawing>
                <wp:inline distT="0" distB="0" distL="0" distR="0" wp14:anchorId="1E31263B" wp14:editId="5E945756">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7B0AAA">
        <w:trPr>
          <w:cantSplit/>
        </w:trPr>
        <w:tc>
          <w:tcPr>
            <w:tcW w:w="6580" w:type="dxa"/>
            <w:vMerge w:val="restart"/>
          </w:tcPr>
          <w:p w:rsidR="000069D4" w:rsidRPr="00515BE4" w:rsidRDefault="00515BE4" w:rsidP="008078D5">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2" w:name="recibido"/>
            <w:bookmarkStart w:id="3" w:name="dnum" w:colFirst="1" w:colLast="1"/>
            <w:bookmarkEnd w:id="2"/>
            <w:r w:rsidRPr="00757AAE">
              <w:rPr>
                <w:rFonts w:ascii="Verdana" w:hAnsi="Verdana"/>
                <w:sz w:val="20"/>
                <w:lang w:val="fr-CH"/>
              </w:rPr>
              <w:t>Source:</w:t>
            </w:r>
            <w:r>
              <w:rPr>
                <w:rFonts w:ascii="Verdana" w:hAnsi="Verdana"/>
                <w:sz w:val="20"/>
                <w:lang w:val="fr-CH"/>
              </w:rPr>
              <w:tab/>
              <w:t>COM 15 – LS 065</w:t>
            </w:r>
            <w:r w:rsidR="00A23B08">
              <w:rPr>
                <w:rFonts w:ascii="Verdana" w:hAnsi="Verdana"/>
                <w:sz w:val="20"/>
                <w:lang w:val="fr-CH"/>
              </w:rPr>
              <w:t>-E</w:t>
            </w:r>
          </w:p>
          <w:p w:rsidR="008078D5" w:rsidRPr="007B0AAA" w:rsidRDefault="001E1A51" w:rsidP="00C331C8">
            <w:pPr>
              <w:shd w:val="solid" w:color="FFFFFF" w:fill="FFFFFF"/>
              <w:tabs>
                <w:tab w:val="clear" w:pos="1134"/>
                <w:tab w:val="clear" w:pos="1871"/>
                <w:tab w:val="clear" w:pos="2268"/>
              </w:tabs>
              <w:spacing w:before="0" w:after="240"/>
              <w:ind w:left="1134" w:hanging="1134"/>
              <w:rPr>
                <w:rFonts w:ascii="Verdana" w:hAnsi="Verdana"/>
                <w:sz w:val="20"/>
                <w:lang w:val="fr-CH"/>
              </w:rPr>
            </w:pPr>
            <w:proofErr w:type="spellStart"/>
            <w:r w:rsidRPr="00757AAE">
              <w:rPr>
                <w:rFonts w:ascii="Verdana" w:hAnsi="Verdana"/>
                <w:sz w:val="20"/>
                <w:lang w:val="fr-CH"/>
              </w:rPr>
              <w:t>Subject</w:t>
            </w:r>
            <w:proofErr w:type="spellEnd"/>
            <w:r w:rsidR="00515BE4" w:rsidRPr="00757AAE">
              <w:rPr>
                <w:rFonts w:ascii="Verdana" w:hAnsi="Verdana"/>
                <w:sz w:val="20"/>
                <w:lang w:val="fr-CH"/>
              </w:rPr>
              <w:t>:</w:t>
            </w:r>
            <w:r w:rsidR="00515BE4" w:rsidRPr="00757AAE">
              <w:rPr>
                <w:rFonts w:ascii="Verdana" w:hAnsi="Verdana"/>
                <w:sz w:val="20"/>
                <w:lang w:val="fr-CH"/>
              </w:rPr>
              <w:tab/>
              <w:t>Question ITU-T 4/15</w:t>
            </w:r>
          </w:p>
        </w:tc>
        <w:tc>
          <w:tcPr>
            <w:tcW w:w="3451" w:type="dxa"/>
          </w:tcPr>
          <w:p w:rsidR="000069D4" w:rsidRPr="008078D5" w:rsidRDefault="008078D5" w:rsidP="00A5173C">
            <w:pPr>
              <w:shd w:val="solid" w:color="FFFFFF" w:fill="FFFFFF"/>
              <w:spacing w:before="0" w:line="240" w:lineRule="atLeast"/>
              <w:rPr>
                <w:rFonts w:ascii="Verdana" w:hAnsi="Verdana"/>
                <w:sz w:val="20"/>
                <w:lang w:val="es-ES_tradnl" w:eastAsia="zh-CN"/>
              </w:rPr>
            </w:pPr>
            <w:proofErr w:type="spellStart"/>
            <w:r w:rsidRPr="007B0AAA">
              <w:rPr>
                <w:rFonts w:ascii="Verdana" w:hAnsi="Verdana"/>
                <w:b/>
                <w:sz w:val="20"/>
                <w:lang w:val="es-ES_tradnl" w:eastAsia="zh-CN"/>
              </w:rPr>
              <w:t>Document</w:t>
            </w:r>
            <w:proofErr w:type="spellEnd"/>
            <w:r w:rsidRPr="00757AAE">
              <w:rPr>
                <w:rFonts w:ascii="Verdana" w:hAnsi="Verdana"/>
                <w:b/>
                <w:sz w:val="20"/>
                <w:lang w:val="es-ES_tradnl" w:eastAsia="zh-CN"/>
              </w:rPr>
              <w:t xml:space="preserve"> 5B/323-E</w:t>
            </w:r>
            <w:r>
              <w:rPr>
                <w:rFonts w:ascii="Verdana" w:hAnsi="Verdana"/>
                <w:b/>
                <w:sz w:val="20"/>
                <w:lang w:val="es-ES_tradnl" w:eastAsia="zh-CN"/>
              </w:rPr>
              <w:br/>
            </w:r>
            <w:proofErr w:type="spellStart"/>
            <w:r w:rsidRPr="00587A13">
              <w:rPr>
                <w:rFonts w:ascii="Verdana" w:hAnsi="Verdana"/>
                <w:b/>
                <w:sz w:val="20"/>
                <w:lang w:val="es-ES_tradnl" w:eastAsia="zh-CN"/>
              </w:rPr>
              <w:t>Document</w:t>
            </w:r>
            <w:proofErr w:type="spellEnd"/>
            <w:r w:rsidRPr="00587A13">
              <w:rPr>
                <w:rFonts w:ascii="Verdana" w:hAnsi="Verdana"/>
                <w:b/>
                <w:sz w:val="20"/>
                <w:lang w:val="es-ES_tradnl" w:eastAsia="zh-CN"/>
              </w:rPr>
              <w:t xml:space="preserve"> 5</w:t>
            </w:r>
            <w:r>
              <w:rPr>
                <w:rFonts w:ascii="Verdana" w:hAnsi="Verdana"/>
                <w:b/>
                <w:sz w:val="20"/>
                <w:lang w:val="es-ES_tradnl" w:eastAsia="zh-CN"/>
              </w:rPr>
              <w:t>C</w:t>
            </w:r>
            <w:r w:rsidRPr="00587A13">
              <w:rPr>
                <w:rFonts w:ascii="Verdana" w:hAnsi="Verdana"/>
                <w:b/>
                <w:sz w:val="20"/>
                <w:lang w:val="es-ES_tradnl" w:eastAsia="zh-CN"/>
              </w:rPr>
              <w:t>/</w:t>
            </w:r>
            <w:r>
              <w:rPr>
                <w:rFonts w:ascii="Verdana" w:hAnsi="Verdana"/>
                <w:b/>
                <w:sz w:val="20"/>
                <w:lang w:val="es-ES_tradnl" w:eastAsia="zh-CN"/>
              </w:rPr>
              <w:t>187</w:t>
            </w:r>
            <w:r w:rsidRPr="00587A13">
              <w:rPr>
                <w:rFonts w:ascii="Verdana" w:hAnsi="Verdana"/>
                <w:b/>
                <w:sz w:val="20"/>
                <w:lang w:val="es-ES_tradnl" w:eastAsia="zh-CN"/>
              </w:rPr>
              <w:t>-E</w:t>
            </w:r>
            <w:r>
              <w:rPr>
                <w:rFonts w:ascii="Verdana" w:hAnsi="Verdana"/>
                <w:b/>
                <w:sz w:val="20"/>
                <w:lang w:val="es-ES_tradnl" w:eastAsia="zh-CN"/>
              </w:rPr>
              <w:br/>
            </w:r>
            <w:proofErr w:type="spellStart"/>
            <w:r w:rsidRPr="00587A13">
              <w:rPr>
                <w:rFonts w:ascii="Verdana" w:hAnsi="Verdana"/>
                <w:b/>
                <w:sz w:val="20"/>
                <w:lang w:val="es-ES_tradnl" w:eastAsia="zh-CN"/>
              </w:rPr>
              <w:t>Document</w:t>
            </w:r>
            <w:proofErr w:type="spellEnd"/>
            <w:r w:rsidRPr="00587A13">
              <w:rPr>
                <w:rFonts w:ascii="Verdana" w:hAnsi="Verdana"/>
                <w:b/>
                <w:sz w:val="20"/>
                <w:lang w:val="es-ES_tradnl" w:eastAsia="zh-CN"/>
              </w:rPr>
              <w:t xml:space="preserve"> 5</w:t>
            </w:r>
            <w:r>
              <w:rPr>
                <w:rFonts w:ascii="Verdana" w:hAnsi="Verdana"/>
                <w:b/>
                <w:sz w:val="20"/>
                <w:lang w:val="es-ES_tradnl" w:eastAsia="zh-CN"/>
              </w:rPr>
              <w:t>D</w:t>
            </w:r>
            <w:r w:rsidRPr="00587A13">
              <w:rPr>
                <w:rFonts w:ascii="Verdana" w:hAnsi="Verdana"/>
                <w:b/>
                <w:sz w:val="20"/>
                <w:lang w:val="es-ES_tradnl" w:eastAsia="zh-CN"/>
              </w:rPr>
              <w:t>/</w:t>
            </w:r>
            <w:r>
              <w:rPr>
                <w:rFonts w:ascii="Verdana" w:hAnsi="Verdana"/>
                <w:b/>
                <w:sz w:val="20"/>
                <w:lang w:val="es-ES_tradnl" w:eastAsia="zh-CN"/>
              </w:rPr>
              <w:t>442</w:t>
            </w:r>
            <w:r w:rsidRPr="00587A13">
              <w:rPr>
                <w:rFonts w:ascii="Verdana" w:hAnsi="Verdana"/>
                <w:b/>
                <w:sz w:val="20"/>
                <w:lang w:val="es-ES_tradnl" w:eastAsia="zh-CN"/>
              </w:rPr>
              <w:t>-E</w:t>
            </w:r>
            <w:r>
              <w:rPr>
                <w:rFonts w:ascii="Verdana" w:hAnsi="Verdana"/>
                <w:b/>
                <w:sz w:val="20"/>
                <w:lang w:val="es-ES_tradnl" w:eastAsia="zh-CN"/>
              </w:rPr>
              <w:br/>
            </w:r>
            <w:proofErr w:type="spellStart"/>
            <w:r w:rsidRPr="00587A13">
              <w:rPr>
                <w:rFonts w:ascii="Verdana" w:hAnsi="Verdana"/>
                <w:b/>
                <w:sz w:val="20"/>
                <w:lang w:val="es-ES_tradnl" w:eastAsia="zh-CN"/>
              </w:rPr>
              <w:t>Document</w:t>
            </w:r>
            <w:proofErr w:type="spellEnd"/>
            <w:r w:rsidRPr="00587A13">
              <w:rPr>
                <w:rFonts w:ascii="Verdana" w:hAnsi="Verdana"/>
                <w:b/>
                <w:sz w:val="20"/>
                <w:lang w:val="es-ES_tradnl" w:eastAsia="zh-CN"/>
              </w:rPr>
              <w:t xml:space="preserve"> </w:t>
            </w:r>
            <w:r>
              <w:rPr>
                <w:rFonts w:ascii="Verdana" w:hAnsi="Verdana"/>
                <w:b/>
                <w:sz w:val="20"/>
                <w:lang w:val="es-ES_tradnl" w:eastAsia="zh-CN"/>
              </w:rPr>
              <w:t>1A</w:t>
            </w:r>
            <w:r w:rsidRPr="00587A13">
              <w:rPr>
                <w:rFonts w:ascii="Verdana" w:hAnsi="Verdana"/>
                <w:b/>
                <w:sz w:val="20"/>
                <w:lang w:val="es-ES_tradnl" w:eastAsia="zh-CN"/>
              </w:rPr>
              <w:t>/</w:t>
            </w:r>
            <w:r>
              <w:rPr>
                <w:rFonts w:ascii="Verdana" w:hAnsi="Verdana"/>
                <w:b/>
                <w:sz w:val="20"/>
                <w:lang w:val="es-ES_tradnl" w:eastAsia="zh-CN"/>
              </w:rPr>
              <w:t>108</w:t>
            </w:r>
            <w:r w:rsidRPr="00587A13">
              <w:rPr>
                <w:rFonts w:ascii="Verdana" w:hAnsi="Verdana"/>
                <w:b/>
                <w:sz w:val="20"/>
                <w:lang w:val="es-ES_tradnl" w:eastAsia="zh-CN"/>
              </w:rPr>
              <w:t>-E</w:t>
            </w:r>
            <w:r>
              <w:rPr>
                <w:rFonts w:ascii="Verdana" w:hAnsi="Verdana"/>
                <w:b/>
                <w:sz w:val="20"/>
                <w:lang w:val="es-ES_tradnl" w:eastAsia="zh-CN"/>
              </w:rPr>
              <w:br/>
            </w:r>
            <w:proofErr w:type="spellStart"/>
            <w:r w:rsidRPr="00587A13">
              <w:rPr>
                <w:rFonts w:ascii="Verdana" w:hAnsi="Verdana"/>
                <w:b/>
                <w:sz w:val="20"/>
                <w:lang w:val="es-ES_tradnl" w:eastAsia="zh-CN"/>
              </w:rPr>
              <w:t>Document</w:t>
            </w:r>
            <w:proofErr w:type="spellEnd"/>
            <w:r w:rsidRPr="00587A13">
              <w:rPr>
                <w:rFonts w:ascii="Verdana" w:hAnsi="Verdana"/>
                <w:b/>
                <w:sz w:val="20"/>
                <w:lang w:val="es-ES_tradnl" w:eastAsia="zh-CN"/>
              </w:rPr>
              <w:t xml:space="preserve"> 5</w:t>
            </w:r>
            <w:r>
              <w:rPr>
                <w:rFonts w:ascii="Verdana" w:hAnsi="Verdana"/>
                <w:b/>
                <w:sz w:val="20"/>
                <w:lang w:val="es-ES_tradnl" w:eastAsia="zh-CN"/>
              </w:rPr>
              <w:t>A</w:t>
            </w:r>
            <w:r w:rsidRPr="00587A13">
              <w:rPr>
                <w:rFonts w:ascii="Verdana" w:hAnsi="Verdana"/>
                <w:b/>
                <w:sz w:val="20"/>
                <w:lang w:val="es-ES_tradnl" w:eastAsia="zh-CN"/>
              </w:rPr>
              <w:t>/</w:t>
            </w:r>
            <w:r>
              <w:rPr>
                <w:rFonts w:ascii="Verdana" w:hAnsi="Verdana"/>
                <w:b/>
                <w:sz w:val="20"/>
                <w:lang w:val="es-ES_tradnl" w:eastAsia="zh-CN"/>
              </w:rPr>
              <w:t>328</w:t>
            </w:r>
            <w:r w:rsidRPr="00587A13">
              <w:rPr>
                <w:rFonts w:ascii="Verdana" w:hAnsi="Verdana"/>
                <w:b/>
                <w:sz w:val="20"/>
                <w:lang w:val="es-ES_tradnl" w:eastAsia="zh-CN"/>
              </w:rPr>
              <w:t>-E</w:t>
            </w:r>
            <w:r>
              <w:rPr>
                <w:rFonts w:ascii="Verdana" w:hAnsi="Verdana"/>
                <w:b/>
                <w:sz w:val="20"/>
                <w:lang w:val="es-ES_tradnl" w:eastAsia="zh-CN"/>
              </w:rPr>
              <w:br/>
            </w:r>
            <w:proofErr w:type="spellStart"/>
            <w:r w:rsidRPr="00757AAE">
              <w:rPr>
                <w:rFonts w:ascii="Verdana" w:hAnsi="Verdana"/>
                <w:b/>
                <w:sz w:val="20"/>
                <w:lang w:val="es-ES_tradnl" w:eastAsia="zh-CN"/>
              </w:rPr>
              <w:t>Document</w:t>
            </w:r>
            <w:proofErr w:type="spellEnd"/>
            <w:r w:rsidRPr="00757AAE">
              <w:rPr>
                <w:rFonts w:ascii="Verdana" w:hAnsi="Verdana"/>
                <w:b/>
                <w:sz w:val="20"/>
                <w:lang w:val="es-ES_tradnl" w:eastAsia="zh-CN"/>
              </w:rPr>
              <w:t xml:space="preserve"> 6A/284-E</w:t>
            </w:r>
          </w:p>
        </w:tc>
      </w:tr>
      <w:tr w:rsidR="000069D4">
        <w:trPr>
          <w:cantSplit/>
        </w:trPr>
        <w:tc>
          <w:tcPr>
            <w:tcW w:w="6580" w:type="dxa"/>
            <w:vMerge/>
          </w:tcPr>
          <w:p w:rsidR="000069D4" w:rsidRPr="008078D5" w:rsidRDefault="000069D4" w:rsidP="00A5173C">
            <w:pPr>
              <w:spacing w:before="60"/>
              <w:jc w:val="center"/>
              <w:rPr>
                <w:b/>
                <w:smallCaps/>
                <w:sz w:val="32"/>
                <w:lang w:val="es-ES_tradnl" w:eastAsia="zh-CN"/>
              </w:rPr>
            </w:pPr>
            <w:bookmarkStart w:id="4" w:name="ddate" w:colFirst="1" w:colLast="1"/>
            <w:bookmarkEnd w:id="3"/>
          </w:p>
        </w:tc>
        <w:tc>
          <w:tcPr>
            <w:tcW w:w="3451" w:type="dxa"/>
          </w:tcPr>
          <w:p w:rsidR="000069D4" w:rsidRPr="008078D5" w:rsidRDefault="008078D5" w:rsidP="00556CD9">
            <w:pPr>
              <w:shd w:val="solid" w:color="FFFFFF" w:fill="FFFFFF"/>
              <w:spacing w:before="0" w:line="240" w:lineRule="atLeast"/>
              <w:rPr>
                <w:rFonts w:ascii="Verdana" w:hAnsi="Verdana"/>
                <w:sz w:val="20"/>
                <w:lang w:eastAsia="zh-CN"/>
              </w:rPr>
            </w:pPr>
            <w:r>
              <w:rPr>
                <w:rFonts w:ascii="Verdana" w:hAnsi="Verdana"/>
                <w:b/>
                <w:sz w:val="20"/>
                <w:lang w:eastAsia="zh-CN"/>
              </w:rPr>
              <w:t>2</w:t>
            </w:r>
            <w:r w:rsidR="00556CD9">
              <w:rPr>
                <w:rFonts w:ascii="Verdana" w:hAnsi="Verdana"/>
                <w:b/>
                <w:sz w:val="20"/>
                <w:lang w:eastAsia="zh-CN"/>
              </w:rPr>
              <w:t>5</w:t>
            </w:r>
            <w:r>
              <w:rPr>
                <w:rFonts w:ascii="Verdana" w:hAnsi="Verdana"/>
                <w:b/>
                <w:sz w:val="20"/>
                <w:lang w:eastAsia="zh-CN"/>
              </w:rPr>
              <w:t xml:space="preserve"> July 2013</w:t>
            </w:r>
          </w:p>
        </w:tc>
      </w:tr>
      <w:tr w:rsidR="000069D4" w:rsidTr="008078D5">
        <w:trPr>
          <w:cantSplit/>
          <w:trHeight w:val="793"/>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8078D5" w:rsidRDefault="008078D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8078D5" w:rsidP="008078D5">
            <w:pPr>
              <w:pStyle w:val="Source"/>
              <w:rPr>
                <w:lang w:eastAsia="zh-CN"/>
              </w:rPr>
            </w:pPr>
            <w:bookmarkStart w:id="6" w:name="dsource" w:colFirst="0" w:colLast="0"/>
            <w:bookmarkEnd w:id="5"/>
            <w:r w:rsidRPr="00B71F3C">
              <w:t>ITU-T Study Group 15</w:t>
            </w:r>
          </w:p>
        </w:tc>
      </w:tr>
      <w:tr w:rsidR="000069D4">
        <w:trPr>
          <w:cantSplit/>
        </w:trPr>
        <w:tc>
          <w:tcPr>
            <w:tcW w:w="10031" w:type="dxa"/>
            <w:gridSpan w:val="2"/>
          </w:tcPr>
          <w:p w:rsidR="000069D4" w:rsidRDefault="008078D5" w:rsidP="00A5173C">
            <w:pPr>
              <w:pStyle w:val="Title1"/>
              <w:rPr>
                <w:lang w:eastAsia="zh-CN"/>
              </w:rPr>
            </w:pPr>
            <w:bookmarkStart w:id="7" w:name="drec" w:colFirst="0" w:colLast="0"/>
            <w:bookmarkEnd w:id="6"/>
            <w:r w:rsidRPr="00B71F3C">
              <w:t xml:space="preserve">Liaison Statement on Determination of the </w:t>
            </w:r>
            <w:r w:rsidR="00A23B08">
              <w:br/>
            </w:r>
            <w:r w:rsidRPr="00B71F3C">
              <w:t>ITU-T G.fast PSD specification</w:t>
            </w:r>
          </w:p>
        </w:tc>
      </w:tr>
    </w:tbl>
    <w:p w:rsidR="008078D5" w:rsidRPr="00B71F3C" w:rsidRDefault="008078D5" w:rsidP="008078D5">
      <w:pPr>
        <w:jc w:val="both"/>
        <w:rPr>
          <w:szCs w:val="24"/>
        </w:rPr>
      </w:pPr>
      <w:bookmarkStart w:id="8" w:name="dbreak"/>
      <w:bookmarkEnd w:id="7"/>
      <w:bookmarkEnd w:id="8"/>
      <w:r w:rsidRPr="00B71F3C">
        <w:rPr>
          <w:szCs w:val="24"/>
        </w:rPr>
        <w:t xml:space="preserve">The members of Q4/15 have considered your liaisons regarding ITU-T </w:t>
      </w:r>
      <w:proofErr w:type="spellStart"/>
      <w:r w:rsidRPr="00B71F3C">
        <w:rPr>
          <w:szCs w:val="24"/>
        </w:rPr>
        <w:t>G.fast</w:t>
      </w:r>
      <w:proofErr w:type="spellEnd"/>
      <w:r w:rsidRPr="00B71F3C">
        <w:rPr>
          <w:szCs w:val="24"/>
        </w:rPr>
        <w:t xml:space="preserve"> at the 1-12 July</w:t>
      </w:r>
      <w:r w:rsidR="00827BB5">
        <w:rPr>
          <w:szCs w:val="24"/>
        </w:rPr>
        <w:br/>
      </w:r>
      <w:r w:rsidRPr="00B71F3C">
        <w:rPr>
          <w:szCs w:val="24"/>
        </w:rPr>
        <w:t xml:space="preserve"> ITU-T SG</w:t>
      </w:r>
      <w:r w:rsidR="00827BB5">
        <w:rPr>
          <w:szCs w:val="24"/>
        </w:rPr>
        <w:t xml:space="preserve"> </w:t>
      </w:r>
      <w:r w:rsidRPr="00B71F3C">
        <w:rPr>
          <w:szCs w:val="24"/>
        </w:rPr>
        <w:t xml:space="preserve">15 meeting. As suggested in the liaisons, Q4/15 has split the draft ITU-T </w:t>
      </w:r>
      <w:proofErr w:type="spellStart"/>
      <w:r w:rsidRPr="00B71F3C">
        <w:rPr>
          <w:szCs w:val="24"/>
        </w:rPr>
        <w:t>G.fast</w:t>
      </w:r>
      <w:proofErr w:type="spellEnd"/>
      <w:r w:rsidRPr="00B71F3C">
        <w:rPr>
          <w:szCs w:val="24"/>
        </w:rPr>
        <w:t xml:space="preserve"> into two parts: the ITU-T </w:t>
      </w:r>
      <w:proofErr w:type="spellStart"/>
      <w:r w:rsidRPr="00B71F3C">
        <w:rPr>
          <w:szCs w:val="24"/>
        </w:rPr>
        <w:t>G.fast</w:t>
      </w:r>
      <w:proofErr w:type="spellEnd"/>
      <w:r w:rsidRPr="00B71F3C">
        <w:rPr>
          <w:szCs w:val="24"/>
        </w:rPr>
        <w:t xml:space="preserve"> PSD specification (containing functionality identified as having regulatory impact) and the ITU-T </w:t>
      </w:r>
      <w:proofErr w:type="spellStart"/>
      <w:r w:rsidRPr="00B71F3C">
        <w:rPr>
          <w:szCs w:val="24"/>
        </w:rPr>
        <w:t>G.fast</w:t>
      </w:r>
      <w:proofErr w:type="spellEnd"/>
      <w:r w:rsidRPr="00B71F3C">
        <w:rPr>
          <w:szCs w:val="24"/>
        </w:rPr>
        <w:t xml:space="preserve"> Physical Layer specification (containing the other transceiver functionality). The ITU-T </w:t>
      </w:r>
      <w:proofErr w:type="spellStart"/>
      <w:r w:rsidRPr="00B71F3C">
        <w:rPr>
          <w:szCs w:val="24"/>
        </w:rPr>
        <w:t>G.fast</w:t>
      </w:r>
      <w:proofErr w:type="spellEnd"/>
      <w:r w:rsidRPr="00B71F3C">
        <w:rPr>
          <w:szCs w:val="24"/>
        </w:rPr>
        <w:t xml:space="preserve"> PSD specification will follow the Traditional Approval Process (TAP) and has been determined at this ITU-T SG</w:t>
      </w:r>
      <w:r w:rsidR="00827BB5">
        <w:rPr>
          <w:szCs w:val="24"/>
        </w:rPr>
        <w:t xml:space="preserve"> </w:t>
      </w:r>
      <w:r w:rsidRPr="00B71F3C">
        <w:rPr>
          <w:szCs w:val="24"/>
        </w:rPr>
        <w:t xml:space="preserve">15 meeting. The ITU-T </w:t>
      </w:r>
      <w:proofErr w:type="spellStart"/>
      <w:r w:rsidRPr="00B71F3C">
        <w:rPr>
          <w:szCs w:val="24"/>
        </w:rPr>
        <w:t>G.fast</w:t>
      </w:r>
      <w:proofErr w:type="spellEnd"/>
      <w:r w:rsidRPr="00B71F3C">
        <w:rPr>
          <w:szCs w:val="24"/>
        </w:rPr>
        <w:t xml:space="preserve"> Physical Layer specification will follow the Alternative Approval Process (AAP) with the goal of consent at the 6 December 2013 ITU-T WP</w:t>
      </w:r>
      <w:r w:rsidR="00A23B08">
        <w:rPr>
          <w:szCs w:val="24"/>
        </w:rPr>
        <w:t xml:space="preserve"> </w:t>
      </w:r>
      <w:r w:rsidRPr="00B71F3C">
        <w:rPr>
          <w:szCs w:val="24"/>
        </w:rPr>
        <w:t>1/SG</w:t>
      </w:r>
      <w:r w:rsidR="00A23B08">
        <w:rPr>
          <w:szCs w:val="24"/>
        </w:rPr>
        <w:t xml:space="preserve"> </w:t>
      </w:r>
      <w:r w:rsidRPr="00B71F3C">
        <w:rPr>
          <w:szCs w:val="24"/>
        </w:rPr>
        <w:t>15 meeting.</w:t>
      </w:r>
      <w:r w:rsidRPr="00B71F3C">
        <w:rPr>
          <w:lang w:val="en-US"/>
        </w:rPr>
        <w:t xml:space="preserve"> We hope that the steps that we have taken address your concerns.</w:t>
      </w:r>
    </w:p>
    <w:p w:rsidR="008078D5" w:rsidRPr="00B71F3C" w:rsidRDefault="008078D5" w:rsidP="008078D5">
      <w:pPr>
        <w:jc w:val="both"/>
        <w:rPr>
          <w:lang w:val="en-US"/>
        </w:rPr>
      </w:pPr>
      <w:r w:rsidRPr="00B71F3C">
        <w:rPr>
          <w:lang w:val="en-US"/>
        </w:rPr>
        <w:t xml:space="preserve">ITU-T Q4/15 has noted your concerns about spectral use up to 400 </w:t>
      </w:r>
      <w:proofErr w:type="spellStart"/>
      <w:r w:rsidRPr="00B71F3C">
        <w:rPr>
          <w:lang w:val="en-US"/>
        </w:rPr>
        <w:t>MHz.</w:t>
      </w:r>
      <w:proofErr w:type="spellEnd"/>
      <w:r w:rsidRPr="00B71F3C">
        <w:rPr>
          <w:lang w:val="en-US"/>
        </w:rPr>
        <w:t xml:space="preserve"> We want to point out that the highest frequency ever considered for this technology is 212 MHz, with the determined version of the </w:t>
      </w:r>
      <w:r w:rsidRPr="00B71F3C">
        <w:rPr>
          <w:szCs w:val="24"/>
        </w:rPr>
        <w:t xml:space="preserve">ITU-T </w:t>
      </w:r>
      <w:proofErr w:type="spellStart"/>
      <w:r w:rsidRPr="00B71F3C">
        <w:rPr>
          <w:lang w:val="en-US"/>
        </w:rPr>
        <w:t>G.fast</w:t>
      </w:r>
      <w:proofErr w:type="spellEnd"/>
      <w:r w:rsidRPr="00B71F3C">
        <w:rPr>
          <w:lang w:val="en-US"/>
        </w:rPr>
        <w:t xml:space="preserve"> PSD specification being limited to frequencies up to 106 </w:t>
      </w:r>
      <w:proofErr w:type="spellStart"/>
      <w:r w:rsidRPr="00B71F3C">
        <w:rPr>
          <w:lang w:val="en-US"/>
        </w:rPr>
        <w:t>MHz.</w:t>
      </w:r>
      <w:proofErr w:type="spellEnd"/>
      <w:r w:rsidRPr="00B71F3C">
        <w:rPr>
          <w:lang w:val="en-US"/>
        </w:rPr>
        <w:t xml:space="preserve"> ITU-T Q4/15 fully recognizes the competence of ITU-R on spectral usage. We hope this clarification somewhat eases your concerns.</w:t>
      </w:r>
    </w:p>
    <w:p w:rsidR="008078D5" w:rsidRPr="00B71F3C" w:rsidRDefault="008078D5" w:rsidP="008078D5">
      <w:pPr>
        <w:jc w:val="both"/>
        <w:rPr>
          <w:lang w:val="en-US"/>
        </w:rPr>
      </w:pPr>
      <w:r w:rsidRPr="00B71F3C">
        <w:rPr>
          <w:lang w:val="en-US"/>
        </w:rPr>
        <w:t xml:space="preserve">The </w:t>
      </w:r>
      <w:r w:rsidRPr="00B71F3C">
        <w:rPr>
          <w:szCs w:val="24"/>
        </w:rPr>
        <w:t xml:space="preserve">ITU-T </w:t>
      </w:r>
      <w:proofErr w:type="spellStart"/>
      <w:r w:rsidRPr="00B71F3C">
        <w:rPr>
          <w:lang w:val="en-US"/>
        </w:rPr>
        <w:t>G.fast</w:t>
      </w:r>
      <w:proofErr w:type="spellEnd"/>
      <w:r w:rsidRPr="00B71F3C">
        <w:rPr>
          <w:lang w:val="en-US"/>
        </w:rPr>
        <w:t xml:space="preserve"> PSD specification sets the absolute limit on the transmitted PSD on the </w:t>
      </w:r>
      <w:proofErr w:type="spellStart"/>
      <w:r w:rsidRPr="00B71F3C">
        <w:rPr>
          <w:lang w:val="en-US"/>
        </w:rPr>
        <w:t>wireline</w:t>
      </w:r>
      <w:proofErr w:type="spellEnd"/>
      <w:r w:rsidRPr="00B71F3C">
        <w:rPr>
          <w:lang w:val="en-US"/>
        </w:rPr>
        <w:t xml:space="preserve"> and provides the necessary tools that </w:t>
      </w:r>
      <w:r w:rsidRPr="00B71F3C">
        <w:rPr>
          <w:szCs w:val="24"/>
        </w:rPr>
        <w:t xml:space="preserve">ITU-T </w:t>
      </w:r>
      <w:proofErr w:type="spellStart"/>
      <w:r w:rsidRPr="00B71F3C">
        <w:rPr>
          <w:lang w:val="en-US"/>
        </w:rPr>
        <w:t>G.fast</w:t>
      </w:r>
      <w:proofErr w:type="spellEnd"/>
      <w:r w:rsidRPr="00B71F3C">
        <w:rPr>
          <w:lang w:val="en-US"/>
        </w:rPr>
        <w:t xml:space="preserve"> equipment shall support (such as PSD shaping and notching – e.g., to notch the FM and HAM bands) to allow the equipment operator to configure a transmit PSD limitation that complies with any nationally and regionally applicable EMC requirements. </w:t>
      </w:r>
    </w:p>
    <w:p w:rsidR="008078D5" w:rsidRPr="00B71F3C" w:rsidRDefault="008078D5" w:rsidP="008078D5">
      <w:pPr>
        <w:jc w:val="both"/>
        <w:rPr>
          <w:szCs w:val="24"/>
        </w:rPr>
      </w:pPr>
      <w:r w:rsidRPr="00B71F3C">
        <w:rPr>
          <w:szCs w:val="24"/>
          <w:lang w:val="en-US"/>
        </w:rPr>
        <w:t>T</w:t>
      </w:r>
      <w:r w:rsidRPr="00B71F3C">
        <w:rPr>
          <w:szCs w:val="24"/>
        </w:rPr>
        <w:t xml:space="preserve">he newly determined ITU-T </w:t>
      </w:r>
      <w:proofErr w:type="spellStart"/>
      <w:r w:rsidRPr="00B71F3C">
        <w:rPr>
          <w:szCs w:val="24"/>
        </w:rPr>
        <w:t>G.fast</w:t>
      </w:r>
      <w:proofErr w:type="spellEnd"/>
      <w:r w:rsidRPr="00B71F3C">
        <w:rPr>
          <w:szCs w:val="24"/>
        </w:rPr>
        <w:t xml:space="preserve"> PSD specification is attached for your review and comments. This Recommendation may be considered for approval at the March/April 2014 ITU</w:t>
      </w:r>
      <w:r w:rsidRPr="00B71F3C">
        <w:rPr>
          <w:szCs w:val="24"/>
        </w:rPr>
        <w:noBreakHyphen/>
        <w:t>T SG</w:t>
      </w:r>
      <w:r w:rsidR="00827BB5">
        <w:rPr>
          <w:szCs w:val="24"/>
        </w:rPr>
        <w:t xml:space="preserve"> </w:t>
      </w:r>
      <w:r w:rsidRPr="00B71F3C">
        <w:rPr>
          <w:szCs w:val="24"/>
        </w:rPr>
        <w:t>15 meeting at the earliest.</w:t>
      </w:r>
    </w:p>
    <w:p w:rsidR="008078D5" w:rsidRPr="00B71F3C" w:rsidRDefault="008078D5" w:rsidP="008078D5">
      <w:pPr>
        <w:jc w:val="both"/>
        <w:rPr>
          <w:szCs w:val="24"/>
        </w:rPr>
      </w:pPr>
      <w:r w:rsidRPr="00B71F3C">
        <w:rPr>
          <w:szCs w:val="24"/>
        </w:rPr>
        <w:t>Q4/15 looks forward to receiving your comments and working in close cooperation in finalizing this Recommendation.</w:t>
      </w:r>
    </w:p>
    <w:p w:rsidR="008078D5" w:rsidRPr="00B71F3C" w:rsidRDefault="008078D5" w:rsidP="008078D5">
      <w:pPr>
        <w:jc w:val="both"/>
        <w:rPr>
          <w:szCs w:val="24"/>
        </w:rPr>
      </w:pPr>
      <w:r w:rsidRPr="00B71F3C">
        <w:rPr>
          <w:szCs w:val="24"/>
        </w:rPr>
        <w:t xml:space="preserve">We will forward the ITU-T </w:t>
      </w:r>
      <w:proofErr w:type="spellStart"/>
      <w:r w:rsidRPr="00B71F3C">
        <w:rPr>
          <w:szCs w:val="24"/>
        </w:rPr>
        <w:t>G.fast</w:t>
      </w:r>
      <w:proofErr w:type="spellEnd"/>
      <w:r w:rsidRPr="00B71F3C">
        <w:rPr>
          <w:szCs w:val="24"/>
        </w:rPr>
        <w:t xml:space="preserve"> physical layer specification to you once it has reached consent.</w:t>
      </w:r>
    </w:p>
    <w:p w:rsidR="008078D5" w:rsidRPr="00B71F3C" w:rsidRDefault="008078D5" w:rsidP="008078D5">
      <w:pPr>
        <w:jc w:val="both"/>
        <w:rPr>
          <w:szCs w:val="24"/>
        </w:rPr>
      </w:pPr>
    </w:p>
    <w:p w:rsidR="008078D5" w:rsidRDefault="008078D5" w:rsidP="008078D5">
      <w:pPr>
        <w:pStyle w:val="Normalaftertitle"/>
        <w:rPr>
          <w:lang w:val="en-US" w:eastAsia="zh-CN"/>
        </w:rPr>
      </w:pPr>
      <w:r w:rsidRPr="00B71F3C">
        <w:rPr>
          <w:szCs w:val="24"/>
        </w:rPr>
        <w:t>Attach</w:t>
      </w:r>
      <w:r w:rsidR="001E1A51">
        <w:rPr>
          <w:szCs w:val="24"/>
        </w:rPr>
        <w:t>ment</w:t>
      </w:r>
      <w:r w:rsidRPr="00B71F3C">
        <w:rPr>
          <w:szCs w:val="24"/>
        </w:rPr>
        <w:t xml:space="preserve">: </w:t>
      </w:r>
      <w:r w:rsidRPr="00B71F3C">
        <w:t>Draft new Recommendation ITU-T G.9700 (fast-</w:t>
      </w:r>
      <w:proofErr w:type="spellStart"/>
      <w:r w:rsidRPr="00B71F3C">
        <w:t>psd</w:t>
      </w:r>
      <w:proofErr w:type="spellEnd"/>
      <w:r w:rsidRPr="00B71F3C">
        <w:t>) (TD067/PLEN Rev.1).</w:t>
      </w:r>
    </w:p>
    <w:p w:rsidR="008078D5" w:rsidRDefault="008078D5" w:rsidP="008078D5">
      <w:pPr>
        <w:rPr>
          <w:lang w:val="en-US" w:eastAsia="zh-CN"/>
        </w:rPr>
      </w:pPr>
    </w:p>
    <w:p w:rsidR="008078D5" w:rsidRPr="008078D5" w:rsidRDefault="008078D5">
      <w:pPr>
        <w:tabs>
          <w:tab w:val="clear" w:pos="1134"/>
          <w:tab w:val="clear" w:pos="1871"/>
          <w:tab w:val="clear" w:pos="2268"/>
        </w:tabs>
        <w:overflowPunct/>
        <w:autoSpaceDE/>
        <w:autoSpaceDN/>
        <w:adjustRightInd/>
        <w:spacing w:before="0"/>
        <w:textAlignment w:val="auto"/>
        <w:rPr>
          <w:lang w:val="en-US"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6"/>
      </w:tblGrid>
      <w:tr w:rsidR="00515BE4" w:rsidTr="00515BE4">
        <w:tc>
          <w:tcPr>
            <w:tcW w:w="3369" w:type="dxa"/>
          </w:tcPr>
          <w:p w:rsidR="00515BE4" w:rsidRPr="00B71F3C" w:rsidRDefault="00515BE4" w:rsidP="003D3832">
            <w:pPr>
              <w:spacing w:before="100"/>
              <w:rPr>
                <w:b/>
                <w:bCs/>
              </w:rPr>
            </w:pPr>
            <w:r w:rsidRPr="00B71F3C">
              <w:rPr>
                <w:b/>
                <w:bCs/>
              </w:rPr>
              <w:t>For action to:</w:t>
            </w:r>
          </w:p>
        </w:tc>
        <w:tc>
          <w:tcPr>
            <w:tcW w:w="6486" w:type="dxa"/>
          </w:tcPr>
          <w:p w:rsidR="00515BE4" w:rsidRPr="00B71F3C" w:rsidRDefault="00515BE4" w:rsidP="00283E83">
            <w:pPr>
              <w:spacing w:before="100"/>
            </w:pPr>
            <w:r w:rsidRPr="00B71F3C">
              <w:t>ITU-R WP</w:t>
            </w:r>
            <w:r w:rsidR="00283E83">
              <w:t xml:space="preserve"> </w:t>
            </w:r>
            <w:r w:rsidRPr="00B71F3C">
              <w:t>1A, WP</w:t>
            </w:r>
            <w:r w:rsidR="00283E83">
              <w:t xml:space="preserve"> </w:t>
            </w:r>
            <w:r w:rsidRPr="00B71F3C">
              <w:t xml:space="preserve">6A, and </w:t>
            </w:r>
            <w:r w:rsidR="00283E83">
              <w:t>WPs 5A, 5B, 5C, 5D</w:t>
            </w:r>
          </w:p>
        </w:tc>
      </w:tr>
      <w:tr w:rsidR="00515BE4" w:rsidTr="00515BE4">
        <w:tc>
          <w:tcPr>
            <w:tcW w:w="3369" w:type="dxa"/>
          </w:tcPr>
          <w:p w:rsidR="00515BE4" w:rsidRPr="00B71F3C" w:rsidRDefault="00515BE4" w:rsidP="003D3832">
            <w:pPr>
              <w:spacing w:before="100"/>
              <w:rPr>
                <w:b/>
                <w:bCs/>
              </w:rPr>
            </w:pPr>
            <w:r w:rsidRPr="00B71F3C">
              <w:rPr>
                <w:b/>
                <w:bCs/>
              </w:rPr>
              <w:t>For comment to:</w:t>
            </w:r>
          </w:p>
        </w:tc>
        <w:tc>
          <w:tcPr>
            <w:tcW w:w="6486" w:type="dxa"/>
          </w:tcPr>
          <w:p w:rsidR="00515BE4" w:rsidRPr="00B71F3C" w:rsidRDefault="00515BE4" w:rsidP="003D3832">
            <w:pPr>
              <w:spacing w:before="100"/>
            </w:pPr>
            <w:r w:rsidRPr="00B71F3C">
              <w:t>-</w:t>
            </w:r>
          </w:p>
        </w:tc>
      </w:tr>
      <w:tr w:rsidR="00515BE4" w:rsidTr="00515BE4">
        <w:tc>
          <w:tcPr>
            <w:tcW w:w="3369" w:type="dxa"/>
          </w:tcPr>
          <w:p w:rsidR="00515BE4" w:rsidRPr="00B71F3C" w:rsidRDefault="00515BE4" w:rsidP="003D3832">
            <w:pPr>
              <w:spacing w:before="100"/>
              <w:rPr>
                <w:b/>
                <w:bCs/>
              </w:rPr>
            </w:pPr>
            <w:r w:rsidRPr="00B71F3C">
              <w:rPr>
                <w:b/>
                <w:bCs/>
              </w:rPr>
              <w:t>For information to:</w:t>
            </w:r>
          </w:p>
        </w:tc>
        <w:tc>
          <w:tcPr>
            <w:tcW w:w="6486" w:type="dxa"/>
          </w:tcPr>
          <w:p w:rsidR="00515BE4" w:rsidRPr="00B71F3C" w:rsidRDefault="00515BE4" w:rsidP="003D3832">
            <w:pPr>
              <w:spacing w:before="100"/>
            </w:pPr>
            <w:r w:rsidRPr="00B71F3C">
              <w:t>-</w:t>
            </w:r>
          </w:p>
        </w:tc>
      </w:tr>
      <w:tr w:rsidR="00515BE4" w:rsidTr="00515BE4">
        <w:tc>
          <w:tcPr>
            <w:tcW w:w="3369" w:type="dxa"/>
          </w:tcPr>
          <w:p w:rsidR="00515BE4" w:rsidRPr="00B71F3C" w:rsidRDefault="00515BE4" w:rsidP="003D3832">
            <w:pPr>
              <w:spacing w:before="100"/>
              <w:rPr>
                <w:b/>
                <w:bCs/>
              </w:rPr>
            </w:pPr>
            <w:r w:rsidRPr="00B71F3C">
              <w:rPr>
                <w:b/>
                <w:bCs/>
              </w:rPr>
              <w:t>Approval:</w:t>
            </w:r>
          </w:p>
        </w:tc>
        <w:tc>
          <w:tcPr>
            <w:tcW w:w="6486" w:type="dxa"/>
          </w:tcPr>
          <w:p w:rsidR="00515BE4" w:rsidRPr="00B71F3C" w:rsidRDefault="00515BE4" w:rsidP="003D3832">
            <w:r w:rsidRPr="00B71F3C">
              <w:t>ITU-T SG</w:t>
            </w:r>
            <w:r w:rsidR="00283E83">
              <w:t xml:space="preserve"> </w:t>
            </w:r>
            <w:r w:rsidRPr="00B71F3C">
              <w:t>15 meeting (12 July 2013)</w:t>
            </w:r>
          </w:p>
        </w:tc>
      </w:tr>
      <w:tr w:rsidR="00515BE4" w:rsidTr="00515BE4">
        <w:tc>
          <w:tcPr>
            <w:tcW w:w="3369" w:type="dxa"/>
          </w:tcPr>
          <w:p w:rsidR="00515BE4" w:rsidRPr="00B71F3C" w:rsidRDefault="00515BE4" w:rsidP="003D3832">
            <w:pPr>
              <w:spacing w:before="100"/>
              <w:rPr>
                <w:b/>
                <w:bCs/>
              </w:rPr>
            </w:pPr>
            <w:r w:rsidRPr="00B71F3C">
              <w:rPr>
                <w:b/>
                <w:bCs/>
              </w:rPr>
              <w:t>Deadline:</w:t>
            </w:r>
          </w:p>
        </w:tc>
        <w:tc>
          <w:tcPr>
            <w:tcW w:w="6486" w:type="dxa"/>
          </w:tcPr>
          <w:p w:rsidR="00515BE4" w:rsidRPr="00B71F3C" w:rsidRDefault="00515BE4" w:rsidP="003D3832">
            <w:pPr>
              <w:spacing w:before="100"/>
            </w:pPr>
            <w:r w:rsidRPr="00B71F3C">
              <w:t>1 March 2014</w:t>
            </w:r>
          </w:p>
        </w:tc>
      </w:tr>
      <w:tr w:rsidR="00515BE4" w:rsidTr="00515BE4">
        <w:tc>
          <w:tcPr>
            <w:tcW w:w="3369" w:type="dxa"/>
          </w:tcPr>
          <w:p w:rsidR="00515BE4" w:rsidRDefault="00515BE4" w:rsidP="00DD4BED">
            <w:pPr>
              <w:rPr>
                <w:lang w:val="en-US" w:eastAsia="zh-CN"/>
              </w:rPr>
            </w:pPr>
          </w:p>
        </w:tc>
        <w:tc>
          <w:tcPr>
            <w:tcW w:w="6486" w:type="dxa"/>
          </w:tcPr>
          <w:p w:rsidR="00515BE4" w:rsidRDefault="00515BE4" w:rsidP="00DD4BED">
            <w:pPr>
              <w:rPr>
                <w:lang w:val="en-US" w:eastAsia="zh-CN"/>
              </w:rPr>
            </w:pPr>
          </w:p>
        </w:tc>
      </w:tr>
      <w:tr w:rsidR="00515BE4" w:rsidTr="00515BE4">
        <w:tc>
          <w:tcPr>
            <w:tcW w:w="3369" w:type="dxa"/>
          </w:tcPr>
          <w:p w:rsidR="00515BE4" w:rsidRDefault="00515BE4" w:rsidP="00883182">
            <w:pPr>
              <w:rPr>
                <w:b/>
                <w:bCs/>
                <w:lang w:val="fr-CH"/>
              </w:rPr>
            </w:pPr>
            <w:r w:rsidRPr="003A7B4F">
              <w:rPr>
                <w:b/>
                <w:bCs/>
                <w:lang w:val="fr-CH"/>
              </w:rPr>
              <w:t>Contact:</w:t>
            </w:r>
          </w:p>
          <w:p w:rsidR="00515BE4" w:rsidRPr="003A7B4F" w:rsidRDefault="00515BE4" w:rsidP="00515BE4">
            <w:pPr>
              <w:rPr>
                <w:b/>
                <w:bCs/>
                <w:lang w:val="fr-CH"/>
              </w:rPr>
            </w:pPr>
            <w:r w:rsidRPr="00B71F3C">
              <w:rPr>
                <w:lang w:val="de-DE" w:eastAsia="ja-JP"/>
              </w:rPr>
              <w:t>Frank Van der Putten</w:t>
            </w:r>
            <w:r>
              <w:rPr>
                <w:lang w:val="de-DE" w:eastAsia="ja-JP"/>
              </w:rPr>
              <w:br/>
            </w:r>
            <w:r w:rsidRPr="00B71F3C">
              <w:rPr>
                <w:lang w:val="de-DE" w:eastAsia="ja-JP"/>
              </w:rPr>
              <w:t>Alcatel-Lucent</w:t>
            </w:r>
            <w:r>
              <w:rPr>
                <w:lang w:val="de-DE" w:eastAsia="ja-JP"/>
              </w:rPr>
              <w:br/>
            </w:r>
            <w:r w:rsidRPr="00B71F3C">
              <w:rPr>
                <w:lang w:val="de-DE" w:eastAsia="ja-JP"/>
              </w:rPr>
              <w:t>Belgium</w:t>
            </w:r>
          </w:p>
        </w:tc>
        <w:tc>
          <w:tcPr>
            <w:tcW w:w="6486" w:type="dxa"/>
          </w:tcPr>
          <w:p w:rsidR="00515BE4" w:rsidRPr="003A7B4F" w:rsidRDefault="00515BE4" w:rsidP="00883182">
            <w:pPr>
              <w:rPr>
                <w:b/>
                <w:bCs/>
                <w:lang w:val="fr-CH"/>
              </w:rPr>
            </w:pPr>
            <w:r w:rsidRPr="00515BE4">
              <w:rPr>
                <w:b/>
                <w:bCs/>
              </w:rPr>
              <w:t>Email:</w:t>
            </w:r>
            <w:r w:rsidRPr="00B71F3C">
              <w:t xml:space="preserve"> </w:t>
            </w:r>
            <w:hyperlink r:id="rId9" w:history="1">
              <w:r w:rsidRPr="00B71F3C">
                <w:rPr>
                  <w:rStyle w:val="Hyperlink"/>
                </w:rPr>
                <w:t>frank.van_der_putten@alcatel-lucent.com</w:t>
              </w:r>
            </w:hyperlink>
          </w:p>
        </w:tc>
      </w:tr>
    </w:tbl>
    <w:p w:rsidR="000069D4" w:rsidRDefault="000069D4" w:rsidP="00DD4BED">
      <w:pPr>
        <w:rPr>
          <w:lang w:val="en-US" w:eastAsia="zh-CN"/>
        </w:rPr>
      </w:pPr>
    </w:p>
    <w:p w:rsidR="00827BB5" w:rsidRDefault="00827BB5" w:rsidP="00DD4BED">
      <w:pPr>
        <w:rPr>
          <w:lang w:val="en-US" w:eastAsia="zh-CN"/>
        </w:rPr>
      </w:pPr>
    </w:p>
    <w:p w:rsidR="001E1A51" w:rsidRDefault="001E1A51">
      <w:pPr>
        <w:tabs>
          <w:tab w:val="clear" w:pos="1134"/>
          <w:tab w:val="clear" w:pos="1871"/>
          <w:tab w:val="clear" w:pos="2268"/>
        </w:tabs>
        <w:overflowPunct/>
        <w:autoSpaceDE/>
        <w:autoSpaceDN/>
        <w:adjustRightInd/>
        <w:spacing w:before="0"/>
        <w:textAlignment w:val="auto"/>
      </w:pPr>
      <w:r>
        <w:br w:type="page"/>
      </w:r>
    </w:p>
    <w:p w:rsidR="00C30A65" w:rsidRDefault="00C30A65" w:rsidP="00C30A65">
      <w:pPr>
        <w:pStyle w:val="AnnexNotitle"/>
      </w:pPr>
      <w:r>
        <w:lastRenderedPageBreak/>
        <w:t>ATTACHMENT</w:t>
      </w:r>
    </w:p>
    <w:p w:rsidR="00C30A65" w:rsidRDefault="00C30A65" w:rsidP="00C30A65">
      <w:pPr>
        <w:pStyle w:val="AnnexNoTitle0"/>
      </w:pPr>
      <w:r w:rsidRPr="00077443">
        <w:t>Draft new Recommendation ITU-T G.9700 (fast-</w:t>
      </w:r>
      <w:proofErr w:type="spellStart"/>
      <w:r w:rsidRPr="00077443">
        <w:t>psd</w:t>
      </w:r>
      <w:proofErr w:type="spellEnd"/>
      <w:r w:rsidRPr="00077443">
        <w:t xml:space="preserve">) </w:t>
      </w:r>
      <w:r>
        <w:br/>
      </w:r>
      <w:r w:rsidRPr="00077443">
        <w:t>(for Determination, July 2013)</w:t>
      </w:r>
    </w:p>
    <w:p w:rsidR="00C30A65" w:rsidRPr="00D067DB" w:rsidRDefault="00C30A65" w:rsidP="00C30A65">
      <w:pPr>
        <w:pStyle w:val="Normalaftertitle"/>
      </w:pPr>
    </w:p>
    <w:p w:rsidR="00C30A65" w:rsidRPr="00D067DB" w:rsidRDefault="00C30A65" w:rsidP="00C30A65">
      <w:pPr>
        <w:rPr>
          <w:lang w:val="fr-CH"/>
        </w:rPr>
      </w:pPr>
      <w:r w:rsidRPr="00D067DB">
        <w:rPr>
          <w:lang w:val="fr-CH"/>
        </w:rPr>
        <w:t>Source: ITU-T TD 067 Rev.1 (PLEN/15)</w:t>
      </w:r>
    </w:p>
    <w:p w:rsidR="00C30A65" w:rsidRDefault="00C30A65" w:rsidP="00C30A65">
      <w:pPr>
        <w:pStyle w:val="RecNo"/>
        <w:rPr>
          <w:b/>
          <w:sz w:val="24"/>
          <w:szCs w:val="24"/>
        </w:rPr>
      </w:pPr>
      <w:r>
        <w:rPr>
          <w:sz w:val="24"/>
          <w:szCs w:val="24"/>
        </w:rPr>
        <w:t>Attached is draft Recommendation G.9700 for determination under TAP.</w:t>
      </w:r>
    </w:p>
    <w:p w:rsidR="00C30A65" w:rsidRDefault="00C30A65" w:rsidP="00C30A6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827"/>
        <w:gridCol w:w="3935"/>
      </w:tblGrid>
      <w:tr w:rsidR="00C30A65" w:rsidTr="003143D0">
        <w:tc>
          <w:tcPr>
            <w:tcW w:w="2093" w:type="dxa"/>
          </w:tcPr>
          <w:p w:rsidR="00C30A65" w:rsidRPr="00556CD9" w:rsidRDefault="00C30A65" w:rsidP="003D3832">
            <w:pPr>
              <w:rPr>
                <w:szCs w:val="24"/>
              </w:rPr>
            </w:pPr>
            <w:r w:rsidRPr="00556CD9">
              <w:rPr>
                <w:b/>
                <w:bCs/>
                <w:szCs w:val="24"/>
              </w:rPr>
              <w:t>Contact:</w:t>
            </w:r>
          </w:p>
        </w:tc>
        <w:tc>
          <w:tcPr>
            <w:tcW w:w="3827" w:type="dxa"/>
          </w:tcPr>
          <w:p w:rsidR="00C30A65" w:rsidRPr="00556CD9" w:rsidRDefault="00C30A65" w:rsidP="003D3832">
            <w:pPr>
              <w:ind w:right="-234"/>
              <w:rPr>
                <w:szCs w:val="24"/>
                <w:lang w:val="en-US"/>
              </w:rPr>
            </w:pPr>
            <w:r w:rsidRPr="00556CD9">
              <w:rPr>
                <w:szCs w:val="24"/>
              </w:rPr>
              <w:t>Les Brown</w:t>
            </w:r>
          </w:p>
          <w:p w:rsidR="00C30A65" w:rsidRPr="00556CD9" w:rsidRDefault="00C30A65" w:rsidP="003D3832">
            <w:pPr>
              <w:spacing w:before="0"/>
              <w:ind w:right="-234"/>
              <w:rPr>
                <w:szCs w:val="24"/>
              </w:rPr>
            </w:pPr>
            <w:r w:rsidRPr="00556CD9">
              <w:rPr>
                <w:szCs w:val="24"/>
              </w:rPr>
              <w:t>Huawei</w:t>
            </w:r>
          </w:p>
          <w:p w:rsidR="00C30A65" w:rsidRPr="00556CD9" w:rsidRDefault="00C30A65" w:rsidP="003D3832">
            <w:pPr>
              <w:rPr>
                <w:szCs w:val="24"/>
              </w:rPr>
            </w:pPr>
            <w:r w:rsidRPr="00556CD9">
              <w:rPr>
                <w:szCs w:val="24"/>
              </w:rPr>
              <w:t>China</w:t>
            </w:r>
          </w:p>
        </w:tc>
        <w:tc>
          <w:tcPr>
            <w:tcW w:w="3935" w:type="dxa"/>
          </w:tcPr>
          <w:p w:rsidR="00C30A65" w:rsidRPr="00556CD9" w:rsidRDefault="00C30A65" w:rsidP="003D3832">
            <w:pPr>
              <w:ind w:right="-234"/>
              <w:rPr>
                <w:szCs w:val="24"/>
                <w:lang w:val="en-US"/>
              </w:rPr>
            </w:pPr>
            <w:r w:rsidRPr="00556CD9">
              <w:rPr>
                <w:szCs w:val="24"/>
              </w:rPr>
              <w:t>Tel:</w:t>
            </w:r>
            <w:r w:rsidRPr="00556CD9">
              <w:rPr>
                <w:szCs w:val="24"/>
              </w:rPr>
              <w:tab/>
              <w:t>1 (905) 826-4248</w:t>
            </w:r>
          </w:p>
          <w:p w:rsidR="00C30A65" w:rsidRPr="00556CD9" w:rsidRDefault="00C30A65" w:rsidP="003D3832">
            <w:pPr>
              <w:spacing w:before="0"/>
              <w:ind w:right="-234"/>
              <w:rPr>
                <w:szCs w:val="24"/>
              </w:rPr>
            </w:pPr>
            <w:r w:rsidRPr="00556CD9">
              <w:rPr>
                <w:szCs w:val="24"/>
              </w:rPr>
              <w:t>Cell:</w:t>
            </w:r>
            <w:r w:rsidRPr="00556CD9">
              <w:rPr>
                <w:szCs w:val="24"/>
              </w:rPr>
              <w:tab/>
              <w:t>1 (647) 290-1900</w:t>
            </w:r>
          </w:p>
          <w:p w:rsidR="00C30A65" w:rsidRPr="00556CD9" w:rsidRDefault="00C30A65" w:rsidP="003D3832">
            <w:pPr>
              <w:rPr>
                <w:szCs w:val="24"/>
              </w:rPr>
            </w:pPr>
            <w:r w:rsidRPr="00556CD9">
              <w:rPr>
                <w:szCs w:val="24"/>
              </w:rPr>
              <w:t>Email:</w:t>
            </w:r>
            <w:r w:rsidRPr="00556CD9">
              <w:rPr>
                <w:szCs w:val="24"/>
              </w:rPr>
              <w:tab/>
            </w:r>
            <w:hyperlink r:id="rId10" w:history="1">
              <w:r w:rsidRPr="00556CD9">
                <w:rPr>
                  <w:rStyle w:val="Hyperlink"/>
                  <w:szCs w:val="24"/>
                </w:rPr>
                <w:t>lesbrown@sympatico.ca</w:t>
              </w:r>
            </w:hyperlink>
          </w:p>
        </w:tc>
      </w:tr>
    </w:tbl>
    <w:p w:rsidR="00C30A65" w:rsidRPr="00D067DB" w:rsidRDefault="00C30A65" w:rsidP="00C30A65"/>
    <w:p w:rsidR="00C30A65" w:rsidRPr="005E10F7" w:rsidRDefault="00C30A65" w:rsidP="00C30A65"/>
    <w:p w:rsidR="00C30A65" w:rsidRPr="005E10F7" w:rsidRDefault="00C30A65" w:rsidP="00C30A65">
      <w:pPr>
        <w:sectPr w:rsidR="00C30A65" w:rsidRPr="005E10F7" w:rsidSect="007B0AAA">
          <w:headerReference w:type="default" r:id="rId11"/>
          <w:footerReference w:type="default" r:id="rId12"/>
          <w:footerReference w:type="first" r:id="rId13"/>
          <w:pgSz w:w="11907" w:h="16840" w:code="9"/>
          <w:pgMar w:top="1418" w:right="1134" w:bottom="1418" w:left="1134" w:header="720" w:footer="720" w:gutter="0"/>
          <w:cols w:space="720"/>
          <w:titlePg/>
          <w:docGrid w:linePitch="326"/>
        </w:sectPr>
      </w:pPr>
    </w:p>
    <w:p w:rsidR="00C30A65" w:rsidRPr="00C30A65" w:rsidRDefault="00C30A65" w:rsidP="00C30A65">
      <w:pPr>
        <w:pStyle w:val="RecNo"/>
        <w:rPr>
          <w:lang w:val="fr-CH"/>
        </w:rPr>
      </w:pPr>
      <w:r w:rsidRPr="00C30A65">
        <w:rPr>
          <w:lang w:val="fr-CH"/>
        </w:rPr>
        <w:lastRenderedPageBreak/>
        <w:t>Draft Recommendati</w:t>
      </w:r>
      <w:r w:rsidRPr="00A031EF">
        <w:rPr>
          <w:lang w:val="fr-CH"/>
        </w:rPr>
        <w:t>on ITU-T G.9700</w:t>
      </w:r>
      <w:r>
        <w:rPr>
          <w:lang w:val="fr-CH"/>
        </w:rPr>
        <w:t xml:space="preserve"> (ex. </w:t>
      </w:r>
      <w:r w:rsidRPr="00C30A65">
        <w:rPr>
          <w:lang w:val="fr-CH"/>
        </w:rPr>
        <w:t>G.fast-psd)</w:t>
      </w:r>
    </w:p>
    <w:p w:rsidR="00C30A65" w:rsidRPr="005E10F7" w:rsidRDefault="00C30A65" w:rsidP="00C30A65">
      <w:pPr>
        <w:pStyle w:val="Rectitle"/>
        <w:rPr>
          <w:szCs w:val="28"/>
        </w:rPr>
      </w:pPr>
      <w:r w:rsidRPr="005E10F7">
        <w:rPr>
          <w:bCs/>
          <w:szCs w:val="28"/>
        </w:rPr>
        <w:t xml:space="preserve">Fast access to subscriber terminals (FAST) – Power spectral </w:t>
      </w:r>
      <w:r w:rsidR="00C8353F">
        <w:rPr>
          <w:bCs/>
          <w:szCs w:val="28"/>
        </w:rPr>
        <w:br/>
      </w:r>
      <w:r w:rsidRPr="005E10F7">
        <w:rPr>
          <w:bCs/>
          <w:szCs w:val="28"/>
        </w:rPr>
        <w:t>density specification</w:t>
      </w:r>
    </w:p>
    <w:p w:rsidR="00C30A65" w:rsidRPr="005E10F7" w:rsidRDefault="00C30A65" w:rsidP="00C30A65">
      <w:pPr>
        <w:pStyle w:val="Headingb"/>
      </w:pPr>
      <w:r w:rsidRPr="005E10F7">
        <w:t xml:space="preserve">Summary </w:t>
      </w:r>
    </w:p>
    <w:p w:rsidR="00C30A65" w:rsidRPr="005E10F7" w:rsidRDefault="00C30A65" w:rsidP="00C30A65">
      <w:r w:rsidRPr="005E10F7">
        <w:t xml:space="preserve">Recommendation ITU-T </w:t>
      </w:r>
      <w:r>
        <w:t>G.9700</w:t>
      </w:r>
      <w:r w:rsidRPr="005E10F7">
        <w:t xml:space="preserve"> specifies power spectral density (PSD) mask requirements, a set of tools to support reduction of the transmit PSD mask, profile control parameters that determine spectral content including the allowable maximum aggregate transmit power into a specified termination impedance</w:t>
      </w:r>
      <w:r>
        <w:t>, and methodology for transmit PSD verification</w:t>
      </w:r>
      <w:r w:rsidRPr="005E10F7">
        <w:t xml:space="preserve">. It complements the physical layer (PHY) specification in </w:t>
      </w:r>
      <w:r>
        <w:t>[</w:t>
      </w:r>
      <w:r w:rsidRPr="005E10F7">
        <w:t xml:space="preserve">ITU-T </w:t>
      </w:r>
      <w:r>
        <w:t>G.9701]</w:t>
      </w:r>
      <w:r w:rsidRPr="005E10F7">
        <w:t>.</w:t>
      </w:r>
    </w:p>
    <w:p w:rsidR="00C30A65" w:rsidRPr="005E10F7" w:rsidRDefault="00C30A65" w:rsidP="00C30A65">
      <w:pPr>
        <w:pStyle w:val="Headingb"/>
      </w:pPr>
      <w:r w:rsidRPr="005E10F7">
        <w:t>Keywords</w:t>
      </w:r>
    </w:p>
    <w:p w:rsidR="00C30A65" w:rsidRPr="005E10F7" w:rsidRDefault="00C30A65" w:rsidP="00C30A65">
      <w:r w:rsidRPr="005E10F7">
        <w:t>&lt;Optional&gt;</w:t>
      </w:r>
    </w:p>
    <w:p w:rsidR="00C30A65" w:rsidRPr="005E10F7" w:rsidRDefault="00C30A65" w:rsidP="00C30A65">
      <w:pPr>
        <w:pStyle w:val="Headingb"/>
      </w:pPr>
      <w:r w:rsidRPr="005E10F7">
        <w:t>Introduction</w:t>
      </w:r>
    </w:p>
    <w:p w:rsidR="00C30A65" w:rsidRPr="005E10F7" w:rsidRDefault="00C30A65" w:rsidP="00C30A65">
      <w:r w:rsidRPr="005E10F7">
        <w:t>&lt;Optional - This clause should appear only if it contains information different from Scope and Summary&gt;</w:t>
      </w:r>
    </w:p>
    <w:p w:rsidR="00C30A65" w:rsidRPr="005E10F7" w:rsidRDefault="00C30A65" w:rsidP="00C30A65">
      <w:pPr>
        <w:pStyle w:val="Heading1"/>
        <w:sectPr w:rsidR="00C30A65" w:rsidRPr="005E10F7" w:rsidSect="00A031EF">
          <w:footerReference w:type="default" r:id="rId14"/>
          <w:pgSz w:w="11907" w:h="16840"/>
          <w:pgMar w:top="1417" w:right="1134" w:bottom="1417" w:left="1134" w:header="720" w:footer="720" w:gutter="0"/>
          <w:cols w:space="720"/>
          <w:docGrid w:linePitch="326"/>
        </w:sectPr>
      </w:pPr>
    </w:p>
    <w:p w:rsidR="00C30A65" w:rsidRPr="005E10F7" w:rsidRDefault="00C30A65" w:rsidP="00C30A65">
      <w:pPr>
        <w:pStyle w:val="Heading1"/>
        <w:jc w:val="center"/>
      </w:pPr>
      <w:bookmarkStart w:id="9" w:name="_Toc349130928"/>
      <w:bookmarkStart w:id="10" w:name="_Toc349131920"/>
      <w:bookmarkStart w:id="11" w:name="_Toc349132971"/>
      <w:bookmarkStart w:id="12" w:name="_Toc353795233"/>
      <w:bookmarkStart w:id="13" w:name="_Toc353795440"/>
      <w:bookmarkStart w:id="14" w:name="_Toc361334868"/>
      <w:bookmarkStart w:id="15" w:name="_Toc361338864"/>
      <w:bookmarkStart w:id="16" w:name="_Toc361338925"/>
      <w:r w:rsidRPr="005E10F7">
        <w:lastRenderedPageBreak/>
        <w:t>Table of contents</w:t>
      </w:r>
      <w:bookmarkEnd w:id="9"/>
      <w:bookmarkEnd w:id="10"/>
      <w:bookmarkEnd w:id="11"/>
      <w:bookmarkEnd w:id="12"/>
      <w:bookmarkEnd w:id="13"/>
      <w:bookmarkEnd w:id="14"/>
      <w:bookmarkEnd w:id="15"/>
      <w:bookmarkEnd w:id="16"/>
    </w:p>
    <w:p w:rsidR="00C30A65" w:rsidRDefault="00C30A65" w:rsidP="00C30A65">
      <w:pPr>
        <w:pStyle w:val="TOC1"/>
        <w:rPr>
          <w:rFonts w:asciiTheme="minorHAnsi" w:eastAsiaTheme="minorEastAsia" w:hAnsiTheme="minorHAnsi" w:cstheme="minorBidi"/>
          <w:sz w:val="22"/>
          <w:szCs w:val="22"/>
          <w:lang w:val="en-CA" w:eastAsia="ko-KR"/>
        </w:rPr>
      </w:pPr>
      <w:r w:rsidRPr="005E10F7">
        <w:fldChar w:fldCharType="begin"/>
      </w:r>
      <w:r w:rsidRPr="005E10F7">
        <w:instrText xml:space="preserve"> TOC \o "1-4" \h \z \u </w:instrText>
      </w:r>
      <w:r w:rsidRPr="005E10F7">
        <w:fldChar w:fldCharType="separate"/>
      </w:r>
    </w:p>
    <w:p w:rsidR="00C30A65" w:rsidRDefault="00FA1363" w:rsidP="00C30A65">
      <w:pPr>
        <w:pStyle w:val="TOC1"/>
        <w:rPr>
          <w:rFonts w:asciiTheme="minorHAnsi" w:eastAsiaTheme="minorEastAsia" w:hAnsiTheme="minorHAnsi" w:cstheme="minorBidi"/>
          <w:sz w:val="22"/>
          <w:szCs w:val="22"/>
          <w:lang w:val="en-CA" w:eastAsia="ko-KR"/>
        </w:rPr>
      </w:pPr>
      <w:hyperlink w:anchor="_Toc361338926" w:history="1">
        <w:r w:rsidR="00C30A65" w:rsidRPr="00DD3CAC">
          <w:rPr>
            <w:rStyle w:val="Hyperlink"/>
          </w:rPr>
          <w:t>1</w:t>
        </w:r>
        <w:r w:rsidR="00C30A65">
          <w:rPr>
            <w:rFonts w:asciiTheme="minorHAnsi" w:eastAsiaTheme="minorEastAsia" w:hAnsiTheme="minorHAnsi" w:cstheme="minorBidi"/>
            <w:sz w:val="22"/>
            <w:szCs w:val="22"/>
            <w:lang w:val="en-CA" w:eastAsia="ko-KR"/>
          </w:rPr>
          <w:tab/>
        </w:r>
        <w:r w:rsidR="00C30A65" w:rsidRPr="00DD3CAC">
          <w:rPr>
            <w:rStyle w:val="Hyperlink"/>
          </w:rPr>
          <w:t>Scope</w:t>
        </w:r>
        <w:r w:rsidR="00C30A65">
          <w:rPr>
            <w:webHidden/>
          </w:rPr>
          <w:tab/>
        </w:r>
        <w:r w:rsidR="00C30A65">
          <w:rPr>
            <w:webHidden/>
          </w:rPr>
          <w:fldChar w:fldCharType="begin"/>
        </w:r>
        <w:r w:rsidR="00C30A65">
          <w:rPr>
            <w:webHidden/>
          </w:rPr>
          <w:instrText xml:space="preserve"> PAGEREF _Toc361338926 \h </w:instrText>
        </w:r>
        <w:r w:rsidR="00C30A65">
          <w:rPr>
            <w:webHidden/>
          </w:rPr>
        </w:r>
        <w:r w:rsidR="00C30A65">
          <w:rPr>
            <w:webHidden/>
          </w:rPr>
          <w:fldChar w:fldCharType="separate"/>
        </w:r>
        <w:r w:rsidR="00C30A65">
          <w:rPr>
            <w:webHidden/>
          </w:rPr>
          <w:t>1</w:t>
        </w:r>
        <w:r w:rsidR="00C30A65">
          <w:rPr>
            <w:webHidden/>
          </w:rPr>
          <w:fldChar w:fldCharType="end"/>
        </w:r>
      </w:hyperlink>
    </w:p>
    <w:p w:rsidR="00C30A65" w:rsidRDefault="00FA1363" w:rsidP="00C30A65">
      <w:pPr>
        <w:pStyle w:val="TOC1"/>
        <w:rPr>
          <w:rFonts w:asciiTheme="minorHAnsi" w:eastAsiaTheme="minorEastAsia" w:hAnsiTheme="minorHAnsi" w:cstheme="minorBidi"/>
          <w:sz w:val="22"/>
          <w:szCs w:val="22"/>
          <w:lang w:val="en-CA" w:eastAsia="ko-KR"/>
        </w:rPr>
      </w:pPr>
      <w:hyperlink w:anchor="_Toc361338927" w:history="1">
        <w:r w:rsidR="00C30A65" w:rsidRPr="00DD3CAC">
          <w:rPr>
            <w:rStyle w:val="Hyperlink"/>
          </w:rPr>
          <w:t>2</w:t>
        </w:r>
        <w:r w:rsidR="00C30A65">
          <w:rPr>
            <w:rFonts w:asciiTheme="minorHAnsi" w:eastAsiaTheme="minorEastAsia" w:hAnsiTheme="minorHAnsi" w:cstheme="minorBidi"/>
            <w:sz w:val="22"/>
            <w:szCs w:val="22"/>
            <w:lang w:val="en-CA" w:eastAsia="ko-KR"/>
          </w:rPr>
          <w:tab/>
        </w:r>
        <w:r w:rsidR="00C30A65" w:rsidRPr="00DD3CAC">
          <w:rPr>
            <w:rStyle w:val="Hyperlink"/>
          </w:rPr>
          <w:t>References</w:t>
        </w:r>
        <w:r w:rsidR="00C30A65">
          <w:rPr>
            <w:webHidden/>
          </w:rPr>
          <w:tab/>
        </w:r>
        <w:r w:rsidR="00C30A65">
          <w:rPr>
            <w:webHidden/>
          </w:rPr>
          <w:fldChar w:fldCharType="begin"/>
        </w:r>
        <w:r w:rsidR="00C30A65">
          <w:rPr>
            <w:webHidden/>
          </w:rPr>
          <w:instrText xml:space="preserve"> PAGEREF _Toc361338927 \h </w:instrText>
        </w:r>
        <w:r w:rsidR="00C30A65">
          <w:rPr>
            <w:webHidden/>
          </w:rPr>
        </w:r>
        <w:r w:rsidR="00C30A65">
          <w:rPr>
            <w:webHidden/>
          </w:rPr>
          <w:fldChar w:fldCharType="separate"/>
        </w:r>
        <w:r w:rsidR="00C30A65">
          <w:rPr>
            <w:webHidden/>
          </w:rPr>
          <w:t>1</w:t>
        </w:r>
        <w:r w:rsidR="00C30A65">
          <w:rPr>
            <w:webHidden/>
          </w:rPr>
          <w:fldChar w:fldCharType="end"/>
        </w:r>
      </w:hyperlink>
    </w:p>
    <w:p w:rsidR="00C30A65" w:rsidRDefault="00FA1363" w:rsidP="00C30A65">
      <w:pPr>
        <w:pStyle w:val="TOC1"/>
        <w:rPr>
          <w:rFonts w:asciiTheme="minorHAnsi" w:eastAsiaTheme="minorEastAsia" w:hAnsiTheme="minorHAnsi" w:cstheme="minorBidi"/>
          <w:sz w:val="22"/>
          <w:szCs w:val="22"/>
          <w:lang w:val="en-CA" w:eastAsia="ko-KR"/>
        </w:rPr>
      </w:pPr>
      <w:hyperlink w:anchor="_Toc361338928" w:history="1">
        <w:r w:rsidR="00C30A65" w:rsidRPr="00DD3CAC">
          <w:rPr>
            <w:rStyle w:val="Hyperlink"/>
            <w:lang w:val="en-US"/>
          </w:rPr>
          <w:t>3</w:t>
        </w:r>
        <w:r w:rsidR="00C30A65">
          <w:rPr>
            <w:rFonts w:asciiTheme="minorHAnsi" w:eastAsiaTheme="minorEastAsia" w:hAnsiTheme="minorHAnsi" w:cstheme="minorBidi"/>
            <w:sz w:val="22"/>
            <w:szCs w:val="22"/>
            <w:lang w:val="en-CA" w:eastAsia="ko-KR"/>
          </w:rPr>
          <w:tab/>
        </w:r>
        <w:r w:rsidR="00C30A65" w:rsidRPr="00DD3CAC">
          <w:rPr>
            <w:rStyle w:val="Hyperlink"/>
            <w:lang w:val="en-US"/>
          </w:rPr>
          <w:t>Definitions</w:t>
        </w:r>
        <w:r w:rsidR="00C30A65">
          <w:rPr>
            <w:webHidden/>
          </w:rPr>
          <w:tab/>
        </w:r>
        <w:r w:rsidR="00C30A65">
          <w:rPr>
            <w:webHidden/>
          </w:rPr>
          <w:fldChar w:fldCharType="begin"/>
        </w:r>
        <w:r w:rsidR="00C30A65">
          <w:rPr>
            <w:webHidden/>
          </w:rPr>
          <w:instrText xml:space="preserve"> PAGEREF _Toc361338928 \h </w:instrText>
        </w:r>
        <w:r w:rsidR="00C30A65">
          <w:rPr>
            <w:webHidden/>
          </w:rPr>
        </w:r>
        <w:r w:rsidR="00C30A65">
          <w:rPr>
            <w:webHidden/>
          </w:rPr>
          <w:fldChar w:fldCharType="separate"/>
        </w:r>
        <w:r w:rsidR="00C30A65">
          <w:rPr>
            <w:webHidden/>
          </w:rPr>
          <w:t>1</w:t>
        </w:r>
        <w:r w:rsidR="00C30A65">
          <w:rPr>
            <w:webHidden/>
          </w:rPr>
          <w:fldChar w:fldCharType="end"/>
        </w:r>
      </w:hyperlink>
    </w:p>
    <w:p w:rsidR="00C30A65" w:rsidRDefault="00FA1363" w:rsidP="00C30A65">
      <w:pPr>
        <w:pStyle w:val="TOC1"/>
        <w:rPr>
          <w:rFonts w:asciiTheme="minorHAnsi" w:eastAsiaTheme="minorEastAsia" w:hAnsiTheme="minorHAnsi" w:cstheme="minorBidi"/>
          <w:sz w:val="22"/>
          <w:szCs w:val="22"/>
          <w:lang w:val="en-CA" w:eastAsia="ko-KR"/>
        </w:rPr>
      </w:pPr>
      <w:hyperlink w:anchor="_Toc361338929" w:history="1">
        <w:r w:rsidR="00C30A65" w:rsidRPr="00DD3CAC">
          <w:rPr>
            <w:rStyle w:val="Hyperlink"/>
            <w:lang w:val="en-US"/>
          </w:rPr>
          <w:t>4</w:t>
        </w:r>
        <w:r w:rsidR="00C30A65">
          <w:rPr>
            <w:rFonts w:asciiTheme="minorHAnsi" w:eastAsiaTheme="minorEastAsia" w:hAnsiTheme="minorHAnsi" w:cstheme="minorBidi"/>
            <w:sz w:val="22"/>
            <w:szCs w:val="22"/>
            <w:lang w:val="en-CA" w:eastAsia="ko-KR"/>
          </w:rPr>
          <w:tab/>
        </w:r>
        <w:r w:rsidR="00C30A65" w:rsidRPr="00DD3CAC">
          <w:rPr>
            <w:rStyle w:val="Hyperlink"/>
            <w:lang w:val="en-US"/>
          </w:rPr>
          <w:t>Abbreviations and acronyms</w:t>
        </w:r>
        <w:r w:rsidR="00C30A65">
          <w:rPr>
            <w:webHidden/>
          </w:rPr>
          <w:tab/>
        </w:r>
        <w:r w:rsidR="00C30A65">
          <w:rPr>
            <w:webHidden/>
          </w:rPr>
          <w:fldChar w:fldCharType="begin"/>
        </w:r>
        <w:r w:rsidR="00C30A65">
          <w:rPr>
            <w:webHidden/>
          </w:rPr>
          <w:instrText xml:space="preserve"> PAGEREF _Toc361338929 \h </w:instrText>
        </w:r>
        <w:r w:rsidR="00C30A65">
          <w:rPr>
            <w:webHidden/>
          </w:rPr>
        </w:r>
        <w:r w:rsidR="00C30A65">
          <w:rPr>
            <w:webHidden/>
          </w:rPr>
          <w:fldChar w:fldCharType="separate"/>
        </w:r>
        <w:r w:rsidR="00C30A65">
          <w:rPr>
            <w:webHidden/>
          </w:rPr>
          <w:t>2</w:t>
        </w:r>
        <w:r w:rsidR="00C30A65">
          <w:rPr>
            <w:webHidden/>
          </w:rPr>
          <w:fldChar w:fldCharType="end"/>
        </w:r>
      </w:hyperlink>
    </w:p>
    <w:p w:rsidR="00C30A65" w:rsidRDefault="00FA1363" w:rsidP="00C30A65">
      <w:pPr>
        <w:pStyle w:val="TOC1"/>
        <w:rPr>
          <w:rFonts w:asciiTheme="minorHAnsi" w:eastAsiaTheme="minorEastAsia" w:hAnsiTheme="minorHAnsi" w:cstheme="minorBidi"/>
          <w:sz w:val="22"/>
          <w:szCs w:val="22"/>
          <w:lang w:val="en-CA" w:eastAsia="ko-KR"/>
        </w:rPr>
      </w:pPr>
      <w:hyperlink w:anchor="_Toc361338930" w:history="1">
        <w:r w:rsidR="00C30A65" w:rsidRPr="00DD3CAC">
          <w:rPr>
            <w:rStyle w:val="Hyperlink"/>
          </w:rPr>
          <w:t>5</w:t>
        </w:r>
        <w:r w:rsidR="00C30A65">
          <w:rPr>
            <w:rFonts w:asciiTheme="minorHAnsi" w:eastAsiaTheme="minorEastAsia" w:hAnsiTheme="minorHAnsi" w:cstheme="minorBidi"/>
            <w:sz w:val="22"/>
            <w:szCs w:val="22"/>
            <w:lang w:val="en-CA" w:eastAsia="ko-KR"/>
          </w:rPr>
          <w:tab/>
        </w:r>
        <w:r w:rsidR="00C30A65" w:rsidRPr="00DD3CAC">
          <w:rPr>
            <w:rStyle w:val="Hyperlink"/>
          </w:rPr>
          <w:t>Transmit PSD mask</w:t>
        </w:r>
        <w:r w:rsidR="00C30A65">
          <w:rPr>
            <w:webHidden/>
          </w:rPr>
          <w:tab/>
        </w:r>
        <w:r w:rsidR="00C30A65">
          <w:rPr>
            <w:webHidden/>
          </w:rPr>
          <w:fldChar w:fldCharType="begin"/>
        </w:r>
        <w:r w:rsidR="00C30A65">
          <w:rPr>
            <w:webHidden/>
          </w:rPr>
          <w:instrText xml:space="preserve"> PAGEREF _Toc361338930 \h </w:instrText>
        </w:r>
        <w:r w:rsidR="00C30A65">
          <w:rPr>
            <w:webHidden/>
          </w:rPr>
        </w:r>
        <w:r w:rsidR="00C30A65">
          <w:rPr>
            <w:webHidden/>
          </w:rPr>
          <w:fldChar w:fldCharType="separate"/>
        </w:r>
        <w:r w:rsidR="00C30A65">
          <w:rPr>
            <w:webHidden/>
          </w:rPr>
          <w:t>2</w:t>
        </w:r>
        <w:r w:rsidR="00C30A65">
          <w:rPr>
            <w:webHidden/>
          </w:rPr>
          <w:fldChar w:fldCharType="end"/>
        </w:r>
      </w:hyperlink>
    </w:p>
    <w:p w:rsidR="00C30A65" w:rsidRDefault="00FA1363" w:rsidP="00C30A65">
      <w:pPr>
        <w:pStyle w:val="TOC2"/>
        <w:rPr>
          <w:rFonts w:asciiTheme="minorHAnsi" w:eastAsiaTheme="minorEastAsia" w:hAnsiTheme="minorHAnsi" w:cstheme="minorBidi"/>
          <w:sz w:val="22"/>
          <w:szCs w:val="22"/>
          <w:lang w:val="en-CA" w:eastAsia="ko-KR"/>
        </w:rPr>
      </w:pPr>
      <w:hyperlink w:anchor="_Toc361338931" w:history="1">
        <w:r w:rsidR="00C30A65" w:rsidRPr="00DD3CAC">
          <w:rPr>
            <w:rStyle w:val="Hyperlink"/>
          </w:rPr>
          <w:t>5.1</w:t>
        </w:r>
        <w:r w:rsidR="00C30A65">
          <w:rPr>
            <w:rFonts w:asciiTheme="minorHAnsi" w:eastAsiaTheme="minorEastAsia" w:hAnsiTheme="minorHAnsi" w:cstheme="minorBidi"/>
            <w:sz w:val="22"/>
            <w:szCs w:val="22"/>
            <w:lang w:val="en-CA" w:eastAsia="ko-KR"/>
          </w:rPr>
          <w:tab/>
        </w:r>
        <w:r w:rsidR="00C30A65" w:rsidRPr="00DD3CAC">
          <w:rPr>
            <w:rStyle w:val="Hyperlink"/>
          </w:rPr>
          <w:t>Overview</w:t>
        </w:r>
        <w:r w:rsidR="00C30A65">
          <w:rPr>
            <w:webHidden/>
          </w:rPr>
          <w:tab/>
        </w:r>
        <w:r w:rsidR="00C30A65">
          <w:rPr>
            <w:webHidden/>
          </w:rPr>
          <w:fldChar w:fldCharType="begin"/>
        </w:r>
        <w:r w:rsidR="00C30A65">
          <w:rPr>
            <w:webHidden/>
          </w:rPr>
          <w:instrText xml:space="preserve"> PAGEREF _Toc361338931 \h </w:instrText>
        </w:r>
        <w:r w:rsidR="00C30A65">
          <w:rPr>
            <w:webHidden/>
          </w:rPr>
        </w:r>
        <w:r w:rsidR="00C30A65">
          <w:rPr>
            <w:webHidden/>
          </w:rPr>
          <w:fldChar w:fldCharType="separate"/>
        </w:r>
        <w:r w:rsidR="00C30A65">
          <w:rPr>
            <w:webHidden/>
          </w:rPr>
          <w:t>2</w:t>
        </w:r>
        <w:r w:rsidR="00C30A65">
          <w:rPr>
            <w:webHidden/>
          </w:rPr>
          <w:fldChar w:fldCharType="end"/>
        </w:r>
      </w:hyperlink>
    </w:p>
    <w:p w:rsidR="00C30A65" w:rsidRDefault="00FA1363" w:rsidP="00C30A65">
      <w:pPr>
        <w:pStyle w:val="TOC2"/>
        <w:rPr>
          <w:rFonts w:asciiTheme="minorHAnsi" w:eastAsiaTheme="minorEastAsia" w:hAnsiTheme="minorHAnsi" w:cstheme="minorBidi"/>
          <w:sz w:val="22"/>
          <w:szCs w:val="22"/>
          <w:lang w:val="en-CA" w:eastAsia="ko-KR"/>
        </w:rPr>
      </w:pPr>
      <w:hyperlink w:anchor="_Toc361338932" w:history="1">
        <w:r w:rsidR="00C30A65" w:rsidRPr="00DD3CAC">
          <w:rPr>
            <w:rStyle w:val="Hyperlink"/>
          </w:rPr>
          <w:t>5.2</w:t>
        </w:r>
        <w:r w:rsidR="00C30A65">
          <w:rPr>
            <w:rFonts w:asciiTheme="minorHAnsi" w:eastAsiaTheme="minorEastAsia" w:hAnsiTheme="minorHAnsi" w:cstheme="minorBidi"/>
            <w:sz w:val="22"/>
            <w:szCs w:val="22"/>
            <w:lang w:val="en-CA" w:eastAsia="ko-KR"/>
          </w:rPr>
          <w:tab/>
        </w:r>
        <w:r w:rsidR="00C30A65" w:rsidRPr="00DD3CAC">
          <w:rPr>
            <w:rStyle w:val="Hyperlink"/>
          </w:rPr>
          <w:t>Limit PSD mask (LPM)</w:t>
        </w:r>
        <w:r w:rsidR="00C30A65">
          <w:rPr>
            <w:webHidden/>
          </w:rPr>
          <w:tab/>
        </w:r>
        <w:r w:rsidR="00C30A65">
          <w:rPr>
            <w:webHidden/>
          </w:rPr>
          <w:fldChar w:fldCharType="begin"/>
        </w:r>
        <w:r w:rsidR="00C30A65">
          <w:rPr>
            <w:webHidden/>
          </w:rPr>
          <w:instrText xml:space="preserve"> PAGEREF _Toc361338932 \h </w:instrText>
        </w:r>
        <w:r w:rsidR="00C30A65">
          <w:rPr>
            <w:webHidden/>
          </w:rPr>
        </w:r>
        <w:r w:rsidR="00C30A65">
          <w:rPr>
            <w:webHidden/>
          </w:rPr>
          <w:fldChar w:fldCharType="separate"/>
        </w:r>
        <w:r w:rsidR="00C30A65">
          <w:rPr>
            <w:webHidden/>
          </w:rPr>
          <w:t>3</w:t>
        </w:r>
        <w:r w:rsidR="00C30A65">
          <w:rPr>
            <w:webHidden/>
          </w:rPr>
          <w:fldChar w:fldCharType="end"/>
        </w:r>
      </w:hyperlink>
    </w:p>
    <w:p w:rsidR="00C30A65" w:rsidRDefault="00FA1363" w:rsidP="00C30A65">
      <w:pPr>
        <w:pStyle w:val="TOC2"/>
        <w:rPr>
          <w:rFonts w:asciiTheme="minorHAnsi" w:eastAsiaTheme="minorEastAsia" w:hAnsiTheme="minorHAnsi" w:cstheme="minorBidi"/>
          <w:sz w:val="22"/>
          <w:szCs w:val="22"/>
          <w:lang w:val="en-CA" w:eastAsia="ko-KR"/>
        </w:rPr>
      </w:pPr>
      <w:hyperlink w:anchor="_Toc361338933" w:history="1">
        <w:r w:rsidR="00C30A65" w:rsidRPr="00DD3CAC">
          <w:rPr>
            <w:rStyle w:val="Hyperlink"/>
          </w:rPr>
          <w:t>5.3</w:t>
        </w:r>
        <w:r w:rsidR="00C30A65">
          <w:rPr>
            <w:rFonts w:asciiTheme="minorHAnsi" w:eastAsiaTheme="minorEastAsia" w:hAnsiTheme="minorHAnsi" w:cstheme="minorBidi"/>
            <w:sz w:val="22"/>
            <w:szCs w:val="22"/>
            <w:lang w:val="en-CA" w:eastAsia="ko-KR"/>
          </w:rPr>
          <w:tab/>
        </w:r>
        <w:r w:rsidR="00C30A65" w:rsidRPr="00DD3CAC">
          <w:rPr>
            <w:rStyle w:val="Hyperlink"/>
          </w:rPr>
          <w:t>Sub-carrier masking</w:t>
        </w:r>
        <w:r w:rsidR="00C30A65">
          <w:rPr>
            <w:webHidden/>
          </w:rPr>
          <w:tab/>
        </w:r>
        <w:r w:rsidR="00C30A65">
          <w:rPr>
            <w:webHidden/>
          </w:rPr>
          <w:fldChar w:fldCharType="begin"/>
        </w:r>
        <w:r w:rsidR="00C30A65">
          <w:rPr>
            <w:webHidden/>
          </w:rPr>
          <w:instrText xml:space="preserve"> PAGEREF _Toc361338933 \h </w:instrText>
        </w:r>
        <w:r w:rsidR="00C30A65">
          <w:rPr>
            <w:webHidden/>
          </w:rPr>
        </w:r>
        <w:r w:rsidR="00C30A65">
          <w:rPr>
            <w:webHidden/>
          </w:rPr>
          <w:fldChar w:fldCharType="separate"/>
        </w:r>
        <w:r w:rsidR="00C30A65">
          <w:rPr>
            <w:webHidden/>
          </w:rPr>
          <w:t>3</w:t>
        </w:r>
        <w:r w:rsidR="00C30A65">
          <w:rPr>
            <w:webHidden/>
          </w:rPr>
          <w:fldChar w:fldCharType="end"/>
        </w:r>
      </w:hyperlink>
    </w:p>
    <w:p w:rsidR="00C30A65" w:rsidRDefault="00FA1363" w:rsidP="00C30A65">
      <w:pPr>
        <w:pStyle w:val="TOC2"/>
        <w:rPr>
          <w:rFonts w:asciiTheme="minorHAnsi" w:eastAsiaTheme="minorEastAsia" w:hAnsiTheme="minorHAnsi" w:cstheme="minorBidi"/>
          <w:sz w:val="22"/>
          <w:szCs w:val="22"/>
          <w:lang w:val="en-CA" w:eastAsia="ko-KR"/>
        </w:rPr>
      </w:pPr>
      <w:hyperlink w:anchor="_Toc361338934" w:history="1">
        <w:r w:rsidR="00C30A65" w:rsidRPr="00DD3CAC">
          <w:rPr>
            <w:rStyle w:val="Hyperlink"/>
          </w:rPr>
          <w:t>5.4</w:t>
        </w:r>
        <w:r w:rsidR="00C30A65">
          <w:rPr>
            <w:rFonts w:asciiTheme="minorHAnsi" w:eastAsiaTheme="minorEastAsia" w:hAnsiTheme="minorHAnsi" w:cstheme="minorBidi"/>
            <w:sz w:val="22"/>
            <w:szCs w:val="22"/>
            <w:lang w:val="en-CA" w:eastAsia="ko-KR"/>
          </w:rPr>
          <w:tab/>
        </w:r>
        <w:r w:rsidR="00C30A65" w:rsidRPr="00DD3CAC">
          <w:rPr>
            <w:rStyle w:val="Hyperlink"/>
          </w:rPr>
          <w:t>Power spectral density shaping</w:t>
        </w:r>
        <w:r w:rsidR="00C30A65">
          <w:rPr>
            <w:webHidden/>
          </w:rPr>
          <w:tab/>
        </w:r>
        <w:r w:rsidR="00C30A65">
          <w:rPr>
            <w:webHidden/>
          </w:rPr>
          <w:fldChar w:fldCharType="begin"/>
        </w:r>
        <w:r w:rsidR="00C30A65">
          <w:rPr>
            <w:webHidden/>
          </w:rPr>
          <w:instrText xml:space="preserve"> PAGEREF _Toc361338934 \h </w:instrText>
        </w:r>
        <w:r w:rsidR="00C30A65">
          <w:rPr>
            <w:webHidden/>
          </w:rPr>
        </w:r>
        <w:r w:rsidR="00C30A65">
          <w:rPr>
            <w:webHidden/>
          </w:rPr>
          <w:fldChar w:fldCharType="separate"/>
        </w:r>
        <w:r w:rsidR="00C30A65">
          <w:rPr>
            <w:webHidden/>
          </w:rPr>
          <w:t>3</w:t>
        </w:r>
        <w:r w:rsidR="00C30A65">
          <w:rPr>
            <w:webHidden/>
          </w:rPr>
          <w:fldChar w:fldCharType="end"/>
        </w:r>
      </w:hyperlink>
    </w:p>
    <w:p w:rsidR="00C30A65" w:rsidRDefault="00FA1363" w:rsidP="00C30A65">
      <w:pPr>
        <w:pStyle w:val="TOC2"/>
        <w:rPr>
          <w:rFonts w:asciiTheme="minorHAnsi" w:eastAsiaTheme="minorEastAsia" w:hAnsiTheme="minorHAnsi" w:cstheme="minorBidi"/>
          <w:sz w:val="22"/>
          <w:szCs w:val="22"/>
          <w:lang w:val="en-CA" w:eastAsia="ko-KR"/>
        </w:rPr>
      </w:pPr>
      <w:hyperlink w:anchor="_Toc361338935" w:history="1">
        <w:r w:rsidR="00C30A65" w:rsidRPr="00DD3CAC">
          <w:rPr>
            <w:rStyle w:val="Hyperlink"/>
          </w:rPr>
          <w:t>5.5</w:t>
        </w:r>
        <w:r w:rsidR="00C30A65">
          <w:rPr>
            <w:rFonts w:asciiTheme="minorHAnsi" w:eastAsiaTheme="minorEastAsia" w:hAnsiTheme="minorHAnsi" w:cstheme="minorBidi"/>
            <w:sz w:val="22"/>
            <w:szCs w:val="22"/>
            <w:lang w:val="en-CA" w:eastAsia="ko-KR"/>
          </w:rPr>
          <w:tab/>
        </w:r>
        <w:r w:rsidR="00C30A65" w:rsidRPr="00DD3CAC">
          <w:rPr>
            <w:rStyle w:val="Hyperlink"/>
          </w:rPr>
          <w:t>Notching of specific frequency bands</w:t>
        </w:r>
        <w:r w:rsidR="00C30A65">
          <w:rPr>
            <w:webHidden/>
          </w:rPr>
          <w:tab/>
        </w:r>
        <w:r w:rsidR="00C30A65">
          <w:rPr>
            <w:webHidden/>
          </w:rPr>
          <w:fldChar w:fldCharType="begin"/>
        </w:r>
        <w:r w:rsidR="00C30A65">
          <w:rPr>
            <w:webHidden/>
          </w:rPr>
          <w:instrText xml:space="preserve"> PAGEREF _Toc361338935 \h </w:instrText>
        </w:r>
        <w:r w:rsidR="00C30A65">
          <w:rPr>
            <w:webHidden/>
          </w:rPr>
        </w:r>
        <w:r w:rsidR="00C30A65">
          <w:rPr>
            <w:webHidden/>
          </w:rPr>
          <w:fldChar w:fldCharType="separate"/>
        </w:r>
        <w:r w:rsidR="00C30A65">
          <w:rPr>
            <w:webHidden/>
          </w:rPr>
          <w:t>4</w:t>
        </w:r>
        <w:r w:rsidR="00C30A65">
          <w:rPr>
            <w:webHidden/>
          </w:rPr>
          <w:fldChar w:fldCharType="end"/>
        </w:r>
      </w:hyperlink>
    </w:p>
    <w:p w:rsidR="00C30A65" w:rsidRDefault="00FA1363" w:rsidP="00C30A65">
      <w:pPr>
        <w:pStyle w:val="TOC2"/>
        <w:rPr>
          <w:rFonts w:asciiTheme="minorHAnsi" w:eastAsiaTheme="minorEastAsia" w:hAnsiTheme="minorHAnsi" w:cstheme="minorBidi"/>
          <w:sz w:val="22"/>
          <w:szCs w:val="22"/>
          <w:lang w:val="en-CA" w:eastAsia="ko-KR"/>
        </w:rPr>
      </w:pPr>
      <w:hyperlink w:anchor="_Toc361338936" w:history="1">
        <w:r w:rsidR="00C30A65" w:rsidRPr="00DD3CAC">
          <w:rPr>
            <w:rStyle w:val="Hyperlink"/>
          </w:rPr>
          <w:t>5.6</w:t>
        </w:r>
        <w:r w:rsidR="00C30A65">
          <w:rPr>
            <w:rFonts w:asciiTheme="minorHAnsi" w:eastAsiaTheme="minorEastAsia" w:hAnsiTheme="minorHAnsi" w:cstheme="minorBidi"/>
            <w:sz w:val="22"/>
            <w:szCs w:val="22"/>
            <w:lang w:val="en-CA" w:eastAsia="ko-KR"/>
          </w:rPr>
          <w:tab/>
        </w:r>
        <w:r w:rsidR="00C30A65" w:rsidRPr="00DD3CAC">
          <w:rPr>
            <w:rStyle w:val="Hyperlink"/>
          </w:rPr>
          <w:t>Low frequency edge stop-band masking</w:t>
        </w:r>
        <w:r w:rsidR="00C30A65">
          <w:rPr>
            <w:webHidden/>
          </w:rPr>
          <w:tab/>
        </w:r>
        <w:r w:rsidR="00C30A65">
          <w:rPr>
            <w:webHidden/>
          </w:rPr>
          <w:fldChar w:fldCharType="begin"/>
        </w:r>
        <w:r w:rsidR="00C30A65">
          <w:rPr>
            <w:webHidden/>
          </w:rPr>
          <w:instrText xml:space="preserve"> PAGEREF _Toc361338936 \h </w:instrText>
        </w:r>
        <w:r w:rsidR="00C30A65">
          <w:rPr>
            <w:webHidden/>
          </w:rPr>
        </w:r>
        <w:r w:rsidR="00C30A65">
          <w:rPr>
            <w:webHidden/>
          </w:rPr>
          <w:fldChar w:fldCharType="separate"/>
        </w:r>
        <w:r w:rsidR="00C30A65">
          <w:rPr>
            <w:webHidden/>
          </w:rPr>
          <w:t>5</w:t>
        </w:r>
        <w:r w:rsidR="00C30A65">
          <w:rPr>
            <w:webHidden/>
          </w:rPr>
          <w:fldChar w:fldCharType="end"/>
        </w:r>
      </w:hyperlink>
    </w:p>
    <w:p w:rsidR="00C30A65" w:rsidRDefault="00FA1363" w:rsidP="00C30A65">
      <w:pPr>
        <w:pStyle w:val="TOC1"/>
        <w:rPr>
          <w:rFonts w:asciiTheme="minorHAnsi" w:eastAsiaTheme="minorEastAsia" w:hAnsiTheme="minorHAnsi" w:cstheme="minorBidi"/>
          <w:sz w:val="22"/>
          <w:szCs w:val="22"/>
          <w:lang w:val="en-CA" w:eastAsia="ko-KR"/>
        </w:rPr>
      </w:pPr>
      <w:hyperlink w:anchor="_Toc361338937" w:history="1">
        <w:r w:rsidR="00C30A65" w:rsidRPr="00DD3CAC">
          <w:rPr>
            <w:rStyle w:val="Hyperlink"/>
          </w:rPr>
          <w:t>6</w:t>
        </w:r>
        <w:r w:rsidR="00C30A65">
          <w:rPr>
            <w:rFonts w:asciiTheme="minorHAnsi" w:eastAsiaTheme="minorEastAsia" w:hAnsiTheme="minorHAnsi" w:cstheme="minorBidi"/>
            <w:sz w:val="22"/>
            <w:szCs w:val="22"/>
            <w:lang w:val="en-CA" w:eastAsia="ko-KR"/>
          </w:rPr>
          <w:tab/>
        </w:r>
        <w:r w:rsidR="00C30A65" w:rsidRPr="00DD3CAC">
          <w:rPr>
            <w:rStyle w:val="Hyperlink"/>
          </w:rPr>
          <w:t>Specification of spectral content</w:t>
        </w:r>
        <w:r w:rsidR="00C30A65">
          <w:rPr>
            <w:webHidden/>
          </w:rPr>
          <w:tab/>
        </w:r>
        <w:r w:rsidR="00C30A65">
          <w:rPr>
            <w:webHidden/>
          </w:rPr>
          <w:fldChar w:fldCharType="begin"/>
        </w:r>
        <w:r w:rsidR="00C30A65">
          <w:rPr>
            <w:webHidden/>
          </w:rPr>
          <w:instrText xml:space="preserve"> PAGEREF _Toc361338937 \h </w:instrText>
        </w:r>
        <w:r w:rsidR="00C30A65">
          <w:rPr>
            <w:webHidden/>
          </w:rPr>
        </w:r>
        <w:r w:rsidR="00C30A65">
          <w:rPr>
            <w:webHidden/>
          </w:rPr>
          <w:fldChar w:fldCharType="separate"/>
        </w:r>
        <w:r w:rsidR="00C30A65">
          <w:rPr>
            <w:webHidden/>
          </w:rPr>
          <w:t>7</w:t>
        </w:r>
        <w:r w:rsidR="00C30A65">
          <w:rPr>
            <w:webHidden/>
          </w:rPr>
          <w:fldChar w:fldCharType="end"/>
        </w:r>
      </w:hyperlink>
    </w:p>
    <w:p w:rsidR="00C30A65" w:rsidRDefault="00FA1363" w:rsidP="00C30A65">
      <w:pPr>
        <w:pStyle w:val="TOC2"/>
        <w:rPr>
          <w:rFonts w:asciiTheme="minorHAnsi" w:eastAsiaTheme="minorEastAsia" w:hAnsiTheme="minorHAnsi" w:cstheme="minorBidi"/>
          <w:sz w:val="22"/>
          <w:szCs w:val="22"/>
          <w:lang w:val="en-CA" w:eastAsia="ko-KR"/>
        </w:rPr>
      </w:pPr>
      <w:hyperlink w:anchor="_Toc361338938" w:history="1">
        <w:r w:rsidR="00C30A65" w:rsidRPr="00DD3CAC">
          <w:rPr>
            <w:rStyle w:val="Hyperlink"/>
          </w:rPr>
          <w:t>6.1</w:t>
        </w:r>
        <w:r w:rsidR="00C30A65">
          <w:rPr>
            <w:rFonts w:asciiTheme="minorHAnsi" w:eastAsiaTheme="minorEastAsia" w:hAnsiTheme="minorHAnsi" w:cstheme="minorBidi"/>
            <w:sz w:val="22"/>
            <w:szCs w:val="22"/>
            <w:lang w:val="en-CA" w:eastAsia="ko-KR"/>
          </w:rPr>
          <w:tab/>
        </w:r>
        <w:r w:rsidR="00C30A65" w:rsidRPr="00DD3CAC">
          <w:rPr>
            <w:rStyle w:val="Hyperlink"/>
          </w:rPr>
          <w:t>Profile control parameters</w:t>
        </w:r>
        <w:r w:rsidR="00C30A65">
          <w:rPr>
            <w:webHidden/>
          </w:rPr>
          <w:tab/>
        </w:r>
        <w:r w:rsidR="00C30A65">
          <w:rPr>
            <w:webHidden/>
          </w:rPr>
          <w:fldChar w:fldCharType="begin"/>
        </w:r>
        <w:r w:rsidR="00C30A65">
          <w:rPr>
            <w:webHidden/>
          </w:rPr>
          <w:instrText xml:space="preserve"> PAGEREF _Toc361338938 \h </w:instrText>
        </w:r>
        <w:r w:rsidR="00C30A65">
          <w:rPr>
            <w:webHidden/>
          </w:rPr>
        </w:r>
        <w:r w:rsidR="00C30A65">
          <w:rPr>
            <w:webHidden/>
          </w:rPr>
          <w:fldChar w:fldCharType="separate"/>
        </w:r>
        <w:r w:rsidR="00C30A65">
          <w:rPr>
            <w:webHidden/>
          </w:rPr>
          <w:t>7</w:t>
        </w:r>
        <w:r w:rsidR="00C30A65">
          <w:rPr>
            <w:webHidden/>
          </w:rPr>
          <w:fldChar w:fldCharType="end"/>
        </w:r>
      </w:hyperlink>
    </w:p>
    <w:p w:rsidR="00C30A65" w:rsidRDefault="00FA1363" w:rsidP="00C30A65">
      <w:pPr>
        <w:pStyle w:val="TOC2"/>
        <w:rPr>
          <w:rFonts w:asciiTheme="minorHAnsi" w:eastAsiaTheme="minorEastAsia" w:hAnsiTheme="minorHAnsi" w:cstheme="minorBidi"/>
          <w:sz w:val="22"/>
          <w:szCs w:val="22"/>
          <w:lang w:val="en-CA" w:eastAsia="ko-KR"/>
        </w:rPr>
      </w:pPr>
      <w:hyperlink w:anchor="_Toc361338939" w:history="1">
        <w:r w:rsidR="00C30A65" w:rsidRPr="00DD3CAC">
          <w:rPr>
            <w:rStyle w:val="Hyperlink"/>
          </w:rPr>
          <w:t>6.2</w:t>
        </w:r>
        <w:r w:rsidR="00C30A65">
          <w:rPr>
            <w:rFonts w:asciiTheme="minorHAnsi" w:eastAsiaTheme="minorEastAsia" w:hAnsiTheme="minorHAnsi" w:cstheme="minorBidi"/>
            <w:sz w:val="22"/>
            <w:szCs w:val="22"/>
            <w:lang w:val="en-CA" w:eastAsia="ko-KR"/>
          </w:rPr>
          <w:tab/>
        </w:r>
        <w:r w:rsidR="00C30A65" w:rsidRPr="00DD3CAC">
          <w:rPr>
            <w:rStyle w:val="Hyperlink"/>
          </w:rPr>
          <w:t>PSD mask specifications</w:t>
        </w:r>
        <w:r w:rsidR="00C30A65">
          <w:rPr>
            <w:webHidden/>
          </w:rPr>
          <w:tab/>
        </w:r>
        <w:r w:rsidR="00C30A65">
          <w:rPr>
            <w:webHidden/>
          </w:rPr>
          <w:fldChar w:fldCharType="begin"/>
        </w:r>
        <w:r w:rsidR="00C30A65">
          <w:rPr>
            <w:webHidden/>
          </w:rPr>
          <w:instrText xml:space="preserve"> PAGEREF _Toc361338939 \h </w:instrText>
        </w:r>
        <w:r w:rsidR="00C30A65">
          <w:rPr>
            <w:webHidden/>
          </w:rPr>
        </w:r>
        <w:r w:rsidR="00C30A65">
          <w:rPr>
            <w:webHidden/>
          </w:rPr>
          <w:fldChar w:fldCharType="separate"/>
        </w:r>
        <w:r w:rsidR="00C30A65">
          <w:rPr>
            <w:webHidden/>
          </w:rPr>
          <w:t>8</w:t>
        </w:r>
        <w:r w:rsidR="00C30A65">
          <w:rPr>
            <w:webHidden/>
          </w:rPr>
          <w:fldChar w:fldCharType="end"/>
        </w:r>
      </w:hyperlink>
    </w:p>
    <w:p w:rsidR="00C30A65" w:rsidRDefault="00FA1363" w:rsidP="00C30A65">
      <w:pPr>
        <w:pStyle w:val="TOC3"/>
        <w:rPr>
          <w:rFonts w:asciiTheme="minorHAnsi" w:eastAsiaTheme="minorEastAsia" w:hAnsiTheme="minorHAnsi" w:cstheme="minorBidi"/>
          <w:sz w:val="22"/>
          <w:szCs w:val="22"/>
          <w:lang w:val="en-CA" w:eastAsia="ko-KR"/>
        </w:rPr>
      </w:pPr>
      <w:hyperlink w:anchor="_Toc361338940" w:history="1">
        <w:r w:rsidR="00C30A65" w:rsidRPr="00DD3CAC">
          <w:rPr>
            <w:rStyle w:val="Hyperlink"/>
          </w:rPr>
          <w:t>6.2.1</w:t>
        </w:r>
        <w:r w:rsidR="00C30A65">
          <w:rPr>
            <w:rFonts w:asciiTheme="minorHAnsi" w:eastAsiaTheme="minorEastAsia" w:hAnsiTheme="minorHAnsi" w:cstheme="minorBidi"/>
            <w:sz w:val="22"/>
            <w:szCs w:val="22"/>
            <w:lang w:val="en-CA" w:eastAsia="ko-KR"/>
          </w:rPr>
          <w:tab/>
        </w:r>
        <w:r w:rsidR="00C30A65" w:rsidRPr="00DD3CAC">
          <w:rPr>
            <w:rStyle w:val="Hyperlink"/>
          </w:rPr>
          <w:t>Limit PSD mask (LPM)</w:t>
        </w:r>
        <w:r w:rsidR="00C30A65">
          <w:rPr>
            <w:webHidden/>
          </w:rPr>
          <w:tab/>
        </w:r>
        <w:r w:rsidR="00C30A65">
          <w:rPr>
            <w:webHidden/>
          </w:rPr>
          <w:fldChar w:fldCharType="begin"/>
        </w:r>
        <w:r w:rsidR="00C30A65">
          <w:rPr>
            <w:webHidden/>
          </w:rPr>
          <w:instrText xml:space="preserve"> PAGEREF _Toc361338940 \h </w:instrText>
        </w:r>
        <w:r w:rsidR="00C30A65">
          <w:rPr>
            <w:webHidden/>
          </w:rPr>
        </w:r>
        <w:r w:rsidR="00C30A65">
          <w:rPr>
            <w:webHidden/>
          </w:rPr>
          <w:fldChar w:fldCharType="separate"/>
        </w:r>
        <w:r w:rsidR="00C30A65">
          <w:rPr>
            <w:webHidden/>
          </w:rPr>
          <w:t>8</w:t>
        </w:r>
        <w:r w:rsidR="00C30A65">
          <w:rPr>
            <w:webHidden/>
          </w:rPr>
          <w:fldChar w:fldCharType="end"/>
        </w:r>
      </w:hyperlink>
    </w:p>
    <w:p w:rsidR="00C30A65" w:rsidRDefault="00FA1363" w:rsidP="00C30A65">
      <w:pPr>
        <w:pStyle w:val="TOC4"/>
        <w:rPr>
          <w:rFonts w:asciiTheme="minorHAnsi" w:eastAsiaTheme="minorEastAsia" w:hAnsiTheme="minorHAnsi" w:cstheme="minorBidi"/>
          <w:sz w:val="22"/>
          <w:szCs w:val="22"/>
          <w:lang w:val="en-CA" w:eastAsia="ko-KR"/>
        </w:rPr>
      </w:pPr>
      <w:hyperlink w:anchor="_Toc361338941" w:history="1">
        <w:r w:rsidR="00C30A65" w:rsidRPr="00DD3CAC">
          <w:rPr>
            <w:rStyle w:val="Hyperlink"/>
          </w:rPr>
          <w:t>6.2.1.1In-band LPM</w:t>
        </w:r>
        <w:r w:rsidR="00C30A65">
          <w:rPr>
            <w:webHidden/>
          </w:rPr>
          <w:tab/>
        </w:r>
        <w:r w:rsidR="00C30A65">
          <w:rPr>
            <w:webHidden/>
          </w:rPr>
          <w:fldChar w:fldCharType="begin"/>
        </w:r>
        <w:r w:rsidR="00C30A65">
          <w:rPr>
            <w:webHidden/>
          </w:rPr>
          <w:instrText xml:space="preserve"> PAGEREF _Toc361338941 \h </w:instrText>
        </w:r>
        <w:r w:rsidR="00C30A65">
          <w:rPr>
            <w:webHidden/>
          </w:rPr>
        </w:r>
        <w:r w:rsidR="00C30A65">
          <w:rPr>
            <w:webHidden/>
          </w:rPr>
          <w:fldChar w:fldCharType="separate"/>
        </w:r>
        <w:r w:rsidR="00C30A65">
          <w:rPr>
            <w:webHidden/>
          </w:rPr>
          <w:t>8</w:t>
        </w:r>
        <w:r w:rsidR="00C30A65">
          <w:rPr>
            <w:webHidden/>
          </w:rPr>
          <w:fldChar w:fldCharType="end"/>
        </w:r>
      </w:hyperlink>
    </w:p>
    <w:p w:rsidR="00C30A65" w:rsidRDefault="00FA1363" w:rsidP="00C30A65">
      <w:pPr>
        <w:pStyle w:val="TOC4"/>
        <w:rPr>
          <w:rFonts w:asciiTheme="minorHAnsi" w:eastAsiaTheme="minorEastAsia" w:hAnsiTheme="minorHAnsi" w:cstheme="minorBidi"/>
          <w:sz w:val="22"/>
          <w:szCs w:val="22"/>
          <w:lang w:val="en-CA" w:eastAsia="ko-KR"/>
        </w:rPr>
      </w:pPr>
      <w:hyperlink w:anchor="_Toc361338942" w:history="1">
        <w:r w:rsidR="00C30A65" w:rsidRPr="00DD3CAC">
          <w:rPr>
            <w:rStyle w:val="Hyperlink"/>
          </w:rPr>
          <w:t>6.2.1.2Out-of-band LPM</w:t>
        </w:r>
        <w:r w:rsidR="00C30A65">
          <w:rPr>
            <w:webHidden/>
          </w:rPr>
          <w:tab/>
        </w:r>
        <w:r w:rsidR="00C30A65">
          <w:rPr>
            <w:webHidden/>
          </w:rPr>
          <w:fldChar w:fldCharType="begin"/>
        </w:r>
        <w:r w:rsidR="00C30A65">
          <w:rPr>
            <w:webHidden/>
          </w:rPr>
          <w:instrText xml:space="preserve"> PAGEREF _Toc361338942 \h </w:instrText>
        </w:r>
        <w:r w:rsidR="00C30A65">
          <w:rPr>
            <w:webHidden/>
          </w:rPr>
        </w:r>
        <w:r w:rsidR="00C30A65">
          <w:rPr>
            <w:webHidden/>
          </w:rPr>
          <w:fldChar w:fldCharType="separate"/>
        </w:r>
        <w:r w:rsidR="00C30A65">
          <w:rPr>
            <w:webHidden/>
          </w:rPr>
          <w:t>9</w:t>
        </w:r>
        <w:r w:rsidR="00C30A65">
          <w:rPr>
            <w:webHidden/>
          </w:rPr>
          <w:fldChar w:fldCharType="end"/>
        </w:r>
      </w:hyperlink>
    </w:p>
    <w:p w:rsidR="00C30A65" w:rsidRDefault="00FA1363" w:rsidP="00C30A65">
      <w:pPr>
        <w:pStyle w:val="TOC3"/>
        <w:rPr>
          <w:rFonts w:asciiTheme="minorHAnsi" w:eastAsiaTheme="minorEastAsia" w:hAnsiTheme="minorHAnsi" w:cstheme="minorBidi"/>
          <w:sz w:val="22"/>
          <w:szCs w:val="22"/>
          <w:lang w:val="en-CA" w:eastAsia="ko-KR"/>
        </w:rPr>
      </w:pPr>
      <w:hyperlink w:anchor="_Toc361338943" w:history="1">
        <w:r w:rsidR="00C30A65" w:rsidRPr="00DD3CAC">
          <w:rPr>
            <w:rStyle w:val="Hyperlink"/>
          </w:rPr>
          <w:t>6.2.2</w:t>
        </w:r>
        <w:r w:rsidR="00C30A65">
          <w:rPr>
            <w:rFonts w:asciiTheme="minorHAnsi" w:eastAsiaTheme="minorEastAsia" w:hAnsiTheme="minorHAnsi" w:cstheme="minorBidi"/>
            <w:sz w:val="22"/>
            <w:szCs w:val="22"/>
            <w:lang w:val="en-CA" w:eastAsia="ko-KR"/>
          </w:rPr>
          <w:tab/>
        </w:r>
        <w:r w:rsidR="00C30A65" w:rsidRPr="00DD3CAC">
          <w:rPr>
            <w:rStyle w:val="Hyperlink"/>
          </w:rPr>
          <w:t>Permanently masked sub-carriers</w:t>
        </w:r>
        <w:r w:rsidR="00C30A65">
          <w:rPr>
            <w:webHidden/>
          </w:rPr>
          <w:tab/>
        </w:r>
        <w:r w:rsidR="00C30A65">
          <w:rPr>
            <w:webHidden/>
          </w:rPr>
          <w:fldChar w:fldCharType="begin"/>
        </w:r>
        <w:r w:rsidR="00C30A65">
          <w:rPr>
            <w:webHidden/>
          </w:rPr>
          <w:instrText xml:space="preserve"> PAGEREF _Toc361338943 \h </w:instrText>
        </w:r>
        <w:r w:rsidR="00C30A65">
          <w:rPr>
            <w:webHidden/>
          </w:rPr>
        </w:r>
        <w:r w:rsidR="00C30A65">
          <w:rPr>
            <w:webHidden/>
          </w:rPr>
          <w:fldChar w:fldCharType="separate"/>
        </w:r>
        <w:r w:rsidR="00C30A65">
          <w:rPr>
            <w:webHidden/>
          </w:rPr>
          <w:t>11</w:t>
        </w:r>
        <w:r w:rsidR="00C30A65">
          <w:rPr>
            <w:webHidden/>
          </w:rPr>
          <w:fldChar w:fldCharType="end"/>
        </w:r>
      </w:hyperlink>
    </w:p>
    <w:p w:rsidR="00C30A65" w:rsidRDefault="00FA1363" w:rsidP="00C30A65">
      <w:pPr>
        <w:pStyle w:val="TOC2"/>
        <w:rPr>
          <w:rFonts w:asciiTheme="minorHAnsi" w:eastAsiaTheme="minorEastAsia" w:hAnsiTheme="minorHAnsi" w:cstheme="minorBidi"/>
          <w:sz w:val="22"/>
          <w:szCs w:val="22"/>
          <w:lang w:val="en-CA" w:eastAsia="ko-KR"/>
        </w:rPr>
      </w:pPr>
      <w:hyperlink w:anchor="_Toc361338944" w:history="1">
        <w:r w:rsidR="00C30A65" w:rsidRPr="00DD3CAC">
          <w:rPr>
            <w:rStyle w:val="Hyperlink"/>
            <w:lang w:val="en-US"/>
          </w:rPr>
          <w:t>6.3</w:t>
        </w:r>
        <w:r w:rsidR="00C30A65">
          <w:rPr>
            <w:rFonts w:asciiTheme="minorHAnsi" w:eastAsiaTheme="minorEastAsia" w:hAnsiTheme="minorHAnsi" w:cstheme="minorBidi"/>
            <w:sz w:val="22"/>
            <w:szCs w:val="22"/>
            <w:lang w:val="en-CA" w:eastAsia="ko-KR"/>
          </w:rPr>
          <w:tab/>
        </w:r>
        <w:r w:rsidR="00C30A65" w:rsidRPr="00DD3CAC">
          <w:rPr>
            <w:rStyle w:val="Hyperlink"/>
          </w:rPr>
          <w:t>Termination impedance</w:t>
        </w:r>
        <w:r w:rsidR="00C30A65">
          <w:rPr>
            <w:webHidden/>
          </w:rPr>
          <w:tab/>
        </w:r>
        <w:r w:rsidR="00C30A65">
          <w:rPr>
            <w:webHidden/>
          </w:rPr>
          <w:fldChar w:fldCharType="begin"/>
        </w:r>
        <w:r w:rsidR="00C30A65">
          <w:rPr>
            <w:webHidden/>
          </w:rPr>
          <w:instrText xml:space="preserve"> PAGEREF _Toc361338944 \h </w:instrText>
        </w:r>
        <w:r w:rsidR="00C30A65">
          <w:rPr>
            <w:webHidden/>
          </w:rPr>
        </w:r>
        <w:r w:rsidR="00C30A65">
          <w:rPr>
            <w:webHidden/>
          </w:rPr>
          <w:fldChar w:fldCharType="separate"/>
        </w:r>
        <w:r w:rsidR="00C30A65">
          <w:rPr>
            <w:webHidden/>
          </w:rPr>
          <w:t>11</w:t>
        </w:r>
        <w:r w:rsidR="00C30A65">
          <w:rPr>
            <w:webHidden/>
          </w:rPr>
          <w:fldChar w:fldCharType="end"/>
        </w:r>
      </w:hyperlink>
    </w:p>
    <w:p w:rsidR="00C30A65" w:rsidRDefault="00FA1363" w:rsidP="00C30A65">
      <w:pPr>
        <w:pStyle w:val="TOC2"/>
        <w:rPr>
          <w:rFonts w:asciiTheme="minorHAnsi" w:eastAsiaTheme="minorEastAsia" w:hAnsiTheme="minorHAnsi" w:cstheme="minorBidi"/>
          <w:sz w:val="22"/>
          <w:szCs w:val="22"/>
          <w:lang w:val="en-CA" w:eastAsia="ko-KR"/>
        </w:rPr>
      </w:pPr>
      <w:hyperlink w:anchor="_Toc361338945" w:history="1">
        <w:r w:rsidR="00C30A65" w:rsidRPr="00DD3CAC">
          <w:rPr>
            <w:rStyle w:val="Hyperlink"/>
            <w:lang w:val="en-US"/>
          </w:rPr>
          <w:t>6.4</w:t>
        </w:r>
        <w:r w:rsidR="00C30A65">
          <w:rPr>
            <w:rFonts w:asciiTheme="minorHAnsi" w:eastAsiaTheme="minorEastAsia" w:hAnsiTheme="minorHAnsi" w:cstheme="minorBidi"/>
            <w:sz w:val="22"/>
            <w:szCs w:val="22"/>
            <w:lang w:val="en-CA" w:eastAsia="ko-KR"/>
          </w:rPr>
          <w:tab/>
        </w:r>
        <w:r w:rsidR="00C30A65" w:rsidRPr="00DD3CAC">
          <w:rPr>
            <w:rStyle w:val="Hyperlink"/>
            <w:lang w:val="en-US"/>
          </w:rPr>
          <w:t>Maximum aggregate transmit power</w:t>
        </w:r>
        <w:r w:rsidR="00C30A65">
          <w:rPr>
            <w:webHidden/>
          </w:rPr>
          <w:tab/>
        </w:r>
        <w:r w:rsidR="00C30A65">
          <w:rPr>
            <w:webHidden/>
          </w:rPr>
          <w:fldChar w:fldCharType="begin"/>
        </w:r>
        <w:r w:rsidR="00C30A65">
          <w:rPr>
            <w:webHidden/>
          </w:rPr>
          <w:instrText xml:space="preserve"> PAGEREF _Toc361338945 \h </w:instrText>
        </w:r>
        <w:r w:rsidR="00C30A65">
          <w:rPr>
            <w:webHidden/>
          </w:rPr>
        </w:r>
        <w:r w:rsidR="00C30A65">
          <w:rPr>
            <w:webHidden/>
          </w:rPr>
          <w:fldChar w:fldCharType="separate"/>
        </w:r>
        <w:r w:rsidR="00C30A65">
          <w:rPr>
            <w:webHidden/>
          </w:rPr>
          <w:t>11</w:t>
        </w:r>
        <w:r w:rsidR="00C30A65">
          <w:rPr>
            <w:webHidden/>
          </w:rPr>
          <w:fldChar w:fldCharType="end"/>
        </w:r>
      </w:hyperlink>
    </w:p>
    <w:p w:rsidR="00C30A65" w:rsidRDefault="00FA1363" w:rsidP="00C30A65">
      <w:pPr>
        <w:pStyle w:val="TOC1"/>
        <w:rPr>
          <w:rFonts w:asciiTheme="minorHAnsi" w:eastAsiaTheme="minorEastAsia" w:hAnsiTheme="minorHAnsi" w:cstheme="minorBidi"/>
          <w:sz w:val="22"/>
          <w:szCs w:val="22"/>
          <w:lang w:val="en-CA" w:eastAsia="ko-KR"/>
        </w:rPr>
      </w:pPr>
      <w:hyperlink w:anchor="_Toc361338946" w:history="1">
        <w:r w:rsidR="00C30A65" w:rsidRPr="00DD3CAC">
          <w:rPr>
            <w:rStyle w:val="Hyperlink"/>
          </w:rPr>
          <w:t>7</w:t>
        </w:r>
        <w:r w:rsidR="00C30A65">
          <w:rPr>
            <w:rFonts w:asciiTheme="minorHAnsi" w:eastAsiaTheme="minorEastAsia" w:hAnsiTheme="minorHAnsi" w:cstheme="minorBidi"/>
            <w:sz w:val="22"/>
            <w:szCs w:val="22"/>
            <w:lang w:val="en-CA" w:eastAsia="ko-KR"/>
          </w:rPr>
          <w:tab/>
        </w:r>
        <w:r w:rsidR="00C30A65" w:rsidRPr="00DD3CAC">
          <w:rPr>
            <w:rStyle w:val="Hyperlink"/>
          </w:rPr>
          <w:t>Transmit PSD verification</w:t>
        </w:r>
        <w:r w:rsidR="00C30A65">
          <w:rPr>
            <w:webHidden/>
          </w:rPr>
          <w:tab/>
        </w:r>
        <w:r w:rsidR="00C30A65">
          <w:rPr>
            <w:webHidden/>
          </w:rPr>
          <w:fldChar w:fldCharType="begin"/>
        </w:r>
        <w:r w:rsidR="00C30A65">
          <w:rPr>
            <w:webHidden/>
          </w:rPr>
          <w:instrText xml:space="preserve"> PAGEREF _Toc361338946 \h </w:instrText>
        </w:r>
        <w:r w:rsidR="00C30A65">
          <w:rPr>
            <w:webHidden/>
          </w:rPr>
        </w:r>
        <w:r w:rsidR="00C30A65">
          <w:rPr>
            <w:webHidden/>
          </w:rPr>
          <w:fldChar w:fldCharType="separate"/>
        </w:r>
        <w:r w:rsidR="00C30A65">
          <w:rPr>
            <w:webHidden/>
          </w:rPr>
          <w:t>12</w:t>
        </w:r>
        <w:r w:rsidR="00C30A65">
          <w:rPr>
            <w:webHidden/>
          </w:rPr>
          <w:fldChar w:fldCharType="end"/>
        </w:r>
      </w:hyperlink>
    </w:p>
    <w:p w:rsidR="00C30A65" w:rsidRPr="005E10F7" w:rsidRDefault="00C30A65" w:rsidP="00C30A65">
      <w:pPr>
        <w:pStyle w:val="Heading1"/>
        <w:spacing w:before="0"/>
        <w:sectPr w:rsidR="00C30A65" w:rsidRPr="005E10F7" w:rsidSect="00A031EF">
          <w:pgSz w:w="11907" w:h="16840"/>
          <w:pgMar w:top="1417" w:right="1134" w:bottom="1417" w:left="1134" w:header="720" w:footer="720" w:gutter="0"/>
          <w:cols w:space="720"/>
          <w:docGrid w:linePitch="326"/>
        </w:sectPr>
      </w:pPr>
      <w:r w:rsidRPr="005E10F7">
        <w:rPr>
          <w:rFonts w:eastAsia="Batang"/>
          <w:noProof/>
        </w:rPr>
        <w:fldChar w:fldCharType="end"/>
      </w:r>
    </w:p>
    <w:p w:rsidR="00C30A65" w:rsidRPr="00C30A65" w:rsidRDefault="00C30A65" w:rsidP="00C30A65">
      <w:pPr>
        <w:pStyle w:val="RecNo"/>
        <w:rPr>
          <w:lang w:val="fr-CH"/>
        </w:rPr>
      </w:pPr>
      <w:bookmarkStart w:id="17" w:name="_Toc361338926"/>
      <w:r w:rsidRPr="00A031EF">
        <w:rPr>
          <w:lang w:val="fr-CH"/>
        </w:rPr>
        <w:lastRenderedPageBreak/>
        <w:t>Draft Recommendation ITU-T G.9700</w:t>
      </w:r>
      <w:r>
        <w:rPr>
          <w:lang w:val="fr-CH"/>
        </w:rPr>
        <w:t xml:space="preserve"> (ex. </w:t>
      </w:r>
      <w:r w:rsidRPr="00C30A65">
        <w:rPr>
          <w:lang w:val="fr-CH"/>
        </w:rPr>
        <w:t>G.fast-psd)</w:t>
      </w:r>
    </w:p>
    <w:p w:rsidR="00C30A65" w:rsidRPr="005E10F7" w:rsidRDefault="00C30A65" w:rsidP="00C30A65">
      <w:pPr>
        <w:pStyle w:val="Rectitle"/>
        <w:rPr>
          <w:szCs w:val="28"/>
        </w:rPr>
      </w:pPr>
      <w:r w:rsidRPr="005E10F7">
        <w:rPr>
          <w:bCs/>
          <w:szCs w:val="28"/>
        </w:rPr>
        <w:t>Fast access to subscriber terminals (FAST) – Power spectral density specification</w:t>
      </w:r>
    </w:p>
    <w:p w:rsidR="00C30A65" w:rsidRPr="005E10F7" w:rsidRDefault="00C30A65" w:rsidP="00C30A65">
      <w:pPr>
        <w:pStyle w:val="Heading1"/>
      </w:pPr>
      <w:r w:rsidRPr="005E10F7">
        <w:t>1</w:t>
      </w:r>
      <w:r w:rsidRPr="005E10F7">
        <w:tab/>
        <w:t>Scope</w:t>
      </w:r>
      <w:bookmarkEnd w:id="17"/>
    </w:p>
    <w:p w:rsidR="00C30A65" w:rsidRPr="005E10F7" w:rsidRDefault="00C30A65" w:rsidP="00C30A65">
      <w:r w:rsidRPr="005E10F7">
        <w:t xml:space="preserve">This Recommendation complements the physical layer specification in [ITU-T </w:t>
      </w:r>
      <w:r>
        <w:t>G.9701</w:t>
      </w:r>
      <w:r w:rsidRPr="005E10F7">
        <w:t>].</w:t>
      </w:r>
    </w:p>
    <w:p w:rsidR="00C30A65" w:rsidRPr="005E10F7" w:rsidRDefault="00C30A65" w:rsidP="00C30A65">
      <w:r w:rsidRPr="005E10F7">
        <w:t>It specifies:</w:t>
      </w:r>
    </w:p>
    <w:p w:rsidR="00C30A65" w:rsidRPr="005E10F7" w:rsidRDefault="00C30A65" w:rsidP="00C30A65">
      <w:pPr>
        <w:pStyle w:val="ListParagraph"/>
        <w:numPr>
          <w:ilvl w:val="0"/>
          <w:numId w:val="15"/>
        </w:numPr>
      </w:pPr>
      <w:r w:rsidRPr="005E10F7">
        <w:t xml:space="preserve">Power spectral density (PSD) limit mask requirements; </w:t>
      </w:r>
    </w:p>
    <w:p w:rsidR="00C30A65" w:rsidRPr="005E10F7" w:rsidRDefault="00C30A65" w:rsidP="00C30A65">
      <w:pPr>
        <w:pStyle w:val="ListParagraph"/>
        <w:numPr>
          <w:ilvl w:val="0"/>
          <w:numId w:val="15"/>
        </w:numPr>
      </w:pPr>
      <w:r w:rsidRPr="005E10F7">
        <w:t>A set of tools to support reduction of the transmit PSD mask;</w:t>
      </w:r>
    </w:p>
    <w:p w:rsidR="00C30A65" w:rsidRDefault="00C30A65" w:rsidP="00C30A65">
      <w:pPr>
        <w:pStyle w:val="ListParagraph"/>
        <w:numPr>
          <w:ilvl w:val="0"/>
          <w:numId w:val="15"/>
        </w:numPr>
      </w:pPr>
      <w:r w:rsidRPr="005E10F7">
        <w:t>Profile control parameters that determine spectral content including the allowable maximum aggregate transmit power into a specified termination impedance</w:t>
      </w:r>
      <w:r>
        <w:t>; and</w:t>
      </w:r>
    </w:p>
    <w:p w:rsidR="00C30A65" w:rsidRPr="005E10F7" w:rsidRDefault="00C30A65" w:rsidP="00C30A65">
      <w:pPr>
        <w:pStyle w:val="ListParagraph"/>
        <w:numPr>
          <w:ilvl w:val="0"/>
          <w:numId w:val="15"/>
        </w:numPr>
      </w:pPr>
      <w:r>
        <w:t>A methodology for transmit PSD verification.</w:t>
      </w:r>
    </w:p>
    <w:p w:rsidR="00C30A65" w:rsidRPr="005E10F7" w:rsidRDefault="00C30A65" w:rsidP="00C30A65">
      <w:r w:rsidRPr="005E10F7">
        <w:t>This ensures that the technology can address:</w:t>
      </w:r>
    </w:p>
    <w:p w:rsidR="00C30A65" w:rsidRPr="005E10F7" w:rsidRDefault="00C30A65" w:rsidP="00C30A65">
      <w:pPr>
        <w:pStyle w:val="ListParagraph"/>
        <w:numPr>
          <w:ilvl w:val="0"/>
          <w:numId w:val="14"/>
        </w:numPr>
      </w:pPr>
      <w:r w:rsidRPr="005E10F7">
        <w:t>Regional requirements;</w:t>
      </w:r>
    </w:p>
    <w:p w:rsidR="00C30A65" w:rsidRPr="005E10F7" w:rsidRDefault="00C30A65" w:rsidP="00C30A65">
      <w:pPr>
        <w:pStyle w:val="ListParagraph"/>
        <w:numPr>
          <w:ilvl w:val="0"/>
          <w:numId w:val="14"/>
        </w:numPr>
      </w:pPr>
      <w:r w:rsidRPr="005E10F7">
        <w:t>Operator deployment requirements, for example compatibility with other DSL technologies;</w:t>
      </w:r>
    </w:p>
    <w:p w:rsidR="00C30A65" w:rsidRPr="005E10F7" w:rsidRDefault="00C30A65" w:rsidP="00C30A65">
      <w:pPr>
        <w:pStyle w:val="ListParagraph"/>
        <w:numPr>
          <w:ilvl w:val="0"/>
          <w:numId w:val="14"/>
        </w:numPr>
      </w:pPr>
      <w:r w:rsidRPr="005E10F7">
        <w:t>Applicable EMC regulations or standards; and</w:t>
      </w:r>
    </w:p>
    <w:p w:rsidR="00C30A65" w:rsidRPr="005E10F7" w:rsidRDefault="00C30A65" w:rsidP="00C30A65">
      <w:pPr>
        <w:pStyle w:val="ListParagraph"/>
        <w:numPr>
          <w:ilvl w:val="0"/>
          <w:numId w:val="14"/>
        </w:numPr>
      </w:pPr>
      <w:r w:rsidRPr="005E10F7">
        <w:t xml:space="preserve">Local EMC issues.  </w:t>
      </w:r>
    </w:p>
    <w:p w:rsidR="00C30A65" w:rsidRPr="005E10F7" w:rsidRDefault="00C30A65" w:rsidP="00C30A65">
      <w:pPr>
        <w:pStyle w:val="Heading1"/>
      </w:pPr>
      <w:bookmarkStart w:id="18" w:name="_Toc361338927"/>
      <w:r w:rsidRPr="005E10F7">
        <w:t>2</w:t>
      </w:r>
      <w:r w:rsidRPr="005E10F7">
        <w:tab/>
        <w:t>References</w:t>
      </w:r>
      <w:bookmarkEnd w:id="18"/>
    </w:p>
    <w:p w:rsidR="00C30A65" w:rsidRPr="005E10F7" w:rsidRDefault="00C30A65" w:rsidP="00C30A65">
      <w:r w:rsidRPr="005E10F7">
        <w:t>The following ITU-T Recommendations and other references contain provisions that,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w:t>
      </w:r>
    </w:p>
    <w:p w:rsidR="00C30A65" w:rsidRPr="005E10F7" w:rsidRDefault="00C30A65" w:rsidP="00C30A65">
      <w:r w:rsidRPr="005E10F7">
        <w:t>The reference to a document within this Recommendation does not give it, as a stand-alone document, the status of a Recommendation.</w:t>
      </w:r>
    </w:p>
    <w:p w:rsidR="00C30A65" w:rsidRPr="005E10F7" w:rsidRDefault="00C30A65" w:rsidP="00C30A65">
      <w:pPr>
        <w:ind w:left="1985" w:hanging="1985"/>
      </w:pPr>
      <w:r w:rsidRPr="005E10F7">
        <w:t>[ITU-T G.993.2]</w:t>
      </w:r>
      <w:r w:rsidRPr="005E10F7">
        <w:tab/>
        <w:t xml:space="preserve">Recommendation ITU-T G.993.2 (2011), </w:t>
      </w:r>
      <w:r w:rsidRPr="005E10F7">
        <w:rPr>
          <w:i/>
        </w:rPr>
        <w:t>Very high speed digital subscriber line transceivers 2 (VDSL2)</w:t>
      </w:r>
    </w:p>
    <w:p w:rsidR="00C30A65" w:rsidRPr="005E10F7" w:rsidRDefault="00C30A65" w:rsidP="00C30A65">
      <w:pPr>
        <w:ind w:left="1985" w:hanging="1985"/>
      </w:pPr>
      <w:r w:rsidRPr="005E10F7">
        <w:t xml:space="preserve">[ITU-T </w:t>
      </w:r>
      <w:r>
        <w:t>G.9701</w:t>
      </w:r>
      <w:r w:rsidRPr="005E10F7">
        <w:t>]</w:t>
      </w:r>
      <w:r w:rsidRPr="005E10F7">
        <w:tab/>
      </w:r>
      <w:r w:rsidRPr="005E10F7">
        <w:tab/>
        <w:t xml:space="preserve">Recommendation ITU-T </w:t>
      </w:r>
      <w:r>
        <w:t>G.9701</w:t>
      </w:r>
      <w:r w:rsidRPr="005E10F7">
        <w:t xml:space="preserve"> (2014), </w:t>
      </w:r>
      <w:r w:rsidRPr="005E10F7">
        <w:rPr>
          <w:bCs/>
          <w:i/>
          <w:szCs w:val="28"/>
        </w:rPr>
        <w:t>Fast access to subscriber terminals (FAST) – Physical layer</w:t>
      </w:r>
      <w:r w:rsidRPr="005E10F7">
        <w:rPr>
          <w:i/>
        </w:rPr>
        <w:t xml:space="preserve"> specification</w:t>
      </w:r>
    </w:p>
    <w:p w:rsidR="00C30A65" w:rsidRPr="005E10F7" w:rsidRDefault="00C30A65" w:rsidP="00C30A65">
      <w:pPr>
        <w:pStyle w:val="Heading1"/>
        <w:rPr>
          <w:lang w:val="en-US"/>
        </w:rPr>
      </w:pPr>
      <w:bookmarkStart w:id="19" w:name="_Toc361338928"/>
      <w:r w:rsidRPr="005E10F7">
        <w:rPr>
          <w:lang w:val="en-US"/>
        </w:rPr>
        <w:t>3</w:t>
      </w:r>
      <w:r w:rsidRPr="005E10F7">
        <w:rPr>
          <w:lang w:val="en-US"/>
        </w:rPr>
        <w:tab/>
        <w:t>Definitions</w:t>
      </w:r>
      <w:bookmarkEnd w:id="19"/>
      <w:r w:rsidRPr="005E10F7">
        <w:rPr>
          <w:lang w:val="en-US"/>
        </w:rPr>
        <w:t xml:space="preserve"> </w:t>
      </w:r>
    </w:p>
    <w:p w:rsidR="00C30A65" w:rsidRPr="005E10F7" w:rsidRDefault="00C30A65" w:rsidP="00C30A65">
      <w:pPr>
        <w:widowControl w:val="0"/>
      </w:pPr>
      <w:r w:rsidRPr="005E10F7">
        <w:t>This Recommendation defines the following terms:</w:t>
      </w:r>
    </w:p>
    <w:p w:rsidR="00C30A65" w:rsidRPr="005E10F7" w:rsidRDefault="00C30A65" w:rsidP="00C30A65">
      <w:pPr>
        <w:rPr>
          <w:rFonts w:eastAsia="MS Mincho"/>
        </w:rPr>
      </w:pPr>
      <w:r w:rsidRPr="005E10F7">
        <w:rPr>
          <w:rFonts w:eastAsia="MS Mincho"/>
          <w:b/>
        </w:rPr>
        <w:t>3.1</w:t>
      </w:r>
      <w:r w:rsidRPr="005E10F7">
        <w:rPr>
          <w:rFonts w:eastAsia="MS Mincho"/>
          <w:b/>
        </w:rPr>
        <w:tab/>
        <w:t>Sub-carrier:</w:t>
      </w:r>
      <w:r w:rsidRPr="005E10F7">
        <w:rPr>
          <w:rFonts w:eastAsia="MS Mincho"/>
        </w:rPr>
        <w:t xml:space="preserve"> </w:t>
      </w:r>
      <w:r w:rsidRPr="005E10F7">
        <w:t>A fundamental element of a discrete multi-tone (DMT) modulator. The modulator partitions the channel bandwidth into a set of parallel sub-channels. The centre frequency of each sub-channel is a sub-carrier, onto which bits may be modulated for transmission over a channel.</w:t>
      </w:r>
    </w:p>
    <w:p w:rsidR="00C30A65" w:rsidRPr="005E10F7" w:rsidRDefault="00C30A65" w:rsidP="00C30A65">
      <w:pPr>
        <w:pStyle w:val="Heading1"/>
        <w:rPr>
          <w:lang w:val="en-US"/>
        </w:rPr>
      </w:pPr>
      <w:bookmarkStart w:id="20" w:name="_Toc361338929"/>
      <w:r w:rsidRPr="005E10F7">
        <w:rPr>
          <w:lang w:val="en-US"/>
        </w:rPr>
        <w:lastRenderedPageBreak/>
        <w:t>4</w:t>
      </w:r>
      <w:r w:rsidRPr="005E10F7">
        <w:rPr>
          <w:lang w:val="en-US"/>
        </w:rPr>
        <w:tab/>
        <w:t>Abbreviations and acronyms</w:t>
      </w:r>
      <w:bookmarkEnd w:id="20"/>
    </w:p>
    <w:p w:rsidR="00C30A65" w:rsidRPr="005E10F7" w:rsidRDefault="00C30A65" w:rsidP="00C30A65">
      <w:pPr>
        <w:rPr>
          <w:lang w:val="en-US"/>
        </w:rPr>
      </w:pPr>
      <w:r w:rsidRPr="005E10F7">
        <w:rPr>
          <w:lang w:val="en-US"/>
        </w:rPr>
        <w:t>This Recommendation uses the following abbreviations and acronyms:</w:t>
      </w:r>
    </w:p>
    <w:p w:rsidR="00C30A65" w:rsidRPr="005E10F7" w:rsidRDefault="00C30A65" w:rsidP="00C30A65">
      <w:pPr>
        <w:rPr>
          <w:lang w:val="en-US"/>
        </w:rPr>
      </w:pPr>
      <w:r w:rsidRPr="005E10F7">
        <w:rPr>
          <w:lang w:val="en-US"/>
        </w:rPr>
        <w:t>DAB</w:t>
      </w:r>
      <w:r w:rsidRPr="005E10F7">
        <w:rPr>
          <w:lang w:val="en-US"/>
        </w:rPr>
        <w:tab/>
      </w:r>
      <w:r w:rsidRPr="005E10F7">
        <w:rPr>
          <w:lang w:val="en-US"/>
        </w:rPr>
        <w:tab/>
        <w:t>Digital Audio Broadcasting</w:t>
      </w:r>
    </w:p>
    <w:p w:rsidR="00C30A65" w:rsidRPr="005E10F7" w:rsidRDefault="00C30A65" w:rsidP="00C30A65">
      <w:pPr>
        <w:rPr>
          <w:lang w:val="en-US"/>
        </w:rPr>
      </w:pPr>
      <w:r w:rsidRPr="005E10F7">
        <w:rPr>
          <w:lang w:val="en-US"/>
        </w:rPr>
        <w:t>DMT</w:t>
      </w:r>
      <w:r w:rsidRPr="005E10F7">
        <w:rPr>
          <w:lang w:val="en-US"/>
        </w:rPr>
        <w:tab/>
      </w:r>
      <w:r w:rsidRPr="005E10F7">
        <w:rPr>
          <w:lang w:val="en-US"/>
        </w:rPr>
        <w:tab/>
      </w:r>
      <w:r w:rsidRPr="005E10F7">
        <w:t>Discrete Multi</w:t>
      </w:r>
      <w:r w:rsidRPr="005E10F7">
        <w:noBreakHyphen/>
        <w:t>Tone</w:t>
      </w:r>
    </w:p>
    <w:p w:rsidR="00C30A65" w:rsidRPr="005E10F7" w:rsidRDefault="00C30A65" w:rsidP="00C30A65">
      <w:pPr>
        <w:rPr>
          <w:lang w:val="en-US"/>
        </w:rPr>
      </w:pPr>
      <w:r w:rsidRPr="005E10F7">
        <w:rPr>
          <w:lang w:val="en-US"/>
        </w:rPr>
        <w:t>DP</w:t>
      </w:r>
      <w:r w:rsidRPr="005E10F7">
        <w:rPr>
          <w:lang w:val="en-US"/>
        </w:rPr>
        <w:tab/>
      </w:r>
      <w:r w:rsidRPr="005E10F7">
        <w:rPr>
          <w:lang w:val="en-US"/>
        </w:rPr>
        <w:tab/>
        <w:t>Distribution Point</w:t>
      </w:r>
    </w:p>
    <w:p w:rsidR="00C30A65" w:rsidRPr="005E10F7" w:rsidRDefault="00C30A65" w:rsidP="00C30A65">
      <w:pPr>
        <w:rPr>
          <w:lang w:val="en-US"/>
        </w:rPr>
      </w:pPr>
      <w:r w:rsidRPr="005E10F7">
        <w:rPr>
          <w:lang w:val="en-US"/>
        </w:rPr>
        <w:t>DSL</w:t>
      </w:r>
      <w:r w:rsidRPr="005E10F7">
        <w:rPr>
          <w:lang w:val="en-US"/>
        </w:rPr>
        <w:tab/>
      </w:r>
      <w:r w:rsidRPr="005E10F7">
        <w:rPr>
          <w:lang w:val="en-US"/>
        </w:rPr>
        <w:tab/>
        <w:t>Digital Subscriber Line</w:t>
      </w:r>
    </w:p>
    <w:p w:rsidR="00C30A65" w:rsidRPr="005E10F7" w:rsidRDefault="00C30A65" w:rsidP="00C30A65">
      <w:pPr>
        <w:rPr>
          <w:lang w:val="en-US"/>
        </w:rPr>
      </w:pPr>
      <w:r w:rsidRPr="005E10F7">
        <w:rPr>
          <w:lang w:val="en-US"/>
        </w:rPr>
        <w:t>FM</w:t>
      </w:r>
      <w:r w:rsidRPr="005E10F7">
        <w:rPr>
          <w:lang w:val="en-US"/>
        </w:rPr>
        <w:tab/>
      </w:r>
      <w:r w:rsidRPr="005E10F7">
        <w:rPr>
          <w:lang w:val="en-US"/>
        </w:rPr>
        <w:tab/>
        <w:t>Frequency Modulation</w:t>
      </w:r>
    </w:p>
    <w:p w:rsidR="00C30A65" w:rsidRPr="005E10F7" w:rsidRDefault="00C30A65" w:rsidP="00C30A65">
      <w:pPr>
        <w:rPr>
          <w:lang w:val="en-US"/>
        </w:rPr>
      </w:pPr>
      <w:r w:rsidRPr="005E10F7">
        <w:rPr>
          <w:lang w:val="en-US"/>
        </w:rPr>
        <w:t>FTU</w:t>
      </w:r>
      <w:r w:rsidRPr="005E10F7">
        <w:rPr>
          <w:lang w:val="en-US"/>
        </w:rPr>
        <w:tab/>
      </w:r>
      <w:r w:rsidRPr="005E10F7">
        <w:rPr>
          <w:lang w:val="en-US"/>
        </w:rPr>
        <w:tab/>
        <w:t>FAST Transceiver Unit</w:t>
      </w:r>
    </w:p>
    <w:p w:rsidR="00C30A65" w:rsidRPr="005E10F7" w:rsidRDefault="00C30A65" w:rsidP="00C30A65">
      <w:pPr>
        <w:rPr>
          <w:lang w:val="en-US"/>
        </w:rPr>
      </w:pPr>
      <w:r w:rsidRPr="005E10F7">
        <w:rPr>
          <w:lang w:val="en-US"/>
        </w:rPr>
        <w:t>FTU-O</w:t>
      </w:r>
      <w:r w:rsidRPr="005E10F7">
        <w:rPr>
          <w:lang w:val="en-US"/>
        </w:rPr>
        <w:tab/>
      </w:r>
      <w:r w:rsidRPr="005E10F7">
        <w:rPr>
          <w:lang w:val="en-US"/>
        </w:rPr>
        <w:tab/>
      </w:r>
      <w:r w:rsidRPr="005E10F7">
        <w:t>FTU at the Optical Network Unit</w:t>
      </w:r>
    </w:p>
    <w:p w:rsidR="00C30A65" w:rsidRPr="005E10F7" w:rsidRDefault="00C30A65" w:rsidP="00C30A65">
      <w:pPr>
        <w:rPr>
          <w:lang w:val="en-US"/>
        </w:rPr>
      </w:pPr>
      <w:r w:rsidRPr="005E10F7">
        <w:rPr>
          <w:lang w:val="en-US"/>
        </w:rPr>
        <w:t>FTU-R</w:t>
      </w:r>
      <w:r w:rsidRPr="005E10F7">
        <w:rPr>
          <w:lang w:val="en-US"/>
        </w:rPr>
        <w:tab/>
      </w:r>
      <w:r w:rsidRPr="005E10F7">
        <w:rPr>
          <w:lang w:val="en-US"/>
        </w:rPr>
        <w:tab/>
      </w:r>
      <w:r w:rsidRPr="005E10F7">
        <w:t>FTU at the Remote site (i.e., subscriber end of the loop)</w:t>
      </w:r>
    </w:p>
    <w:p w:rsidR="00C30A65" w:rsidRPr="005E10F7" w:rsidRDefault="00C30A65" w:rsidP="00C30A65">
      <w:pPr>
        <w:rPr>
          <w:lang w:val="en-US"/>
        </w:rPr>
      </w:pPr>
      <w:r w:rsidRPr="005E10F7">
        <w:rPr>
          <w:lang w:val="en-US"/>
        </w:rPr>
        <w:t>LESM</w:t>
      </w:r>
      <w:r w:rsidRPr="005E10F7">
        <w:rPr>
          <w:lang w:val="en-US"/>
        </w:rPr>
        <w:tab/>
      </w:r>
      <w:r w:rsidRPr="005E10F7">
        <w:rPr>
          <w:lang w:val="en-US"/>
        </w:rPr>
        <w:tab/>
      </w:r>
      <w:r w:rsidRPr="005E10F7">
        <w:t>Low-frequency Edge Stop-band Mask</w:t>
      </w:r>
      <w:r w:rsidRPr="005E10F7">
        <w:rPr>
          <w:lang w:val="en-US"/>
        </w:rPr>
        <w:t xml:space="preserve"> </w:t>
      </w:r>
    </w:p>
    <w:p w:rsidR="00C30A65" w:rsidRPr="005E10F7" w:rsidRDefault="00C30A65" w:rsidP="00C30A65">
      <w:pPr>
        <w:rPr>
          <w:lang w:val="en-US"/>
        </w:rPr>
      </w:pPr>
      <w:r w:rsidRPr="005E10F7">
        <w:rPr>
          <w:lang w:val="en-US"/>
        </w:rPr>
        <w:t>LPM</w:t>
      </w:r>
      <w:r w:rsidRPr="005E10F7">
        <w:rPr>
          <w:lang w:val="en-US"/>
        </w:rPr>
        <w:tab/>
      </w:r>
      <w:r w:rsidRPr="005E10F7">
        <w:rPr>
          <w:lang w:val="en-US"/>
        </w:rPr>
        <w:tab/>
        <w:t>Limit PSD Mask</w:t>
      </w:r>
    </w:p>
    <w:p w:rsidR="00C30A65" w:rsidRPr="005E10F7" w:rsidRDefault="00C30A65" w:rsidP="00C30A65">
      <w:pPr>
        <w:rPr>
          <w:lang w:val="en-US"/>
        </w:rPr>
      </w:pPr>
      <w:r w:rsidRPr="005E10F7">
        <w:rPr>
          <w:lang w:val="en-US"/>
        </w:rPr>
        <w:t>MBW</w:t>
      </w:r>
      <w:r w:rsidRPr="005E10F7">
        <w:rPr>
          <w:lang w:val="en-US"/>
        </w:rPr>
        <w:tab/>
      </w:r>
      <w:r w:rsidRPr="005E10F7">
        <w:rPr>
          <w:lang w:val="en-US"/>
        </w:rPr>
        <w:tab/>
        <w:t>Measurement Bandwidth</w:t>
      </w:r>
    </w:p>
    <w:p w:rsidR="00C30A65" w:rsidRPr="005E10F7" w:rsidRDefault="00C30A65" w:rsidP="00C30A65">
      <w:pPr>
        <w:rPr>
          <w:lang w:val="en-US"/>
        </w:rPr>
      </w:pPr>
      <w:r w:rsidRPr="005E10F7">
        <w:rPr>
          <w:lang w:val="en-US"/>
        </w:rPr>
        <w:t>MIB</w:t>
      </w:r>
      <w:r w:rsidRPr="005E10F7">
        <w:rPr>
          <w:lang w:val="en-US"/>
        </w:rPr>
        <w:tab/>
      </w:r>
      <w:r w:rsidRPr="005E10F7">
        <w:rPr>
          <w:lang w:val="en-US"/>
        </w:rPr>
        <w:tab/>
        <w:t>Management Information Base</w:t>
      </w:r>
    </w:p>
    <w:p w:rsidR="00C30A65" w:rsidRPr="005E10F7" w:rsidRDefault="00C30A65" w:rsidP="00C30A65">
      <w:pPr>
        <w:rPr>
          <w:lang w:val="en-US"/>
        </w:rPr>
      </w:pPr>
      <w:r w:rsidRPr="005E10F7">
        <w:rPr>
          <w:lang w:val="en-US"/>
        </w:rPr>
        <w:t>NM</w:t>
      </w:r>
      <w:r w:rsidRPr="005E10F7">
        <w:rPr>
          <w:lang w:val="en-US"/>
        </w:rPr>
        <w:tab/>
      </w:r>
      <w:r w:rsidRPr="005E10F7">
        <w:rPr>
          <w:lang w:val="en-US"/>
        </w:rPr>
        <w:tab/>
        <w:t>Notching Mask</w:t>
      </w:r>
    </w:p>
    <w:p w:rsidR="00C30A65" w:rsidRPr="005E10F7" w:rsidRDefault="00C30A65" w:rsidP="00C30A65">
      <w:pPr>
        <w:rPr>
          <w:lang w:val="en-US"/>
        </w:rPr>
      </w:pPr>
      <w:r w:rsidRPr="005E10F7">
        <w:rPr>
          <w:lang w:val="en-US"/>
        </w:rPr>
        <w:t>PSD</w:t>
      </w:r>
      <w:r w:rsidRPr="005E10F7">
        <w:rPr>
          <w:lang w:val="en-US"/>
        </w:rPr>
        <w:tab/>
      </w:r>
      <w:r w:rsidRPr="005E10F7">
        <w:rPr>
          <w:lang w:val="en-US"/>
        </w:rPr>
        <w:tab/>
        <w:t>Power Spectral Density</w:t>
      </w:r>
    </w:p>
    <w:p w:rsidR="00C30A65" w:rsidRPr="005E10F7" w:rsidRDefault="00C30A65" w:rsidP="00C30A65">
      <w:pPr>
        <w:rPr>
          <w:lang w:val="en-US"/>
        </w:rPr>
      </w:pPr>
      <w:r w:rsidRPr="005E10F7">
        <w:rPr>
          <w:lang w:val="en-US"/>
        </w:rPr>
        <w:t>PSM</w:t>
      </w:r>
      <w:r w:rsidRPr="005E10F7">
        <w:rPr>
          <w:lang w:val="en-US"/>
        </w:rPr>
        <w:tab/>
      </w:r>
      <w:r w:rsidRPr="005E10F7">
        <w:rPr>
          <w:lang w:val="en-US"/>
        </w:rPr>
        <w:tab/>
        <w:t>PSD Shaping Mask</w:t>
      </w:r>
    </w:p>
    <w:p w:rsidR="00C30A65" w:rsidRPr="005E10F7" w:rsidRDefault="00C30A65" w:rsidP="00C30A65">
      <w:pPr>
        <w:rPr>
          <w:lang w:val="en-US"/>
        </w:rPr>
      </w:pPr>
      <w:proofErr w:type="spellStart"/>
      <w:r w:rsidRPr="005E10F7">
        <w:rPr>
          <w:lang w:val="en-US"/>
        </w:rPr>
        <w:t>QoS</w:t>
      </w:r>
      <w:proofErr w:type="spellEnd"/>
      <w:r w:rsidRPr="005E10F7">
        <w:rPr>
          <w:lang w:val="en-US"/>
        </w:rPr>
        <w:tab/>
      </w:r>
      <w:r w:rsidRPr="005E10F7">
        <w:rPr>
          <w:lang w:val="en-US"/>
        </w:rPr>
        <w:tab/>
        <w:t>Quality of Service</w:t>
      </w:r>
    </w:p>
    <w:p w:rsidR="00C30A65" w:rsidRDefault="00C30A65" w:rsidP="00C30A65">
      <w:pPr>
        <w:rPr>
          <w:lang w:val="en-US"/>
        </w:rPr>
      </w:pPr>
      <w:r w:rsidRPr="005E10F7">
        <w:rPr>
          <w:lang w:val="en-US"/>
        </w:rPr>
        <w:t>SM</w:t>
      </w:r>
      <w:r w:rsidRPr="005E10F7">
        <w:rPr>
          <w:lang w:val="en-US"/>
        </w:rPr>
        <w:tab/>
      </w:r>
      <w:r w:rsidRPr="005E10F7">
        <w:rPr>
          <w:lang w:val="en-US"/>
        </w:rPr>
        <w:tab/>
        <w:t>Sub-car</w:t>
      </w:r>
      <w:r>
        <w:rPr>
          <w:lang w:val="en-US"/>
        </w:rPr>
        <w:t>r</w:t>
      </w:r>
      <w:r w:rsidRPr="005E10F7">
        <w:rPr>
          <w:lang w:val="en-US"/>
        </w:rPr>
        <w:t>ier Mask</w:t>
      </w:r>
    </w:p>
    <w:p w:rsidR="00C30A65" w:rsidRPr="005E10F7" w:rsidRDefault="00C30A65" w:rsidP="00C30A65">
      <w:pPr>
        <w:rPr>
          <w:lang w:val="en-US"/>
        </w:rPr>
      </w:pPr>
      <w:r>
        <w:rPr>
          <w:lang w:val="en-US"/>
        </w:rPr>
        <w:t>TDD</w:t>
      </w:r>
      <w:r>
        <w:rPr>
          <w:lang w:val="en-US"/>
        </w:rPr>
        <w:tab/>
      </w:r>
      <w:r>
        <w:rPr>
          <w:lang w:val="en-US"/>
        </w:rPr>
        <w:tab/>
        <w:t>Time Division Duplexing</w:t>
      </w:r>
    </w:p>
    <w:p w:rsidR="00C30A65" w:rsidRPr="005E10F7" w:rsidRDefault="00C30A65" w:rsidP="00C30A65">
      <w:pPr>
        <w:rPr>
          <w:lang w:val="en-US"/>
        </w:rPr>
      </w:pPr>
      <w:proofErr w:type="spellStart"/>
      <w:r w:rsidRPr="005E10F7">
        <w:rPr>
          <w:lang w:val="en-US"/>
        </w:rPr>
        <w:t>TxPSDM</w:t>
      </w:r>
      <w:proofErr w:type="spellEnd"/>
      <w:r w:rsidRPr="005E10F7">
        <w:rPr>
          <w:lang w:val="en-US"/>
        </w:rPr>
        <w:tab/>
        <w:t>Transmit PSD Mask</w:t>
      </w:r>
    </w:p>
    <w:p w:rsidR="00C30A65" w:rsidRPr="005E10F7" w:rsidRDefault="00C30A65" w:rsidP="00C30A65">
      <w:pPr>
        <w:pStyle w:val="Heading1"/>
      </w:pPr>
      <w:bookmarkStart w:id="21" w:name="_Toc361338930"/>
      <w:r w:rsidRPr="005E10F7">
        <w:t>5</w:t>
      </w:r>
      <w:r w:rsidRPr="005E10F7">
        <w:tab/>
        <w:t>Transmit PSD mask</w:t>
      </w:r>
      <w:bookmarkEnd w:id="21"/>
      <w:r w:rsidRPr="005E10F7">
        <w:t xml:space="preserve"> </w:t>
      </w:r>
    </w:p>
    <w:p w:rsidR="00C30A65" w:rsidRPr="005E10F7" w:rsidRDefault="00C30A65" w:rsidP="00C30A65">
      <w:pPr>
        <w:pStyle w:val="Heading2"/>
      </w:pPr>
      <w:bookmarkStart w:id="22" w:name="_Toc361338931"/>
      <w:bookmarkStart w:id="23" w:name="_Toc360498473"/>
      <w:r w:rsidRPr="005E10F7">
        <w:t>5.1</w:t>
      </w:r>
      <w:r w:rsidRPr="005E10F7">
        <w:tab/>
        <w:t>Overview</w:t>
      </w:r>
      <w:bookmarkEnd w:id="22"/>
      <w:r w:rsidRPr="005E10F7">
        <w:t xml:space="preserve"> </w:t>
      </w:r>
      <w:bookmarkEnd w:id="23"/>
    </w:p>
    <w:p w:rsidR="00C30A65" w:rsidRPr="005E10F7" w:rsidRDefault="00C30A65" w:rsidP="00C30A65">
      <w:r w:rsidRPr="005E10F7">
        <w:t>The transmit PSD mask (</w:t>
      </w:r>
      <w:proofErr w:type="spellStart"/>
      <w:r w:rsidRPr="005E10F7">
        <w:t>TxPSDM</w:t>
      </w:r>
      <w:proofErr w:type="spellEnd"/>
      <w:r w:rsidRPr="005E10F7">
        <w:t>) is constructed from the combination of the following masks:</w:t>
      </w:r>
    </w:p>
    <w:p w:rsidR="00C30A65" w:rsidRPr="005E10F7" w:rsidRDefault="00C30A65" w:rsidP="00C30A65">
      <w:pPr>
        <w:pStyle w:val="ListParagraph"/>
        <w:numPr>
          <w:ilvl w:val="0"/>
          <w:numId w:val="16"/>
        </w:numPr>
      </w:pPr>
      <w:r w:rsidRPr="005E10F7">
        <w:t>Limit PSD mask (LPM),</w:t>
      </w:r>
    </w:p>
    <w:p w:rsidR="00C30A65" w:rsidRPr="005E10F7" w:rsidRDefault="00C30A65" w:rsidP="00C30A65">
      <w:pPr>
        <w:pStyle w:val="ListParagraph"/>
        <w:numPr>
          <w:ilvl w:val="0"/>
          <w:numId w:val="16"/>
        </w:numPr>
      </w:pPr>
      <w:r w:rsidRPr="005E10F7">
        <w:t xml:space="preserve">Sub-carrier mask (SM), </w:t>
      </w:r>
    </w:p>
    <w:p w:rsidR="00C30A65" w:rsidRPr="005E10F7" w:rsidRDefault="00C30A65" w:rsidP="00C30A65">
      <w:pPr>
        <w:pStyle w:val="ListParagraph"/>
        <w:numPr>
          <w:ilvl w:val="0"/>
          <w:numId w:val="16"/>
        </w:numPr>
      </w:pPr>
      <w:r w:rsidRPr="005E10F7">
        <w:t xml:space="preserve">PSD shaping mask (PSM), </w:t>
      </w:r>
    </w:p>
    <w:p w:rsidR="00C30A65" w:rsidRPr="005E10F7" w:rsidRDefault="00C30A65" w:rsidP="00C30A65">
      <w:pPr>
        <w:pStyle w:val="ListParagraph"/>
        <w:numPr>
          <w:ilvl w:val="0"/>
          <w:numId w:val="16"/>
        </w:numPr>
      </w:pPr>
      <w:r w:rsidRPr="005E10F7">
        <w:t>Notching masks (NM), and</w:t>
      </w:r>
    </w:p>
    <w:p w:rsidR="00C30A65" w:rsidRPr="005E10F7" w:rsidRDefault="00C30A65" w:rsidP="00C30A65">
      <w:pPr>
        <w:pStyle w:val="ListParagraph"/>
        <w:numPr>
          <w:ilvl w:val="0"/>
          <w:numId w:val="16"/>
        </w:numPr>
      </w:pPr>
      <w:r w:rsidRPr="005E10F7">
        <w:t xml:space="preserve">Low-frequency edge stop-band </w:t>
      </w:r>
      <w:proofErr w:type="gramStart"/>
      <w:r w:rsidRPr="005E10F7">
        <w:t>mask</w:t>
      </w:r>
      <w:proofErr w:type="gramEnd"/>
      <w:r w:rsidRPr="005E10F7">
        <w:t xml:space="preserve"> (LESM). </w:t>
      </w:r>
    </w:p>
    <w:p w:rsidR="00C30A65" w:rsidRPr="005E10F7" w:rsidRDefault="00C30A65" w:rsidP="00C30A65">
      <w:r w:rsidRPr="005E10F7">
        <w:t xml:space="preserve">The </w:t>
      </w:r>
      <w:proofErr w:type="spellStart"/>
      <w:r w:rsidRPr="005E10F7">
        <w:t>TxPSDM</w:t>
      </w:r>
      <w:proofErr w:type="spellEnd"/>
      <w:r w:rsidRPr="005E10F7">
        <w:t xml:space="preserve"> applied to FTU-O and FTU-R may be different.</w:t>
      </w:r>
    </w:p>
    <w:p w:rsidR="00C30A65" w:rsidRPr="005E10F7" w:rsidRDefault="00C30A65" w:rsidP="00C30A65">
      <w:pPr>
        <w:rPr>
          <w:i/>
        </w:rPr>
      </w:pPr>
      <w:r w:rsidRPr="005E10F7">
        <w:rPr>
          <w:szCs w:val="24"/>
        </w:rPr>
        <w:t xml:space="preserve">For a </w:t>
      </w:r>
      <w:r>
        <w:rPr>
          <w:szCs w:val="24"/>
        </w:rPr>
        <w:t>G.9701</w:t>
      </w:r>
      <w:r w:rsidRPr="005E10F7">
        <w:rPr>
          <w:szCs w:val="24"/>
        </w:rPr>
        <w:t xml:space="preserve"> transceiver, the PSD of the transmit signal at any frequency shall never exceed the </w:t>
      </w:r>
      <w:proofErr w:type="spellStart"/>
      <w:r w:rsidRPr="005E10F7">
        <w:rPr>
          <w:szCs w:val="24"/>
        </w:rPr>
        <w:t>TxPSDM</w:t>
      </w:r>
      <w:proofErr w:type="spellEnd"/>
      <w:r w:rsidRPr="005E10F7">
        <w:rPr>
          <w:szCs w:val="24"/>
        </w:rPr>
        <w:t>.</w:t>
      </w:r>
    </w:p>
    <w:p w:rsidR="00C30A65" w:rsidRPr="005E10F7" w:rsidRDefault="00C30A65" w:rsidP="00C30A65">
      <w:r w:rsidRPr="005E10F7">
        <w:t xml:space="preserve">The LPM (see clauses 6.1.2) specifies the absolute maximum limit of the </w:t>
      </w:r>
      <w:proofErr w:type="spellStart"/>
      <w:r w:rsidRPr="005E10F7">
        <w:t>TxPSDM</w:t>
      </w:r>
      <w:proofErr w:type="spellEnd"/>
      <w:r w:rsidRPr="005E10F7">
        <w:t xml:space="preserve">. The SM, PSM, NM and LESM provide reduction and shaping of the </w:t>
      </w:r>
      <w:proofErr w:type="spellStart"/>
      <w:r w:rsidRPr="005E10F7">
        <w:t>TxPSDM</w:t>
      </w:r>
      <w:proofErr w:type="spellEnd"/>
      <w:r w:rsidRPr="005E10F7">
        <w:t xml:space="preserve"> using four mechanisms: </w:t>
      </w:r>
    </w:p>
    <w:p w:rsidR="00C30A65" w:rsidRPr="005E10F7" w:rsidRDefault="00C30A65" w:rsidP="00C30A65">
      <w:pPr>
        <w:pStyle w:val="ListParagraph"/>
        <w:numPr>
          <w:ilvl w:val="0"/>
          <w:numId w:val="8"/>
        </w:numPr>
      </w:pPr>
      <w:r w:rsidRPr="005E10F7">
        <w:t>sub-carrier masking,</w:t>
      </w:r>
    </w:p>
    <w:p w:rsidR="00C30A65" w:rsidRPr="005E10F7" w:rsidRDefault="00C30A65" w:rsidP="00C30A65">
      <w:pPr>
        <w:pStyle w:val="ListParagraph"/>
        <w:numPr>
          <w:ilvl w:val="0"/>
          <w:numId w:val="8"/>
        </w:numPr>
      </w:pPr>
      <w:r w:rsidRPr="005E10F7">
        <w:t>notching of specific frequency bands;</w:t>
      </w:r>
    </w:p>
    <w:p w:rsidR="00C30A65" w:rsidRPr="005E10F7" w:rsidRDefault="00C30A65" w:rsidP="00C30A65">
      <w:pPr>
        <w:pStyle w:val="ListParagraph"/>
        <w:numPr>
          <w:ilvl w:val="0"/>
          <w:numId w:val="8"/>
        </w:numPr>
      </w:pPr>
      <w:r w:rsidRPr="005E10F7">
        <w:lastRenderedPageBreak/>
        <w:t>PSD shaping; and</w:t>
      </w:r>
    </w:p>
    <w:p w:rsidR="00C30A65" w:rsidRPr="005E10F7" w:rsidRDefault="00C30A65" w:rsidP="00C30A65">
      <w:pPr>
        <w:pStyle w:val="ListParagraph"/>
        <w:numPr>
          <w:ilvl w:val="0"/>
          <w:numId w:val="8"/>
        </w:numPr>
      </w:pPr>
      <w:r w:rsidRPr="005E10F7">
        <w:t xml:space="preserve">Low-frequency edge stop-band masking. </w:t>
      </w:r>
    </w:p>
    <w:p w:rsidR="00C30A65" w:rsidRPr="005E10F7" w:rsidRDefault="00C30A65" w:rsidP="00C30A65">
      <w:r w:rsidRPr="005E10F7">
        <w:t xml:space="preserve">Support of these four mechanisms is mandatory in both FTU-O and FTU-R. </w:t>
      </w:r>
    </w:p>
    <w:p w:rsidR="00C30A65" w:rsidRPr="005E10F7" w:rsidRDefault="00C30A65" w:rsidP="00C30A65">
      <w:r w:rsidRPr="005E10F7">
        <w:t xml:space="preserve">The </w:t>
      </w:r>
      <w:proofErr w:type="spellStart"/>
      <w:r w:rsidRPr="005E10F7">
        <w:t>TxPSDM</w:t>
      </w:r>
      <w:proofErr w:type="spellEnd"/>
      <w:r w:rsidRPr="005E10F7">
        <w:t xml:space="preserve"> shall comply with applicable national and regional regulatory requirements.</w:t>
      </w:r>
    </w:p>
    <w:p w:rsidR="00C30A65" w:rsidRPr="005E10F7" w:rsidRDefault="00C30A65" w:rsidP="00C30A65">
      <w:pPr>
        <w:pStyle w:val="Note"/>
      </w:pPr>
      <w:bookmarkStart w:id="24" w:name="_Toc360498474"/>
      <w:r w:rsidRPr="005E10F7">
        <w:t xml:space="preserve">NOTE – In addition to the masks defined in this Recommendation that provide absolute limits to the </w:t>
      </w:r>
      <w:proofErr w:type="spellStart"/>
      <w:r w:rsidRPr="005E10F7">
        <w:t>TxPSDM</w:t>
      </w:r>
      <w:proofErr w:type="spellEnd"/>
      <w:r w:rsidRPr="005E10F7">
        <w:t xml:space="preserve"> (both in-band and out-of-band), [ITU-T </w:t>
      </w:r>
      <w:r>
        <w:t>G.9701</w:t>
      </w:r>
      <w:r w:rsidRPr="005E10F7">
        <w:t xml:space="preserve">] defines a mechanism of discontinuous operation that allows the transceiver to dynamically switch off the transmit power in each particular connection when no data is present for transmission and a mechanism of low power mode (L2). Both mechanisms allow the system to further reduce the transmit power to a value that is sufficient to achieve the given bit rate and </w:t>
      </w:r>
      <w:proofErr w:type="spellStart"/>
      <w:r w:rsidRPr="005E10F7">
        <w:t>QoS</w:t>
      </w:r>
      <w:proofErr w:type="spellEnd"/>
      <w:r w:rsidRPr="005E10F7">
        <w:t xml:space="preserve"> targets.</w:t>
      </w:r>
    </w:p>
    <w:p w:rsidR="00C30A65" w:rsidRPr="005E10F7" w:rsidRDefault="00C30A65" w:rsidP="00C30A65">
      <w:pPr>
        <w:pStyle w:val="Heading2"/>
      </w:pPr>
      <w:bookmarkStart w:id="25" w:name="_Toc361338932"/>
      <w:r w:rsidRPr="005E10F7">
        <w:t>5.2</w:t>
      </w:r>
      <w:r w:rsidRPr="005E10F7">
        <w:tab/>
        <w:t>Limit PSD mask (LPM)</w:t>
      </w:r>
      <w:bookmarkEnd w:id="25"/>
      <w:r w:rsidRPr="005E10F7">
        <w:t xml:space="preserve"> </w:t>
      </w:r>
      <w:bookmarkEnd w:id="24"/>
    </w:p>
    <w:p w:rsidR="00C30A65" w:rsidRPr="005E10F7" w:rsidRDefault="00C30A65" w:rsidP="00C30A65">
      <w:r w:rsidRPr="005E10F7">
        <w:t xml:space="preserve">The LPM defines the absolute maximum PSD limit of the </w:t>
      </w:r>
      <w:proofErr w:type="spellStart"/>
      <w:r w:rsidRPr="005E10F7">
        <w:t>TxPSDM</w:t>
      </w:r>
      <w:proofErr w:type="spellEnd"/>
      <w:r w:rsidRPr="005E10F7">
        <w:t xml:space="preserve"> that shall never be exceeded. All the other mask definitions and mechanisms used to construct the </w:t>
      </w:r>
      <w:proofErr w:type="spellStart"/>
      <w:r w:rsidRPr="005E10F7">
        <w:t>TxPSDM</w:t>
      </w:r>
      <w:proofErr w:type="spellEnd"/>
      <w:r w:rsidRPr="005E10F7">
        <w:t xml:space="preserve"> can only result in a reduction of the mask from the limits established by the LPM.</w:t>
      </w:r>
    </w:p>
    <w:p w:rsidR="00C30A65" w:rsidRPr="005E10F7" w:rsidRDefault="00C30A65" w:rsidP="00C30A65">
      <w:pPr>
        <w:pStyle w:val="Heading2"/>
      </w:pPr>
      <w:bookmarkStart w:id="26" w:name="_Toc361338933"/>
      <w:r w:rsidRPr="005E10F7">
        <w:t>5.3</w:t>
      </w:r>
      <w:r w:rsidRPr="005E10F7">
        <w:tab/>
        <w:t>Sub-carrier masking</w:t>
      </w:r>
      <w:bookmarkEnd w:id="26"/>
      <w:r w:rsidRPr="005E10F7">
        <w:t xml:space="preserve"> </w:t>
      </w:r>
    </w:p>
    <w:p w:rsidR="00C30A65" w:rsidRPr="005E10F7" w:rsidRDefault="00C30A65" w:rsidP="00C30A65">
      <w:r w:rsidRPr="005E10F7">
        <w:t>Sub-carrier masking shall be used to eliminate transmission on one or more sub-carriers. Sub-carrier masking is defined in the DP-MIB by a sub-carrier mask (SM). The transmit power of sub-carriers specified in SM shall be set to zero (linear scale). The SM shall override all other instructions related to the transmit power of the sub-carrier.</w:t>
      </w:r>
    </w:p>
    <w:p w:rsidR="00C30A65" w:rsidRPr="005E10F7" w:rsidRDefault="00C30A65" w:rsidP="00C30A65">
      <w:r w:rsidRPr="005E10F7">
        <w:t>The SM is defined as a number of masked frequency bands. Each band is specified by a start sub</w:t>
      </w:r>
      <w:r w:rsidRPr="005E10F7">
        <w:noBreakHyphen/>
        <w:t>carrier index (</w:t>
      </w:r>
      <w:proofErr w:type="spellStart"/>
      <w:proofErr w:type="gramStart"/>
      <w:r w:rsidRPr="005E10F7">
        <w:rPr>
          <w:i/>
          <w:iCs/>
        </w:rPr>
        <w:t>x</w:t>
      </w:r>
      <w:r w:rsidRPr="005E10F7">
        <w:rPr>
          <w:vertAlign w:val="subscript"/>
        </w:rPr>
        <w:t>L</w:t>
      </w:r>
      <w:proofErr w:type="spellEnd"/>
      <w:proofErr w:type="gramEnd"/>
      <w:r w:rsidRPr="005E10F7">
        <w:t>) and a stop sub-carrier index (</w:t>
      </w:r>
      <w:proofErr w:type="spellStart"/>
      <w:r w:rsidRPr="005E10F7">
        <w:rPr>
          <w:i/>
          <w:iCs/>
        </w:rPr>
        <w:t>x</w:t>
      </w:r>
      <w:r w:rsidRPr="005E10F7">
        <w:rPr>
          <w:vertAlign w:val="subscript"/>
        </w:rPr>
        <w:t>H</w:t>
      </w:r>
      <w:proofErr w:type="spellEnd"/>
      <w:r w:rsidRPr="005E10F7">
        <w:t>), as {</w:t>
      </w:r>
      <w:proofErr w:type="spellStart"/>
      <w:r w:rsidRPr="005E10F7">
        <w:rPr>
          <w:i/>
          <w:iCs/>
        </w:rPr>
        <w:t>x</w:t>
      </w:r>
      <w:r w:rsidRPr="005E10F7">
        <w:rPr>
          <w:vertAlign w:val="subscript"/>
        </w:rPr>
        <w:t>L</w:t>
      </w:r>
      <w:proofErr w:type="spellEnd"/>
      <w:r w:rsidRPr="005E10F7">
        <w:t xml:space="preserve">, </w:t>
      </w:r>
      <w:proofErr w:type="spellStart"/>
      <w:r w:rsidRPr="005E10F7">
        <w:rPr>
          <w:i/>
          <w:iCs/>
        </w:rPr>
        <w:t>x</w:t>
      </w:r>
      <w:r w:rsidRPr="005E10F7">
        <w:rPr>
          <w:vertAlign w:val="subscript"/>
        </w:rPr>
        <w:t>H</w:t>
      </w:r>
      <w:proofErr w:type="spellEnd"/>
      <w:r w:rsidRPr="005E10F7">
        <w:t xml:space="preserve">}. An SM including </w:t>
      </w:r>
      <w:r w:rsidRPr="005E10F7">
        <w:rPr>
          <w:i/>
          <w:iCs/>
        </w:rPr>
        <w:t>S</w:t>
      </w:r>
      <w:r w:rsidRPr="005E10F7">
        <w:t xml:space="preserve"> bands can be represented in the following format:</w:t>
      </w:r>
    </w:p>
    <w:p w:rsidR="00C30A65" w:rsidRPr="005E10F7" w:rsidRDefault="00C30A65" w:rsidP="00C30A65">
      <w:pPr>
        <w:pStyle w:val="Equation"/>
      </w:pPr>
      <w:r w:rsidRPr="005E10F7">
        <w:tab/>
      </w:r>
      <w:r w:rsidRPr="005E10F7">
        <w:tab/>
        <w:t>SM(S) = [{x</w:t>
      </w:r>
      <w:r w:rsidRPr="005E10F7">
        <w:rPr>
          <w:i/>
          <w:iCs/>
          <w:vertAlign w:val="subscript"/>
        </w:rPr>
        <w:t>L</w:t>
      </w:r>
      <w:r w:rsidRPr="005E10F7">
        <w:rPr>
          <w:vertAlign w:val="subscript"/>
        </w:rPr>
        <w:t>1</w:t>
      </w:r>
      <w:r w:rsidRPr="005E10F7">
        <w:t>, x</w:t>
      </w:r>
      <w:r w:rsidRPr="005E10F7">
        <w:rPr>
          <w:i/>
          <w:iCs/>
          <w:vertAlign w:val="subscript"/>
        </w:rPr>
        <w:t>H</w:t>
      </w:r>
      <w:r w:rsidRPr="005E10F7">
        <w:rPr>
          <w:vertAlign w:val="subscript"/>
        </w:rPr>
        <w:t>1</w:t>
      </w:r>
      <w:r w:rsidRPr="005E10F7">
        <w:t>}, {x</w:t>
      </w:r>
      <w:r w:rsidRPr="005E10F7">
        <w:rPr>
          <w:i/>
          <w:iCs/>
          <w:vertAlign w:val="subscript"/>
        </w:rPr>
        <w:t>L</w:t>
      </w:r>
      <w:r w:rsidRPr="005E10F7">
        <w:rPr>
          <w:vertAlign w:val="subscript"/>
        </w:rPr>
        <w:t>2</w:t>
      </w:r>
      <w:r w:rsidRPr="005E10F7">
        <w:t>, x</w:t>
      </w:r>
      <w:r w:rsidRPr="005E10F7">
        <w:rPr>
          <w:i/>
          <w:iCs/>
          <w:vertAlign w:val="subscript"/>
        </w:rPr>
        <w:t>H</w:t>
      </w:r>
      <w:r w:rsidRPr="005E10F7">
        <w:rPr>
          <w:vertAlign w:val="subscript"/>
        </w:rPr>
        <w:t>2</w:t>
      </w:r>
      <w:proofErr w:type="gramStart"/>
      <w:r w:rsidRPr="005E10F7">
        <w:t>}, …</w:t>
      </w:r>
      <w:proofErr w:type="gramEnd"/>
      <w:r w:rsidRPr="005E10F7">
        <w:t xml:space="preserve"> {</w:t>
      </w:r>
      <w:proofErr w:type="spellStart"/>
      <w:r w:rsidRPr="005E10F7">
        <w:t>x</w:t>
      </w:r>
      <w:r w:rsidRPr="005E10F7">
        <w:rPr>
          <w:i/>
          <w:iCs/>
          <w:vertAlign w:val="subscript"/>
        </w:rPr>
        <w:t>L</w:t>
      </w:r>
      <w:r w:rsidRPr="005E10F7">
        <w:rPr>
          <w:vertAlign w:val="subscript"/>
        </w:rPr>
        <w:t>S</w:t>
      </w:r>
      <w:proofErr w:type="spellEnd"/>
      <w:r w:rsidRPr="005E10F7">
        <w:t xml:space="preserve">, </w:t>
      </w:r>
      <w:proofErr w:type="spellStart"/>
      <w:r w:rsidRPr="005E10F7">
        <w:t>x</w:t>
      </w:r>
      <w:r w:rsidRPr="005E10F7">
        <w:rPr>
          <w:i/>
          <w:iCs/>
          <w:vertAlign w:val="subscript"/>
        </w:rPr>
        <w:t>H</w:t>
      </w:r>
      <w:r w:rsidRPr="005E10F7">
        <w:rPr>
          <w:vertAlign w:val="subscript"/>
        </w:rPr>
        <w:t>S</w:t>
      </w:r>
      <w:proofErr w:type="spellEnd"/>
      <w:r w:rsidRPr="005E10F7">
        <w:t>}]</w:t>
      </w:r>
    </w:p>
    <w:p w:rsidR="00C30A65" w:rsidRPr="005E10F7" w:rsidRDefault="00C30A65" w:rsidP="00C30A65">
      <w:r w:rsidRPr="005E10F7">
        <w:t xml:space="preserve">All sub-carriers within the band, i.e., with indices higher than or equal to </w:t>
      </w:r>
      <w:proofErr w:type="spellStart"/>
      <w:proofErr w:type="gramStart"/>
      <w:r w:rsidRPr="005E10F7">
        <w:rPr>
          <w:i/>
          <w:iCs/>
        </w:rPr>
        <w:t>x</w:t>
      </w:r>
      <w:r w:rsidRPr="005E10F7">
        <w:rPr>
          <w:vertAlign w:val="subscript"/>
        </w:rPr>
        <w:t>L</w:t>
      </w:r>
      <w:proofErr w:type="spellEnd"/>
      <w:proofErr w:type="gramEnd"/>
      <w:r w:rsidRPr="005E10F7">
        <w:t xml:space="preserve"> and lower than or equal to </w:t>
      </w:r>
      <w:proofErr w:type="spellStart"/>
      <w:r w:rsidRPr="005E10F7">
        <w:rPr>
          <w:i/>
          <w:iCs/>
        </w:rPr>
        <w:t>x</w:t>
      </w:r>
      <w:r w:rsidRPr="005E10F7">
        <w:rPr>
          <w:vertAlign w:val="subscript"/>
        </w:rPr>
        <w:t>H</w:t>
      </w:r>
      <w:proofErr w:type="spellEnd"/>
      <w:r w:rsidRPr="005E10F7">
        <w:t xml:space="preserve">, shall be switched off (transmitted with zero power). </w:t>
      </w:r>
    </w:p>
    <w:p w:rsidR="00C30A65" w:rsidRPr="005E10F7" w:rsidRDefault="00C30A65" w:rsidP="00C30A65">
      <w:pPr>
        <w:pStyle w:val="Note"/>
      </w:pPr>
      <w:r w:rsidRPr="005E10F7">
        <w:t>NOTE – The SM is intended to incorporate masked sub-carriers that are defined by a regional annex to comply with local regulations, and masked sub-carriers that are defined by the user or service provider to facilitate local deployment practices. Protection of radio services is not intended to be addressed by sub-carrier masking. It is addressed by notching (see clause 5.5).</w:t>
      </w:r>
    </w:p>
    <w:p w:rsidR="00C30A65" w:rsidRPr="005E10F7" w:rsidRDefault="00C30A65" w:rsidP="00C30A65">
      <w:pPr>
        <w:pStyle w:val="Heading2"/>
      </w:pPr>
      <w:bookmarkStart w:id="27" w:name="_Toc361338934"/>
      <w:r w:rsidRPr="005E10F7">
        <w:t>5.4</w:t>
      </w:r>
      <w:r w:rsidRPr="005E10F7">
        <w:tab/>
        <w:t>Power spectral density shaping</w:t>
      </w:r>
      <w:bookmarkEnd w:id="27"/>
      <w:r w:rsidRPr="005E10F7">
        <w:t xml:space="preserve"> </w:t>
      </w:r>
    </w:p>
    <w:p w:rsidR="00C30A65" w:rsidRPr="005E10F7" w:rsidRDefault="00C30A65" w:rsidP="00C30A65">
      <w:r w:rsidRPr="005E10F7">
        <w:t xml:space="preserve">Power spectral density (PSD) shaping allows reduction of the </w:t>
      </w:r>
      <w:proofErr w:type="spellStart"/>
      <w:r w:rsidRPr="005E10F7">
        <w:t>TxPSDM</w:t>
      </w:r>
      <w:proofErr w:type="spellEnd"/>
      <w:r w:rsidRPr="005E10F7">
        <w:t xml:space="preserve"> in some parts of the spectrum, mainly for spectrum compatibility and coexistence with other access and home network technologies. PSD shaping is specified in the DP-MIB by a PSD shaping mask (PSM). </w:t>
      </w:r>
    </w:p>
    <w:p w:rsidR="00C30A65" w:rsidRPr="005E10F7" w:rsidRDefault="00C30A65" w:rsidP="00C30A65">
      <w:r w:rsidRPr="005E10F7">
        <w:t xml:space="preserve">PSM is defined on the frequency range between the lowest sub-carrier </w:t>
      </w:r>
      <w:r w:rsidRPr="005E10F7">
        <w:rPr>
          <w:i/>
          <w:iCs/>
        </w:rPr>
        <w:t>x</w:t>
      </w:r>
      <w:r w:rsidRPr="005E10F7">
        <w:rPr>
          <w:vertAlign w:val="subscript"/>
        </w:rPr>
        <w:t>1</w:t>
      </w:r>
      <w:r w:rsidRPr="005E10F7">
        <w:t xml:space="preserve"> and the highest sub-carrier </w:t>
      </w:r>
      <w:proofErr w:type="spellStart"/>
      <w:r w:rsidRPr="005E10F7">
        <w:rPr>
          <w:i/>
          <w:iCs/>
        </w:rPr>
        <w:t>x</w:t>
      </w:r>
      <w:r w:rsidRPr="005E10F7">
        <w:rPr>
          <w:vertAlign w:val="subscript"/>
        </w:rPr>
        <w:t>H</w:t>
      </w:r>
      <w:proofErr w:type="spellEnd"/>
      <w:r w:rsidRPr="005E10F7">
        <w:t xml:space="preserve">, and consists of one or more frequency segments. The boundaries of the segments are defined by set breakpoints. Within each segment, the PSM may either be constant or form a linear slope between the given breakpoints (in </w:t>
      </w:r>
      <w:proofErr w:type="spellStart"/>
      <w:r w:rsidRPr="005E10F7">
        <w:t>dBm</w:t>
      </w:r>
      <w:proofErr w:type="spellEnd"/>
      <w:r w:rsidRPr="005E10F7">
        <w:t>/Hz) with the frequency expressed in a linear scale.</w:t>
      </w:r>
    </w:p>
    <w:p w:rsidR="00C30A65" w:rsidRPr="005E10F7" w:rsidRDefault="00C30A65" w:rsidP="00C30A65">
      <w:pPr>
        <w:pStyle w:val="Normalaftertitle"/>
        <w:spacing w:before="120"/>
      </w:pPr>
      <w:r w:rsidRPr="005E10F7">
        <w:t xml:space="preserve">Each breakpoint of PSM is specified by a sub-carrier index </w:t>
      </w:r>
      <w:proofErr w:type="spellStart"/>
      <w:r w:rsidRPr="005E10F7">
        <w:rPr>
          <w:i/>
          <w:iCs/>
        </w:rPr>
        <w:t>x</w:t>
      </w:r>
      <w:r w:rsidRPr="005E10F7">
        <w:rPr>
          <w:i/>
          <w:iCs/>
          <w:vertAlign w:val="subscript"/>
        </w:rPr>
        <w:t>n</w:t>
      </w:r>
      <w:proofErr w:type="spellEnd"/>
      <w:r w:rsidRPr="005E10F7">
        <w:t xml:space="preserve"> and a value of </w:t>
      </w:r>
      <w:proofErr w:type="spellStart"/>
      <w:r w:rsidRPr="005E10F7">
        <w:rPr>
          <w:i/>
          <w:iCs/>
        </w:rPr>
        <w:t>PSD</w:t>
      </w:r>
      <w:r w:rsidRPr="005E10F7">
        <w:rPr>
          <w:i/>
          <w:iCs/>
          <w:vertAlign w:val="subscript"/>
        </w:rPr>
        <w:t>n</w:t>
      </w:r>
      <w:proofErr w:type="spellEnd"/>
      <w:r w:rsidRPr="005E10F7">
        <w:t xml:space="preserve"> at that sub</w:t>
      </w:r>
      <w:r w:rsidRPr="005E10F7">
        <w:noBreakHyphen/>
        <w:t xml:space="preserve">carrier expressed in </w:t>
      </w:r>
      <w:proofErr w:type="spellStart"/>
      <w:r w:rsidRPr="005E10F7">
        <w:t>dBm</w:t>
      </w:r>
      <w:proofErr w:type="spellEnd"/>
      <w:r w:rsidRPr="005E10F7">
        <w:t>/Hz, {</w:t>
      </w:r>
      <w:proofErr w:type="spellStart"/>
      <w:r w:rsidRPr="005E10F7">
        <w:rPr>
          <w:i/>
          <w:iCs/>
        </w:rPr>
        <w:t>x</w:t>
      </w:r>
      <w:r w:rsidRPr="005E10F7">
        <w:rPr>
          <w:i/>
          <w:iCs/>
          <w:vertAlign w:val="subscript"/>
        </w:rPr>
        <w:t>n</w:t>
      </w:r>
      <w:proofErr w:type="spellEnd"/>
      <w:r w:rsidRPr="005E10F7">
        <w:t xml:space="preserve">, </w:t>
      </w:r>
      <w:proofErr w:type="spellStart"/>
      <w:r w:rsidRPr="005E10F7">
        <w:rPr>
          <w:i/>
          <w:iCs/>
        </w:rPr>
        <w:t>PSD</w:t>
      </w:r>
      <w:r w:rsidRPr="005E10F7">
        <w:rPr>
          <w:i/>
          <w:iCs/>
          <w:vertAlign w:val="subscript"/>
        </w:rPr>
        <w:t>n</w:t>
      </w:r>
      <w:proofErr w:type="spellEnd"/>
      <w:r w:rsidRPr="005E10F7">
        <w:t>}. P</w:t>
      </w:r>
      <w:r w:rsidRPr="005E10F7">
        <w:rPr>
          <w:i/>
          <w:iCs/>
        </w:rPr>
        <w:t>SD</w:t>
      </w:r>
      <w:r w:rsidRPr="005E10F7">
        <w:rPr>
          <w:vertAlign w:val="subscript"/>
        </w:rPr>
        <w:t>1</w:t>
      </w:r>
      <w:r w:rsidRPr="005E10F7">
        <w:t xml:space="preserve"> shall also apply to sub-carriers below </w:t>
      </w:r>
      <w:r w:rsidRPr="005E10F7">
        <w:rPr>
          <w:i/>
          <w:iCs/>
        </w:rPr>
        <w:t>x</w:t>
      </w:r>
      <w:r w:rsidRPr="005E10F7">
        <w:t>1 and P</w:t>
      </w:r>
      <w:r w:rsidRPr="005E10F7">
        <w:rPr>
          <w:i/>
          <w:iCs/>
        </w:rPr>
        <w:t>SD</w:t>
      </w:r>
      <w:r w:rsidRPr="005E10F7">
        <w:rPr>
          <w:i/>
          <w:iCs/>
          <w:vertAlign w:val="subscript"/>
        </w:rPr>
        <w:t>H</w:t>
      </w:r>
      <w:r w:rsidRPr="005E10F7">
        <w:t xml:space="preserve"> shall also apply to sub-carriers above </w:t>
      </w:r>
      <w:proofErr w:type="spellStart"/>
      <w:r w:rsidRPr="005E10F7">
        <w:rPr>
          <w:i/>
          <w:iCs/>
        </w:rPr>
        <w:t>x</w:t>
      </w:r>
      <w:r w:rsidRPr="005E10F7">
        <w:rPr>
          <w:i/>
          <w:iCs/>
          <w:vertAlign w:val="subscript"/>
        </w:rPr>
        <w:t>H</w:t>
      </w:r>
      <w:proofErr w:type="spellEnd"/>
      <w:r w:rsidRPr="005E10F7">
        <w:t xml:space="preserve">. A PSM including </w:t>
      </w:r>
      <w:r w:rsidRPr="005E10F7">
        <w:rPr>
          <w:i/>
          <w:iCs/>
        </w:rPr>
        <w:t>S</w:t>
      </w:r>
      <w:r w:rsidRPr="005E10F7">
        <w:t xml:space="preserve"> segments can be represented by (</w:t>
      </w:r>
      <w:r w:rsidRPr="005E10F7">
        <w:rPr>
          <w:i/>
          <w:iCs/>
        </w:rPr>
        <w:t>S</w:t>
      </w:r>
      <w:r w:rsidRPr="005E10F7">
        <w:t>+1) breakpoints in the following format:</w:t>
      </w:r>
    </w:p>
    <w:p w:rsidR="00C30A65" w:rsidRPr="005E10F7" w:rsidRDefault="00C30A65" w:rsidP="00C30A65">
      <w:pPr>
        <w:pStyle w:val="Equation"/>
      </w:pPr>
      <w:r w:rsidRPr="005E10F7">
        <w:tab/>
      </w:r>
      <w:r w:rsidRPr="005E10F7">
        <w:tab/>
        <w:t>PSM(</w:t>
      </w:r>
      <w:r w:rsidRPr="005E10F7">
        <w:rPr>
          <w:i/>
          <w:iCs/>
        </w:rPr>
        <w:t>S</w:t>
      </w:r>
      <w:r w:rsidRPr="005E10F7">
        <w:t>) = [{</w:t>
      </w:r>
      <w:r w:rsidRPr="005E10F7">
        <w:rPr>
          <w:i/>
          <w:iCs/>
        </w:rPr>
        <w:t>x</w:t>
      </w:r>
      <w:r w:rsidRPr="005E10F7">
        <w:rPr>
          <w:vertAlign w:val="subscript"/>
        </w:rPr>
        <w:t>1</w:t>
      </w:r>
      <w:r w:rsidRPr="005E10F7">
        <w:t>,</w:t>
      </w:r>
      <w:r w:rsidRPr="005E10F7">
        <w:rPr>
          <w:i/>
          <w:iCs/>
        </w:rPr>
        <w:t xml:space="preserve"> PSD</w:t>
      </w:r>
      <w:r w:rsidRPr="005E10F7">
        <w:rPr>
          <w:vertAlign w:val="subscript"/>
        </w:rPr>
        <w:t>1</w:t>
      </w:r>
      <w:r w:rsidRPr="005E10F7">
        <w:t>}, {</w:t>
      </w:r>
      <w:r w:rsidRPr="005E10F7">
        <w:rPr>
          <w:i/>
          <w:iCs/>
        </w:rPr>
        <w:t>x</w:t>
      </w:r>
      <w:r w:rsidRPr="005E10F7">
        <w:rPr>
          <w:vertAlign w:val="subscript"/>
        </w:rPr>
        <w:t>2</w:t>
      </w:r>
      <w:r w:rsidRPr="005E10F7">
        <w:t>,</w:t>
      </w:r>
      <w:r w:rsidRPr="005E10F7">
        <w:rPr>
          <w:i/>
          <w:iCs/>
        </w:rPr>
        <w:t xml:space="preserve"> PSD</w:t>
      </w:r>
      <w:r w:rsidRPr="005E10F7">
        <w:rPr>
          <w:vertAlign w:val="subscript"/>
        </w:rPr>
        <w:t>2</w:t>
      </w:r>
      <w:r w:rsidRPr="005E10F7">
        <w:t>} … {</w:t>
      </w:r>
      <w:proofErr w:type="spellStart"/>
      <w:r w:rsidRPr="005E10F7">
        <w:rPr>
          <w:i/>
          <w:iCs/>
        </w:rPr>
        <w:t>x</w:t>
      </w:r>
      <w:r w:rsidRPr="005E10F7">
        <w:rPr>
          <w:vertAlign w:val="subscript"/>
        </w:rPr>
        <w:t>S</w:t>
      </w:r>
      <w:proofErr w:type="spellEnd"/>
      <w:r w:rsidRPr="005E10F7">
        <w:t>,</w:t>
      </w:r>
      <w:r w:rsidRPr="005E10F7">
        <w:rPr>
          <w:i/>
          <w:iCs/>
        </w:rPr>
        <w:t xml:space="preserve"> PSD</w:t>
      </w:r>
      <w:r w:rsidRPr="005E10F7">
        <w:rPr>
          <w:vertAlign w:val="subscript"/>
        </w:rPr>
        <w:t>S</w:t>
      </w:r>
      <w:r w:rsidRPr="005E10F7">
        <w:t>}, {</w:t>
      </w:r>
      <w:proofErr w:type="spellStart"/>
      <w:r w:rsidRPr="005E10F7">
        <w:rPr>
          <w:i/>
          <w:iCs/>
        </w:rPr>
        <w:t>x</w:t>
      </w:r>
      <w:r w:rsidRPr="005E10F7">
        <w:rPr>
          <w:i/>
          <w:iCs/>
          <w:vertAlign w:val="subscript"/>
        </w:rPr>
        <w:t>H</w:t>
      </w:r>
      <w:proofErr w:type="spellEnd"/>
      <w:r w:rsidRPr="005E10F7">
        <w:t>,</w:t>
      </w:r>
      <w:r w:rsidRPr="005E10F7">
        <w:rPr>
          <w:i/>
          <w:iCs/>
        </w:rPr>
        <w:t xml:space="preserve"> PSD</w:t>
      </w:r>
      <w:r w:rsidRPr="005E10F7">
        <w:rPr>
          <w:i/>
          <w:iCs/>
          <w:vertAlign w:val="subscript"/>
        </w:rPr>
        <w:t>H</w:t>
      </w:r>
      <w:r w:rsidRPr="005E10F7">
        <w:t>}]</w:t>
      </w:r>
    </w:p>
    <w:p w:rsidR="00C30A65" w:rsidRPr="005E10F7" w:rsidRDefault="00C30A65" w:rsidP="00C30A65">
      <w:r w:rsidRPr="005E10F7">
        <w:lastRenderedPageBreak/>
        <w:t xml:space="preserve">A transceiver shall support configuration of at least 32 PSM breakpoints. </w:t>
      </w:r>
    </w:p>
    <w:p w:rsidR="00C30A65" w:rsidRPr="005E10F7" w:rsidRDefault="00C30A65" w:rsidP="00C30A65">
      <w:r w:rsidRPr="005E10F7">
        <w:t xml:space="preserve">If one or more PSM breakpoints are set above the LPM, the transmit PSD mask shall be set to: </w:t>
      </w:r>
      <w:proofErr w:type="spellStart"/>
      <w:r w:rsidRPr="005E10F7">
        <w:t>TxPSDM</w:t>
      </w:r>
      <w:proofErr w:type="spellEnd"/>
      <w:r w:rsidRPr="005E10F7">
        <w:t xml:space="preserve"> = </w:t>
      </w:r>
      <w:proofErr w:type="gramStart"/>
      <w:r w:rsidRPr="005E10F7">
        <w:t>min(</w:t>
      </w:r>
      <w:proofErr w:type="gramEnd"/>
      <w:r w:rsidRPr="005E10F7">
        <w:t xml:space="preserve">PSM, LPM). All values of </w:t>
      </w:r>
      <w:proofErr w:type="spellStart"/>
      <w:r w:rsidRPr="005E10F7">
        <w:rPr>
          <w:i/>
          <w:iCs/>
        </w:rPr>
        <w:t>PSD</w:t>
      </w:r>
      <w:r w:rsidRPr="005E10F7">
        <w:rPr>
          <w:i/>
          <w:iCs/>
          <w:vertAlign w:val="subscript"/>
        </w:rPr>
        <w:t>n</w:t>
      </w:r>
      <w:proofErr w:type="spellEnd"/>
      <w:r w:rsidRPr="005E10F7">
        <w:t xml:space="preserve"> of PSM breakpoints shall be set </w:t>
      </w:r>
      <w:proofErr w:type="gramStart"/>
      <w:r w:rsidRPr="005E10F7">
        <w:t xml:space="preserve">above – 90 </w:t>
      </w:r>
      <w:proofErr w:type="spellStart"/>
      <w:r w:rsidRPr="005E10F7">
        <w:t>dBm</w:t>
      </w:r>
      <w:proofErr w:type="spellEnd"/>
      <w:r w:rsidRPr="005E10F7">
        <w:t>/Hz</w:t>
      </w:r>
      <w:proofErr w:type="gramEnd"/>
      <w:r w:rsidRPr="005E10F7">
        <w:t xml:space="preserve">. </w:t>
      </w:r>
    </w:p>
    <w:p w:rsidR="00C30A65" w:rsidRPr="005E10F7" w:rsidRDefault="00C30A65" w:rsidP="00C30A65">
      <w:pPr>
        <w:pStyle w:val="Heading2"/>
      </w:pPr>
      <w:bookmarkStart w:id="28" w:name="_Toc361338935"/>
      <w:r w:rsidRPr="005E10F7">
        <w:t>5.5</w:t>
      </w:r>
      <w:r w:rsidRPr="005E10F7">
        <w:tab/>
        <w:t>Notching of specific frequency bands</w:t>
      </w:r>
      <w:bookmarkEnd w:id="28"/>
      <w:r w:rsidRPr="005E10F7">
        <w:t xml:space="preserve"> </w:t>
      </w:r>
    </w:p>
    <w:p w:rsidR="00C30A65" w:rsidRPr="005E10F7" w:rsidRDefault="00C30A65" w:rsidP="00C30A65">
      <w:r w:rsidRPr="005E10F7">
        <w:t xml:space="preserve">The transceiver (either FTU-O or FTU-R) shall be capable of being configured to notch one or more specific frequency bands in order to protect radio services, for example, amateur radio bands or broadcast radio bands. </w:t>
      </w:r>
    </w:p>
    <w:p w:rsidR="00C30A65" w:rsidRPr="005E10F7" w:rsidRDefault="00C30A65" w:rsidP="00C30A65">
      <w:r w:rsidRPr="005E10F7">
        <w:t xml:space="preserve">Each notch in the NM shall be defined in terms of sub-carrier indices </w:t>
      </w:r>
      <w:proofErr w:type="spellStart"/>
      <w:r w:rsidRPr="005E10F7">
        <w:t>SC</w:t>
      </w:r>
      <w:r w:rsidRPr="005E10F7">
        <w:rPr>
          <w:vertAlign w:val="subscript"/>
        </w:rPr>
        <w:t>start</w:t>
      </w:r>
      <w:proofErr w:type="spellEnd"/>
      <w:r>
        <w:t xml:space="preserve"> and</w:t>
      </w:r>
      <w:r w:rsidRPr="005E10F7">
        <w:t xml:space="preserve"> </w:t>
      </w:r>
      <w:proofErr w:type="spellStart"/>
      <w:r w:rsidRPr="005E10F7">
        <w:t>SC</w:t>
      </w:r>
      <w:r w:rsidRPr="005E10F7">
        <w:rPr>
          <w:vertAlign w:val="subscript"/>
        </w:rPr>
        <w:t>end</w:t>
      </w:r>
      <w:proofErr w:type="spellEnd"/>
      <w:r w:rsidRPr="005E10F7">
        <w:t xml:space="preserve">. </w:t>
      </w:r>
    </w:p>
    <w:p w:rsidR="00C30A65" w:rsidRPr="005E10F7" w:rsidRDefault="00C30A65" w:rsidP="00C30A65">
      <w:r w:rsidRPr="005E10F7">
        <w:t xml:space="preserve">The valid range of start tone index, </w:t>
      </w:r>
      <w:proofErr w:type="spellStart"/>
      <w:r w:rsidRPr="005E10F7">
        <w:t>SC</w:t>
      </w:r>
      <w:r w:rsidRPr="005E10F7">
        <w:rPr>
          <w:vertAlign w:val="subscript"/>
        </w:rPr>
        <w:t>start</w:t>
      </w:r>
      <w:proofErr w:type="spellEnd"/>
      <w:r w:rsidRPr="005E10F7">
        <w:t xml:space="preserve">, is </w:t>
      </w:r>
      <w:r>
        <w:t>all valid tone indices that are</w:t>
      </w:r>
      <w:r w:rsidRPr="005E10F7">
        <w:t xml:space="preserve"> less than or equal to the minimum frequency of the notched band – </w:t>
      </w:r>
      <w:r w:rsidRPr="005E10F7">
        <w:rPr>
          <w:i/>
        </w:rPr>
        <w:t>F</w:t>
      </w:r>
      <w:r w:rsidRPr="005E10F7">
        <w:rPr>
          <w:i/>
          <w:vertAlign w:val="subscript"/>
        </w:rPr>
        <w:t>SC</w:t>
      </w:r>
      <w:r w:rsidRPr="005E10F7">
        <w:t xml:space="preserve">/2. The valid range of stop tone index, </w:t>
      </w:r>
      <w:proofErr w:type="spellStart"/>
      <w:r w:rsidRPr="005E10F7">
        <w:t>SC</w:t>
      </w:r>
      <w:r w:rsidRPr="005E10F7">
        <w:rPr>
          <w:vertAlign w:val="subscript"/>
        </w:rPr>
        <w:t>stop</w:t>
      </w:r>
      <w:proofErr w:type="spellEnd"/>
      <w:r w:rsidRPr="005E10F7">
        <w:t>,</w:t>
      </w:r>
      <w:r w:rsidRPr="005E10F7">
        <w:rPr>
          <w:vertAlign w:val="subscript"/>
        </w:rPr>
        <w:t xml:space="preserve"> </w:t>
      </w:r>
      <w:r w:rsidRPr="005E10F7">
        <w:t xml:space="preserve">is </w:t>
      </w:r>
      <w:r>
        <w:t>all valid tone indices that are</w:t>
      </w:r>
      <w:r w:rsidRPr="005E10F7">
        <w:t xml:space="preserve"> higher than or equal to the maximum frequency of the notched band + </w:t>
      </w:r>
      <w:r w:rsidRPr="005E10F7">
        <w:rPr>
          <w:i/>
        </w:rPr>
        <w:t>F</w:t>
      </w:r>
      <w:r w:rsidRPr="005E10F7">
        <w:rPr>
          <w:i/>
          <w:vertAlign w:val="subscript"/>
        </w:rPr>
        <w:t>SC</w:t>
      </w:r>
      <w:r w:rsidRPr="005E10F7">
        <w:t>/2.</w:t>
      </w:r>
    </w:p>
    <w:p w:rsidR="00C30A65" w:rsidRPr="005E10F7" w:rsidRDefault="00C30A65" w:rsidP="00C30A65">
      <w:r w:rsidRPr="005E10F7">
        <w:t>Within the notched band, all sub-carriers shall be turned off and the transceiver sha</w:t>
      </w:r>
      <w:r>
        <w:t xml:space="preserve">ll be capable to be configured </w:t>
      </w:r>
      <w:r w:rsidRPr="005E10F7">
        <w:t xml:space="preserve">with a notching mask (NM) up to at least 20 dB below the LPM. </w:t>
      </w:r>
    </w:p>
    <w:p w:rsidR="00C30A65" w:rsidRPr="005E10F7" w:rsidRDefault="00C30A65" w:rsidP="00C30A65">
      <w:pPr>
        <w:pStyle w:val="Note"/>
      </w:pPr>
      <w:r w:rsidRPr="005E10F7">
        <w:t xml:space="preserve">NOTE – Sub-carriers either side of the masked sub-carriers may also need to be turned off in order to meet the requirement on </w:t>
      </w:r>
      <w:proofErr w:type="spellStart"/>
      <w:r w:rsidRPr="005E10F7">
        <w:t>TxPSDM</w:t>
      </w:r>
      <w:proofErr w:type="spellEnd"/>
      <w:r w:rsidRPr="005E10F7">
        <w:t xml:space="preserve"> notch depth.</w:t>
      </w:r>
    </w:p>
    <w:p w:rsidR="00C30A65" w:rsidRPr="005E10F7" w:rsidRDefault="00C30A65" w:rsidP="00C30A65">
      <w:r>
        <w:t xml:space="preserve">For a notched band, </w:t>
      </w:r>
      <w:r w:rsidRPr="005E10F7">
        <w:t>two PSD masks are defined:</w:t>
      </w:r>
    </w:p>
    <w:p w:rsidR="00C30A65" w:rsidRPr="005E10F7" w:rsidRDefault="00C30A65" w:rsidP="00C30A65">
      <w:pPr>
        <w:pStyle w:val="ListParagraph"/>
        <w:numPr>
          <w:ilvl w:val="0"/>
          <w:numId w:val="18"/>
        </w:numPr>
      </w:pPr>
      <w:r w:rsidRPr="005E10F7">
        <w:t>Narrowband Transmit PSD Mask (TXPSDM_N)</w:t>
      </w:r>
    </w:p>
    <w:p w:rsidR="00C30A65" w:rsidRPr="005E10F7" w:rsidRDefault="00C30A65" w:rsidP="00C30A65">
      <w:pPr>
        <w:ind w:left="567"/>
      </w:pPr>
      <w:r w:rsidRPr="005E10F7">
        <w:t xml:space="preserve">This mask is defined to verify the PSD using a MBW=10 kHz </w:t>
      </w:r>
      <w:proofErr w:type="spellStart"/>
      <w:r>
        <w:t>centered</w:t>
      </w:r>
      <w:proofErr w:type="spellEnd"/>
      <w:r w:rsidRPr="005E10F7">
        <w:t xml:space="preserve"> on the frequency in question.</w:t>
      </w:r>
    </w:p>
    <w:p w:rsidR="00C30A65" w:rsidRPr="005E10F7" w:rsidRDefault="00C30A65" w:rsidP="00C30A65">
      <w:pPr>
        <w:ind w:left="567"/>
      </w:pPr>
      <w:r w:rsidRPr="005E10F7">
        <w:t xml:space="preserve">The TXPSDM_N is defined as the maximum of the configured Notch Mask (NM) and a lower limit of </w:t>
      </w:r>
      <w:r>
        <w:t>−</w:t>
      </w:r>
      <w:r w:rsidRPr="005E10F7">
        <w:t xml:space="preserve">100 </w:t>
      </w:r>
      <w:proofErr w:type="spellStart"/>
      <w:r w:rsidRPr="005E10F7">
        <w:t>dBm</w:t>
      </w:r>
      <w:proofErr w:type="spellEnd"/>
      <w:r w:rsidRPr="005E10F7">
        <w:t xml:space="preserve">/Hz:   </w:t>
      </w:r>
    </w:p>
    <w:p w:rsidR="00C30A65" w:rsidRPr="005E10F7" w:rsidRDefault="00C30A65" w:rsidP="00C30A65">
      <w:pPr>
        <w:ind w:left="1134"/>
      </w:pPr>
      <w:proofErr w:type="spellStart"/>
      <w:r w:rsidRPr="005E10F7">
        <w:t>TxPSDM_N</w:t>
      </w:r>
      <w:proofErr w:type="spellEnd"/>
      <w:r w:rsidRPr="005E10F7">
        <w:t xml:space="preserve"> = </w:t>
      </w:r>
      <w:proofErr w:type="gramStart"/>
      <w:r w:rsidRPr="005E10F7">
        <w:t>max[</w:t>
      </w:r>
      <w:proofErr w:type="gramEnd"/>
      <w:r w:rsidRPr="005E10F7">
        <w:t xml:space="preserve">NM, </w:t>
      </w:r>
      <w:r>
        <w:t>−</w:t>
      </w:r>
      <w:r w:rsidRPr="005E10F7">
        <w:t xml:space="preserve">100 </w:t>
      </w:r>
      <w:proofErr w:type="spellStart"/>
      <w:r w:rsidRPr="005E10F7">
        <w:t>dBm</w:t>
      </w:r>
      <w:proofErr w:type="spellEnd"/>
      <w:r w:rsidRPr="005E10F7">
        <w:t>/Hz]</w:t>
      </w:r>
    </w:p>
    <w:p w:rsidR="00C30A65" w:rsidRPr="005E10F7" w:rsidRDefault="00C30A65" w:rsidP="00C30A65">
      <w:pPr>
        <w:pStyle w:val="ListParagraph"/>
        <w:numPr>
          <w:ilvl w:val="0"/>
          <w:numId w:val="18"/>
        </w:numPr>
      </w:pPr>
      <w:r w:rsidRPr="005E10F7">
        <w:t>Wideband Transmit PSD Mask (TXPSDM_W)</w:t>
      </w:r>
    </w:p>
    <w:p w:rsidR="00C30A65" w:rsidRPr="005E10F7" w:rsidRDefault="00C30A65" w:rsidP="00C30A65">
      <w:pPr>
        <w:ind w:left="567"/>
      </w:pPr>
      <w:r w:rsidRPr="005E10F7">
        <w:t>This mask is defined to verify a mathematically calculated</w:t>
      </w:r>
      <w:r>
        <w:t xml:space="preserve"> wideband average PSD (PSD_W), </w:t>
      </w:r>
      <w:r w:rsidRPr="005E10F7">
        <w:t>obtained by averaging the narrowband measurements (PSD_N) (measured in a</w:t>
      </w:r>
      <w:r>
        <w:t>n</w:t>
      </w:r>
      <w:r w:rsidRPr="005E10F7">
        <w:t xml:space="preserve"> MBW=10 kHz) over a 1 MHz window </w:t>
      </w:r>
      <w:proofErr w:type="spellStart"/>
      <w:r w:rsidRPr="005E10F7">
        <w:t>cent</w:t>
      </w:r>
      <w:r>
        <w:t>e</w:t>
      </w:r>
      <w:r w:rsidRPr="005E10F7">
        <w:t>red</w:t>
      </w:r>
      <w:proofErr w:type="spellEnd"/>
      <w:r w:rsidRPr="005E10F7">
        <w:t xml:space="preserve"> on the frequency in question:</w:t>
      </w:r>
    </w:p>
    <w:p w:rsidR="00C30A65" w:rsidRPr="005E10F7" w:rsidRDefault="00C30A65" w:rsidP="00C30A65">
      <w:pPr>
        <w:ind w:left="1134"/>
      </w:pPr>
      <w:r w:rsidRPr="005E10F7">
        <w:rPr>
          <w:position w:val="-38"/>
        </w:rPr>
        <w:object w:dxaOrig="562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43.5pt" o:ole="">
            <v:imagedata r:id="rId15" o:title=""/>
          </v:shape>
          <o:OLEObject Type="Embed" ProgID="Equation.3" ShapeID="_x0000_i1025" DrawAspect="Content" ObjectID="_1445770711" r:id="rId16"/>
        </w:object>
      </w:r>
    </w:p>
    <w:p w:rsidR="00C30A65" w:rsidRPr="005E10F7" w:rsidRDefault="00C30A65" w:rsidP="00C30A65">
      <w:pPr>
        <w:ind w:left="567"/>
      </w:pPr>
      <w:proofErr w:type="gramStart"/>
      <w:r w:rsidRPr="005E10F7">
        <w:t>with</w:t>
      </w:r>
      <w:proofErr w:type="gramEnd"/>
    </w:p>
    <w:p w:rsidR="00C30A65" w:rsidRPr="005E10F7" w:rsidRDefault="00C30A65" w:rsidP="00C30A65">
      <w:pPr>
        <w:ind w:left="794"/>
      </w:pPr>
      <w:r w:rsidRPr="005E10F7">
        <w:t>PSD_</w:t>
      </w:r>
      <w:proofErr w:type="gramStart"/>
      <w:r w:rsidRPr="005E10F7">
        <w:t>N(</w:t>
      </w:r>
      <w:proofErr w:type="gramEnd"/>
      <w:r w:rsidRPr="006E2E61">
        <w:rPr>
          <w:i/>
        </w:rPr>
        <w:t>f</w:t>
      </w:r>
      <w:r w:rsidRPr="005E10F7">
        <w:t xml:space="preserve">) the narrowband measurement at frequency </w:t>
      </w:r>
      <w:r w:rsidRPr="006E2E61">
        <w:rPr>
          <w:i/>
        </w:rPr>
        <w:t>f</w:t>
      </w:r>
      <w:r w:rsidRPr="005E10F7">
        <w:t xml:space="preserve">, expressed in </w:t>
      </w:r>
      <w:proofErr w:type="spellStart"/>
      <w:r w:rsidRPr="005E10F7">
        <w:t>dBm</w:t>
      </w:r>
      <w:proofErr w:type="spellEnd"/>
      <w:r w:rsidRPr="005E10F7">
        <w:t>/Hz</w:t>
      </w:r>
    </w:p>
    <w:p w:rsidR="00C30A65" w:rsidRPr="005E10F7" w:rsidRDefault="00C30A65" w:rsidP="00C30A65">
      <w:pPr>
        <w:ind w:left="794"/>
      </w:pPr>
      <w:r w:rsidRPr="005E10F7">
        <w:t>PSD_</w:t>
      </w:r>
      <w:proofErr w:type="gramStart"/>
      <w:r w:rsidRPr="005E10F7">
        <w:t>W(</w:t>
      </w:r>
      <w:proofErr w:type="gramEnd"/>
      <w:r w:rsidRPr="006E2E61">
        <w:rPr>
          <w:i/>
        </w:rPr>
        <w:t>f</w:t>
      </w:r>
      <w:r w:rsidRPr="005E10F7">
        <w:t xml:space="preserve">) the mathematically calculated wideband average PSD at frequency </w:t>
      </w:r>
      <w:r w:rsidRPr="006E2E61">
        <w:rPr>
          <w:i/>
        </w:rPr>
        <w:t>f</w:t>
      </w:r>
      <w:r w:rsidRPr="005E10F7">
        <w:t xml:space="preserve">, expressed in </w:t>
      </w:r>
      <w:proofErr w:type="spellStart"/>
      <w:r w:rsidRPr="005E10F7">
        <w:t>dBm</w:t>
      </w:r>
      <w:proofErr w:type="spellEnd"/>
      <w:r w:rsidRPr="005E10F7">
        <w:t>/Hz</w:t>
      </w:r>
    </w:p>
    <w:p w:rsidR="00C30A65" w:rsidRPr="005E10F7" w:rsidRDefault="00C30A65" w:rsidP="00C30A65">
      <w:pPr>
        <w:ind w:left="794"/>
      </w:pPr>
    </w:p>
    <w:p w:rsidR="00C30A65" w:rsidRPr="005E10F7" w:rsidRDefault="00C30A65" w:rsidP="00C30A65">
      <w:pPr>
        <w:ind w:left="794"/>
      </w:pPr>
      <w:r w:rsidRPr="005E10F7">
        <w:t xml:space="preserve">The TXPSDM_W is defined as the maximum of the Notch Mask (NM) and a lower limit as </w:t>
      </w:r>
      <w:r>
        <w:t>defined in Table 5.1 frequency in question</w:t>
      </w:r>
      <w:r w:rsidRPr="005E10F7">
        <w:t xml:space="preserve">: </w:t>
      </w:r>
    </w:p>
    <w:p w:rsidR="00C30A65" w:rsidRPr="005E10F7" w:rsidRDefault="00C30A65" w:rsidP="00C30A65">
      <w:pPr>
        <w:ind w:left="1134"/>
      </w:pPr>
      <w:proofErr w:type="spellStart"/>
      <w:r w:rsidRPr="005E10F7">
        <w:t>TxPSDM_</w:t>
      </w:r>
      <w:proofErr w:type="gramStart"/>
      <w:r w:rsidRPr="005E10F7">
        <w:t>W</w:t>
      </w:r>
      <w:proofErr w:type="spellEnd"/>
      <w:r w:rsidRPr="005E10F7">
        <w:t>(</w:t>
      </w:r>
      <w:proofErr w:type="gramEnd"/>
      <w:r w:rsidRPr="006E2E61">
        <w:rPr>
          <w:i/>
        </w:rPr>
        <w:t>f</w:t>
      </w:r>
      <w:r w:rsidRPr="005E10F7">
        <w:t>) = max[NM(</w:t>
      </w:r>
      <w:r w:rsidRPr="006E2E61">
        <w:rPr>
          <w:i/>
        </w:rPr>
        <w:t>f</w:t>
      </w:r>
      <w:r w:rsidRPr="005E10F7">
        <w:t>), lower limit(</w:t>
      </w:r>
      <w:r w:rsidRPr="006E2E61">
        <w:rPr>
          <w:i/>
        </w:rPr>
        <w:t>f</w:t>
      </w:r>
      <w:r w:rsidRPr="005E10F7">
        <w:t>)]</w:t>
      </w:r>
    </w:p>
    <w:p w:rsidR="00C30A65" w:rsidRPr="005E10F7" w:rsidRDefault="00C30A65" w:rsidP="00C30A65">
      <w:pPr>
        <w:pStyle w:val="TableNotitle"/>
      </w:pPr>
      <w:r w:rsidRPr="005E10F7">
        <w:rPr>
          <w:lang w:val="en-US"/>
        </w:rPr>
        <w:lastRenderedPageBreak/>
        <w:t>Table 5-1 – TXPSDM_W lower limit requirements</w:t>
      </w:r>
    </w:p>
    <w:tbl>
      <w:tblPr>
        <w:tblW w:w="0" w:type="auto"/>
        <w:jc w:val="center"/>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2340"/>
      </w:tblGrid>
      <w:tr w:rsidR="00C30A65" w:rsidRPr="005E10F7" w:rsidTr="003D3832">
        <w:trPr>
          <w:jc w:val="center"/>
        </w:trPr>
        <w:tc>
          <w:tcPr>
            <w:tcW w:w="2140" w:type="dxa"/>
            <w:tcBorders>
              <w:top w:val="single" w:sz="4" w:space="0" w:color="auto"/>
              <w:left w:val="single" w:sz="4" w:space="0" w:color="auto"/>
              <w:bottom w:val="single" w:sz="4" w:space="0" w:color="auto"/>
              <w:right w:val="single" w:sz="4" w:space="0" w:color="auto"/>
            </w:tcBorders>
            <w:vAlign w:val="center"/>
            <w:hideMark/>
          </w:tcPr>
          <w:p w:rsidR="00C30A65" w:rsidRPr="005E10F7" w:rsidRDefault="00C30A65" w:rsidP="003D3832">
            <w:pPr>
              <w:keepNext/>
              <w:jc w:val="center"/>
              <w:rPr>
                <w:b/>
                <w:lang w:eastAsia="ko-KR"/>
              </w:rPr>
            </w:pPr>
            <w:r w:rsidRPr="005E10F7">
              <w:rPr>
                <w:b/>
                <w:lang w:eastAsia="ko-KR"/>
              </w:rPr>
              <w:t xml:space="preserve">Frequency             MHz                    </w:t>
            </w:r>
          </w:p>
        </w:tc>
        <w:tc>
          <w:tcPr>
            <w:tcW w:w="2340" w:type="dxa"/>
            <w:tcBorders>
              <w:top w:val="single" w:sz="4" w:space="0" w:color="auto"/>
              <w:left w:val="single" w:sz="4" w:space="0" w:color="auto"/>
              <w:bottom w:val="single" w:sz="4" w:space="0" w:color="auto"/>
              <w:right w:val="single" w:sz="4" w:space="0" w:color="auto"/>
            </w:tcBorders>
            <w:vAlign w:val="center"/>
            <w:hideMark/>
          </w:tcPr>
          <w:p w:rsidR="00C30A65" w:rsidRPr="005E10F7" w:rsidRDefault="00C30A65" w:rsidP="003D3832">
            <w:pPr>
              <w:pStyle w:val="Tablehead"/>
              <w:rPr>
                <w:szCs w:val="22"/>
                <w:lang w:eastAsia="ko-KR"/>
              </w:rPr>
            </w:pPr>
            <w:r w:rsidRPr="005E10F7">
              <w:rPr>
                <w:szCs w:val="22"/>
                <w:lang w:eastAsia="ko-KR"/>
              </w:rPr>
              <w:t>TXPSDM_W</w:t>
            </w:r>
          </w:p>
          <w:p w:rsidR="00C30A65" w:rsidRPr="005E10F7" w:rsidRDefault="00C30A65" w:rsidP="003D3832">
            <w:pPr>
              <w:pStyle w:val="Tablehead"/>
              <w:rPr>
                <w:szCs w:val="22"/>
                <w:lang w:eastAsia="ko-KR"/>
              </w:rPr>
            </w:pPr>
            <w:r w:rsidRPr="005E10F7">
              <w:rPr>
                <w:szCs w:val="22"/>
                <w:lang w:eastAsia="ko-KR"/>
              </w:rPr>
              <w:t>lower limit [</w:t>
            </w:r>
            <w:proofErr w:type="spellStart"/>
            <w:r w:rsidRPr="005E10F7">
              <w:rPr>
                <w:szCs w:val="22"/>
                <w:lang w:eastAsia="ko-KR"/>
              </w:rPr>
              <w:t>dBm</w:t>
            </w:r>
            <w:proofErr w:type="spellEnd"/>
            <w:r w:rsidRPr="005E10F7">
              <w:rPr>
                <w:szCs w:val="22"/>
                <w:lang w:eastAsia="ko-KR"/>
              </w:rPr>
              <w:t>/Hz]</w:t>
            </w:r>
          </w:p>
        </w:tc>
      </w:tr>
      <w:tr w:rsidR="00C30A65" w:rsidRPr="005E10F7" w:rsidTr="003D3832">
        <w:trPr>
          <w:jc w:val="center"/>
        </w:trPr>
        <w:tc>
          <w:tcPr>
            <w:tcW w:w="2140" w:type="dxa"/>
            <w:tcBorders>
              <w:top w:val="single" w:sz="4" w:space="0" w:color="auto"/>
              <w:left w:val="single" w:sz="4" w:space="0" w:color="auto"/>
              <w:bottom w:val="single" w:sz="4" w:space="0" w:color="auto"/>
              <w:right w:val="single" w:sz="4" w:space="0" w:color="auto"/>
            </w:tcBorders>
            <w:vAlign w:val="center"/>
            <w:hideMark/>
          </w:tcPr>
          <w:p w:rsidR="00C30A65" w:rsidRPr="005E10F7" w:rsidRDefault="00C30A65" w:rsidP="003D3832">
            <w:pPr>
              <w:pStyle w:val="Tablehead"/>
              <w:rPr>
                <w:b w:val="0"/>
                <w:lang w:eastAsia="ko-KR"/>
              </w:rPr>
            </w:pPr>
            <w:r w:rsidRPr="005E10F7">
              <w:rPr>
                <w:b w:val="0"/>
                <w:lang w:eastAsia="ko-KR"/>
              </w:rPr>
              <w:t>2.0 - 4.0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C30A65" w:rsidRPr="005E10F7" w:rsidRDefault="00C30A65" w:rsidP="003D3832">
            <w:pPr>
              <w:pStyle w:val="Tablehead"/>
              <w:rPr>
                <w:b w:val="0"/>
                <w:lang w:eastAsia="ko-KR"/>
              </w:rPr>
            </w:pPr>
            <w:r w:rsidRPr="005E10F7">
              <w:rPr>
                <w:b w:val="0"/>
                <w:lang w:eastAsia="ko-KR"/>
              </w:rPr>
              <w:t>-100</w:t>
            </w:r>
          </w:p>
        </w:tc>
      </w:tr>
      <w:tr w:rsidR="00C30A65" w:rsidRPr="005E10F7" w:rsidTr="003D3832">
        <w:trPr>
          <w:jc w:val="center"/>
        </w:trPr>
        <w:tc>
          <w:tcPr>
            <w:tcW w:w="2140" w:type="dxa"/>
            <w:tcBorders>
              <w:top w:val="single" w:sz="4" w:space="0" w:color="auto"/>
              <w:left w:val="single" w:sz="4" w:space="0" w:color="auto"/>
              <w:bottom w:val="single" w:sz="4" w:space="0" w:color="auto"/>
              <w:right w:val="single" w:sz="4" w:space="0" w:color="auto"/>
            </w:tcBorders>
            <w:vAlign w:val="center"/>
            <w:hideMark/>
          </w:tcPr>
          <w:p w:rsidR="00C30A65" w:rsidRPr="005E10F7" w:rsidRDefault="00C30A65" w:rsidP="003D3832">
            <w:pPr>
              <w:pStyle w:val="Tablehead"/>
              <w:rPr>
                <w:b w:val="0"/>
                <w:lang w:eastAsia="ko-KR"/>
              </w:rPr>
            </w:pPr>
            <w:r w:rsidRPr="005E10F7">
              <w:rPr>
                <w:b w:val="0"/>
                <w:lang w:eastAsia="ko-KR"/>
              </w:rPr>
              <w:t xml:space="preserve">4.0 </w:t>
            </w:r>
            <w:r w:rsidRPr="005E10F7">
              <w:rPr>
                <w:b w:val="0"/>
                <w:lang w:eastAsia="ko-KR"/>
              </w:rPr>
              <w:noBreakHyphen/>
              <w:t xml:space="preserve"> 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C30A65" w:rsidRPr="005E10F7" w:rsidRDefault="00C30A65" w:rsidP="003D3832">
            <w:pPr>
              <w:pStyle w:val="Tablehead"/>
              <w:rPr>
                <w:b w:val="0"/>
                <w:lang w:eastAsia="ko-KR"/>
              </w:rPr>
            </w:pPr>
            <w:r w:rsidRPr="005E10F7">
              <w:rPr>
                <w:b w:val="0"/>
                <w:lang w:eastAsia="ko-KR"/>
              </w:rPr>
              <w:t>-110</w:t>
            </w:r>
          </w:p>
        </w:tc>
      </w:tr>
      <w:tr w:rsidR="00C30A65" w:rsidRPr="005E10F7" w:rsidTr="003D3832">
        <w:trPr>
          <w:jc w:val="center"/>
        </w:trPr>
        <w:tc>
          <w:tcPr>
            <w:tcW w:w="2140" w:type="dxa"/>
            <w:tcBorders>
              <w:top w:val="single" w:sz="4" w:space="0" w:color="auto"/>
              <w:left w:val="single" w:sz="4" w:space="0" w:color="auto"/>
              <w:bottom w:val="single" w:sz="4" w:space="0" w:color="auto"/>
              <w:right w:val="single" w:sz="4" w:space="0" w:color="auto"/>
            </w:tcBorders>
            <w:vAlign w:val="center"/>
            <w:hideMark/>
          </w:tcPr>
          <w:p w:rsidR="00C30A65" w:rsidRPr="005E10F7" w:rsidRDefault="00C30A65" w:rsidP="003D3832">
            <w:pPr>
              <w:pStyle w:val="Tablehead"/>
              <w:rPr>
                <w:b w:val="0"/>
                <w:lang w:eastAsia="ko-KR"/>
              </w:rPr>
            </w:pPr>
            <w:r w:rsidRPr="005E10F7">
              <w:rPr>
                <w:b w:val="0"/>
                <w:lang w:eastAsia="ko-KR"/>
              </w:rPr>
              <w:t>&gt; 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C30A65" w:rsidRPr="005E10F7" w:rsidRDefault="00C30A65" w:rsidP="003D3832">
            <w:pPr>
              <w:pStyle w:val="Tablehead"/>
              <w:rPr>
                <w:b w:val="0"/>
                <w:lang w:eastAsia="ko-KR"/>
              </w:rPr>
            </w:pPr>
            <w:r w:rsidRPr="005E10F7">
              <w:rPr>
                <w:b w:val="0"/>
                <w:lang w:eastAsia="ko-KR"/>
              </w:rPr>
              <w:t>-112</w:t>
            </w:r>
          </w:p>
        </w:tc>
      </w:tr>
    </w:tbl>
    <w:p w:rsidR="00C30A65" w:rsidRPr="005E10F7" w:rsidRDefault="00C30A65" w:rsidP="00C30A65">
      <w:r w:rsidRPr="005E10F7">
        <w:t xml:space="preserve"> </w:t>
      </w:r>
    </w:p>
    <w:p w:rsidR="00C30A65" w:rsidRPr="005E10F7" w:rsidRDefault="00C30A65" w:rsidP="00C30A65">
      <w:r w:rsidRPr="005E10F7">
        <w:t>For notched ban</w:t>
      </w:r>
      <w:r>
        <w:t>ds that are narrower than 1 MHz:</w:t>
      </w:r>
      <w:r w:rsidRPr="005E10F7">
        <w:t xml:space="preserve"> </w:t>
      </w:r>
    </w:p>
    <w:p w:rsidR="00C30A65" w:rsidRPr="005E10F7" w:rsidRDefault="00C30A65" w:rsidP="00C30A65">
      <w:pPr>
        <w:pStyle w:val="ListParagraph"/>
        <w:numPr>
          <w:ilvl w:val="0"/>
          <w:numId w:val="18"/>
        </w:numPr>
      </w:pPr>
      <w:proofErr w:type="gramStart"/>
      <w:r w:rsidRPr="005E10F7">
        <w:t>the</w:t>
      </w:r>
      <w:proofErr w:type="gramEnd"/>
      <w:r w:rsidRPr="005E10F7">
        <w:t xml:space="preserve"> transmit PSD is </w:t>
      </w:r>
      <w:r>
        <w:t xml:space="preserve">only </w:t>
      </w:r>
      <w:r w:rsidRPr="005E10F7">
        <w:t xml:space="preserve">required </w:t>
      </w:r>
      <w:r>
        <w:t>to satisfy the narrowband transmit PSD m</w:t>
      </w:r>
      <w:r w:rsidRPr="005E10F7">
        <w:t xml:space="preserve">ask </w:t>
      </w:r>
      <w:proofErr w:type="spellStart"/>
      <w:r w:rsidRPr="005E10F7">
        <w:t>TxPSDM_N</w:t>
      </w:r>
      <w:proofErr w:type="spellEnd"/>
      <w:r w:rsidRPr="005E10F7">
        <w:t>, and this for frequencies (</w:t>
      </w:r>
      <w:proofErr w:type="spellStart"/>
      <w:r w:rsidRPr="005E10F7">
        <w:t>SC</w:t>
      </w:r>
      <w:r w:rsidRPr="005E10F7">
        <w:rPr>
          <w:vertAlign w:val="subscript"/>
        </w:rPr>
        <w:t>start</w:t>
      </w:r>
      <w:r>
        <w:t>×</w:t>
      </w:r>
      <w:r w:rsidRPr="005E10F7">
        <w:rPr>
          <w:i/>
        </w:rPr>
        <w:t>F</w:t>
      </w:r>
      <w:r w:rsidRPr="005E10F7">
        <w:rPr>
          <w:i/>
          <w:vertAlign w:val="subscript"/>
        </w:rPr>
        <w:t>SC</w:t>
      </w:r>
      <w:proofErr w:type="spellEnd"/>
      <w:r w:rsidRPr="005E10F7">
        <w:t xml:space="preserve"> + ½</w:t>
      </w:r>
      <w:r>
        <w:t>×</w:t>
      </w:r>
      <w:r w:rsidRPr="005E10F7">
        <w:t>MBW)</w:t>
      </w:r>
      <w:r>
        <w:t xml:space="preserve"> </w:t>
      </w:r>
      <w:r w:rsidRPr="005E10F7">
        <w:t xml:space="preserve">&lt; </w:t>
      </w:r>
      <w:r w:rsidRPr="006E2E61">
        <w:rPr>
          <w:i/>
        </w:rPr>
        <w:t xml:space="preserve">f </w:t>
      </w:r>
      <w:r w:rsidRPr="005E10F7">
        <w:t>&lt;</w:t>
      </w:r>
      <w:r>
        <w:t xml:space="preserve"> </w:t>
      </w:r>
      <w:r w:rsidRPr="005E10F7">
        <w:t xml:space="preserve">( </w:t>
      </w:r>
      <w:proofErr w:type="spellStart"/>
      <w:r w:rsidRPr="005E10F7">
        <w:t>SC</w:t>
      </w:r>
      <w:r w:rsidRPr="005E10F7">
        <w:rPr>
          <w:vertAlign w:val="subscript"/>
        </w:rPr>
        <w:t>end</w:t>
      </w:r>
      <w:r>
        <w:t>×</w:t>
      </w:r>
      <w:r w:rsidRPr="005E10F7">
        <w:rPr>
          <w:i/>
        </w:rPr>
        <w:t>F</w:t>
      </w:r>
      <w:r w:rsidRPr="005E10F7">
        <w:rPr>
          <w:i/>
          <w:vertAlign w:val="subscript"/>
        </w:rPr>
        <w:t>SC</w:t>
      </w:r>
      <w:proofErr w:type="spellEnd"/>
      <w:r w:rsidRPr="005E10F7">
        <w:rPr>
          <w:i/>
          <w:vertAlign w:val="subscript"/>
        </w:rPr>
        <w:t xml:space="preserve"> </w:t>
      </w:r>
      <w:r w:rsidRPr="005E10F7">
        <w:t xml:space="preserve"> </w:t>
      </w:r>
      <w:r>
        <w:t>−</w:t>
      </w:r>
      <w:r w:rsidRPr="005E10F7">
        <w:t xml:space="preserve"> ½</w:t>
      </w:r>
      <w:r>
        <w:t>×</w:t>
      </w:r>
      <w:r w:rsidRPr="005E10F7">
        <w:t xml:space="preserve">MBW). </w:t>
      </w:r>
    </w:p>
    <w:p w:rsidR="00C30A65" w:rsidRPr="005E10F7" w:rsidRDefault="00C30A65" w:rsidP="00C30A65">
      <w:r w:rsidRPr="005E10F7">
        <w:t>For notche</w:t>
      </w:r>
      <w:r>
        <w:t>d bands that are 1 MHz or wider:</w:t>
      </w:r>
      <w:r w:rsidRPr="005E10F7">
        <w:t xml:space="preserve"> </w:t>
      </w:r>
    </w:p>
    <w:p w:rsidR="00C30A65" w:rsidRPr="005E10F7" w:rsidRDefault="00C30A65" w:rsidP="00C30A65">
      <w:pPr>
        <w:pStyle w:val="ListParagraph"/>
        <w:numPr>
          <w:ilvl w:val="0"/>
          <w:numId w:val="18"/>
        </w:numPr>
      </w:pPr>
      <w:r w:rsidRPr="005E10F7">
        <w:t>the transmit PSD is requ</w:t>
      </w:r>
      <w:r>
        <w:t>ired to satisfy the narrowband transmit PSD m</w:t>
      </w:r>
      <w:r w:rsidRPr="005E10F7">
        <w:t xml:space="preserve">ask </w:t>
      </w:r>
      <w:proofErr w:type="spellStart"/>
      <w:r w:rsidRPr="005E10F7">
        <w:t>TxPSDM_N</w:t>
      </w:r>
      <w:proofErr w:type="spellEnd"/>
      <w:r w:rsidRPr="005E10F7">
        <w:t>,  for frequencies (</w:t>
      </w:r>
      <w:proofErr w:type="spellStart"/>
      <w:r w:rsidRPr="005E10F7">
        <w:t>SC</w:t>
      </w:r>
      <w:r w:rsidRPr="005E10F7">
        <w:rPr>
          <w:vertAlign w:val="subscript"/>
        </w:rPr>
        <w:t>start</w:t>
      </w:r>
      <w:r>
        <w:t>×</w:t>
      </w:r>
      <w:r w:rsidRPr="005E10F7">
        <w:rPr>
          <w:i/>
        </w:rPr>
        <w:t>F</w:t>
      </w:r>
      <w:r w:rsidRPr="005E10F7">
        <w:rPr>
          <w:i/>
          <w:vertAlign w:val="subscript"/>
        </w:rPr>
        <w:t>SC</w:t>
      </w:r>
      <w:proofErr w:type="spellEnd"/>
      <w:r w:rsidRPr="005E10F7">
        <w:t xml:space="preserve"> + ½</w:t>
      </w:r>
      <w:r>
        <w:t>×</w:t>
      </w:r>
      <w:r w:rsidRPr="005E10F7">
        <w:t>MBW)</w:t>
      </w:r>
      <w:r>
        <w:t xml:space="preserve"> </w:t>
      </w:r>
      <w:r w:rsidRPr="005E10F7">
        <w:t xml:space="preserve">&lt; </w:t>
      </w:r>
      <w:r w:rsidRPr="006E2E61">
        <w:rPr>
          <w:i/>
        </w:rPr>
        <w:t>f</w:t>
      </w:r>
      <w:r w:rsidRPr="005E10F7">
        <w:t xml:space="preserve"> &lt;</w:t>
      </w:r>
      <w:r>
        <w:t xml:space="preserve"> </w:t>
      </w:r>
      <w:r w:rsidRPr="005E10F7">
        <w:t xml:space="preserve">( </w:t>
      </w:r>
      <w:proofErr w:type="spellStart"/>
      <w:r w:rsidRPr="005E10F7">
        <w:t>SC</w:t>
      </w:r>
      <w:r w:rsidRPr="005E10F7">
        <w:rPr>
          <w:vertAlign w:val="subscript"/>
        </w:rPr>
        <w:t>end</w:t>
      </w:r>
      <w:r>
        <w:t>×</w:t>
      </w:r>
      <w:r w:rsidRPr="005E10F7">
        <w:rPr>
          <w:i/>
        </w:rPr>
        <w:t>F</w:t>
      </w:r>
      <w:r w:rsidRPr="005E10F7">
        <w:rPr>
          <w:i/>
          <w:vertAlign w:val="subscript"/>
        </w:rPr>
        <w:t>SC</w:t>
      </w:r>
      <w:proofErr w:type="spellEnd"/>
      <w:r w:rsidRPr="005E10F7">
        <w:rPr>
          <w:i/>
          <w:vertAlign w:val="subscript"/>
        </w:rPr>
        <w:t xml:space="preserve"> </w:t>
      </w:r>
      <w:r w:rsidRPr="005E10F7">
        <w:t xml:space="preserve"> </w:t>
      </w:r>
      <w:r>
        <w:t>−</w:t>
      </w:r>
      <w:r w:rsidRPr="005E10F7">
        <w:t xml:space="preserve"> ½</w:t>
      </w:r>
      <w:r>
        <w:t>×</w:t>
      </w:r>
      <w:r w:rsidRPr="005E10F7">
        <w:t>MBW), and</w:t>
      </w:r>
    </w:p>
    <w:p w:rsidR="00C30A65" w:rsidRPr="005E10F7" w:rsidRDefault="00C30A65" w:rsidP="00C30A65">
      <w:pPr>
        <w:pStyle w:val="ListParagraph"/>
      </w:pPr>
    </w:p>
    <w:p w:rsidR="00C30A65" w:rsidRPr="005E10F7" w:rsidRDefault="00C30A65" w:rsidP="00C30A65">
      <w:pPr>
        <w:pStyle w:val="ListParagraph"/>
        <w:numPr>
          <w:ilvl w:val="0"/>
          <w:numId w:val="18"/>
        </w:numPr>
      </w:pPr>
      <w:proofErr w:type="gramStart"/>
      <w:r w:rsidRPr="005E10F7">
        <w:t>the</w:t>
      </w:r>
      <w:proofErr w:type="gramEnd"/>
      <w:r w:rsidRPr="005E10F7">
        <w:t xml:space="preserve"> wideband average transmit PSD (PSD_W(f)) is re</w:t>
      </w:r>
      <w:r>
        <w:t>quired to satisfy the wideband transmit PSD m</w:t>
      </w:r>
      <w:r w:rsidRPr="005E10F7">
        <w:t xml:space="preserve">ask </w:t>
      </w:r>
      <w:proofErr w:type="spellStart"/>
      <w:r w:rsidRPr="005E10F7">
        <w:t>TxPSDM_W</w:t>
      </w:r>
      <w:proofErr w:type="spellEnd"/>
      <w:r w:rsidRPr="005E10F7">
        <w:t xml:space="preserve">  for frequencies (</w:t>
      </w:r>
      <w:proofErr w:type="spellStart"/>
      <w:r w:rsidRPr="005E10F7">
        <w:t>SCstart</w:t>
      </w:r>
      <w:r>
        <w:t>×</w:t>
      </w:r>
      <w:r w:rsidRPr="005E10F7">
        <w:t>FSC</w:t>
      </w:r>
      <w:proofErr w:type="spellEnd"/>
      <w:r w:rsidRPr="005E10F7">
        <w:t xml:space="preserve"> + ½</w:t>
      </w:r>
      <w:r>
        <w:t>×</w:t>
      </w:r>
      <w:r w:rsidRPr="005E10F7">
        <w:t>MBW +</w:t>
      </w:r>
      <w:r>
        <w:t xml:space="preserve"> </w:t>
      </w:r>
      <w:r w:rsidRPr="005E10F7">
        <w:t xml:space="preserve">0.5MHz) &lt; </w:t>
      </w:r>
      <w:r w:rsidRPr="006E2E61">
        <w:rPr>
          <w:i/>
        </w:rPr>
        <w:t>f</w:t>
      </w:r>
      <w:r>
        <w:t xml:space="preserve"> &lt; (</w:t>
      </w:r>
      <w:proofErr w:type="spellStart"/>
      <w:r w:rsidRPr="005E10F7">
        <w:t>SCend</w:t>
      </w:r>
      <w:r>
        <w:t>×</w:t>
      </w:r>
      <w:r w:rsidRPr="005E10F7">
        <w:t>FSC</w:t>
      </w:r>
      <w:proofErr w:type="spellEnd"/>
      <w:r w:rsidRPr="005E10F7">
        <w:t xml:space="preserve">  </w:t>
      </w:r>
      <w:r>
        <w:t xml:space="preserve">− </w:t>
      </w:r>
      <w:r w:rsidRPr="005E10F7">
        <w:t>½</w:t>
      </w:r>
      <w:r>
        <w:t>×</w:t>
      </w:r>
      <w:r w:rsidRPr="005E10F7">
        <w:t xml:space="preserve">MBW </w:t>
      </w:r>
      <w:r>
        <w:t xml:space="preserve">− </w:t>
      </w:r>
      <w:r w:rsidRPr="005E10F7">
        <w:t>0.5MHz). The mask value to be compared against shall be the maximum value the mask takes within the 1 MHz window [</w:t>
      </w:r>
      <w:r w:rsidRPr="00FC6D3C">
        <w:rPr>
          <w:i/>
        </w:rPr>
        <w:t xml:space="preserve">f </w:t>
      </w:r>
      <w:r w:rsidRPr="005E10F7">
        <w:t>–</w:t>
      </w:r>
      <w:r>
        <w:t xml:space="preserve"> </w:t>
      </w:r>
      <w:r w:rsidRPr="005E10F7">
        <w:t xml:space="preserve">0.5 MHz, </w:t>
      </w:r>
      <w:r w:rsidRPr="00FC6D3C">
        <w:rPr>
          <w:i/>
        </w:rPr>
        <w:t>f</w:t>
      </w:r>
      <w:r w:rsidRPr="005E10F7">
        <w:t xml:space="preserve"> + 0.5 MHz].</w:t>
      </w:r>
    </w:p>
    <w:p w:rsidR="00C30A65" w:rsidRPr="005E10F7" w:rsidRDefault="00C30A65" w:rsidP="00C30A65">
      <w:r w:rsidRPr="005E10F7">
        <w:t>Appendix I of this Recommendation details the frequencies for the international amateur radio bands. Transceivers should be capable of being configured to notch amateur radio bands individually based on the needed protection.</w:t>
      </w:r>
    </w:p>
    <w:p w:rsidR="00C30A65" w:rsidRPr="005E10F7" w:rsidRDefault="00C30A65" w:rsidP="00C30A65">
      <w:r w:rsidRPr="005E10F7">
        <w:t xml:space="preserve">Appendix II of this Recommendation details the frequencies for the broadcast radio services (FM and DAB). </w:t>
      </w:r>
    </w:p>
    <w:p w:rsidR="00C30A65" w:rsidRPr="005E10F7" w:rsidRDefault="00C30A65" w:rsidP="00C30A65">
      <w:r w:rsidRPr="005E10F7">
        <w:t>FM, DAB and other radio services will require different notch configurations depending on the characteristics of the specific radio service.</w:t>
      </w:r>
    </w:p>
    <w:p w:rsidR="00C30A65" w:rsidRPr="005E10F7" w:rsidRDefault="00C30A65" w:rsidP="00C30A65">
      <w:pPr>
        <w:pStyle w:val="Note"/>
      </w:pPr>
      <w:r w:rsidRPr="005E10F7">
        <w:t>Note: NM may be used to notch individual broadcast stations depending on spectrum utilization.</w:t>
      </w:r>
    </w:p>
    <w:p w:rsidR="00C30A65" w:rsidRPr="005E10F7" w:rsidRDefault="00C30A65" w:rsidP="00C30A65">
      <w:pPr>
        <w:pStyle w:val="Heading2"/>
      </w:pPr>
      <w:bookmarkStart w:id="29" w:name="_Toc361338936"/>
      <w:r w:rsidRPr="005E10F7">
        <w:t>5.6</w:t>
      </w:r>
      <w:r w:rsidRPr="005E10F7">
        <w:tab/>
        <w:t>Low frequency edge stop-band masking</w:t>
      </w:r>
      <w:bookmarkEnd w:id="29"/>
      <w:r w:rsidRPr="005E10F7">
        <w:t xml:space="preserve"> </w:t>
      </w:r>
    </w:p>
    <w:p w:rsidR="00C30A65" w:rsidRPr="005E10F7" w:rsidRDefault="00C30A65" w:rsidP="00C30A65">
      <w:pPr>
        <w:widowControl w:val="0"/>
        <w:rPr>
          <w:rFonts w:asciiTheme="majorBidi" w:hAnsiTheme="majorBidi" w:cstheme="majorBidi"/>
        </w:rPr>
      </w:pPr>
      <w:r w:rsidRPr="005E10F7">
        <w:rPr>
          <w:rFonts w:asciiTheme="majorBidi" w:hAnsiTheme="majorBidi" w:cstheme="majorBidi"/>
        </w:rPr>
        <w:t xml:space="preserve">For the low frequency edge stop-band mask </w:t>
      </w:r>
      <w:r>
        <w:rPr>
          <w:rFonts w:asciiTheme="majorBidi" w:hAnsiTheme="majorBidi" w:cstheme="majorBidi"/>
        </w:rPr>
        <w:t xml:space="preserve">(LESM), </w:t>
      </w:r>
      <w:r w:rsidRPr="005E10F7">
        <w:rPr>
          <w:rFonts w:asciiTheme="majorBidi" w:hAnsiTheme="majorBidi" w:cstheme="majorBidi"/>
        </w:rPr>
        <w:t>two PSD masks are defined:</w:t>
      </w:r>
    </w:p>
    <w:p w:rsidR="00C30A65" w:rsidRPr="005E10F7" w:rsidRDefault="00C30A65" w:rsidP="00C30A65">
      <w:pPr>
        <w:pStyle w:val="ListParagraph"/>
        <w:widowControl w:val="0"/>
        <w:numPr>
          <w:ilvl w:val="0"/>
          <w:numId w:val="19"/>
        </w:numPr>
        <w:rPr>
          <w:rFonts w:asciiTheme="majorBidi" w:hAnsiTheme="majorBidi" w:cstheme="majorBidi"/>
        </w:rPr>
      </w:pPr>
      <w:r w:rsidRPr="005E10F7">
        <w:rPr>
          <w:rFonts w:asciiTheme="majorBidi" w:hAnsiTheme="majorBidi" w:cstheme="majorBidi"/>
        </w:rPr>
        <w:t>Narrowband Transmit PSD Mask (TXPSDM_N)</w:t>
      </w:r>
    </w:p>
    <w:p w:rsidR="00C30A65" w:rsidRPr="005E10F7" w:rsidRDefault="00C30A65" w:rsidP="00C30A65">
      <w:pPr>
        <w:widowControl w:val="0"/>
        <w:ind w:left="567"/>
        <w:rPr>
          <w:rFonts w:asciiTheme="majorBidi" w:hAnsiTheme="majorBidi" w:cstheme="majorBidi"/>
        </w:rPr>
      </w:pPr>
      <w:r w:rsidRPr="005E10F7">
        <w:rPr>
          <w:rFonts w:asciiTheme="majorBidi" w:hAnsiTheme="majorBidi" w:cstheme="majorBidi"/>
        </w:rPr>
        <w:t>This mask is defined to verify the PSD using a</w:t>
      </w:r>
      <w:r>
        <w:rPr>
          <w:rFonts w:asciiTheme="majorBidi" w:hAnsiTheme="majorBidi" w:cstheme="majorBidi"/>
        </w:rPr>
        <w:t>n</w:t>
      </w:r>
      <w:r w:rsidRPr="005E10F7">
        <w:rPr>
          <w:rFonts w:asciiTheme="majorBidi" w:hAnsiTheme="majorBidi" w:cstheme="majorBidi"/>
        </w:rPr>
        <w:t xml:space="preserve"> MBW=10 kHz </w:t>
      </w:r>
      <w:proofErr w:type="spellStart"/>
      <w:r w:rsidRPr="005E10F7">
        <w:rPr>
          <w:rFonts w:asciiTheme="majorBidi" w:hAnsiTheme="majorBidi" w:cstheme="majorBidi"/>
        </w:rPr>
        <w:t>cent</w:t>
      </w:r>
      <w:r>
        <w:rPr>
          <w:rFonts w:asciiTheme="majorBidi" w:hAnsiTheme="majorBidi" w:cstheme="majorBidi"/>
        </w:rPr>
        <w:t>e</w:t>
      </w:r>
      <w:r w:rsidRPr="005E10F7">
        <w:rPr>
          <w:rFonts w:asciiTheme="majorBidi" w:hAnsiTheme="majorBidi" w:cstheme="majorBidi"/>
        </w:rPr>
        <w:t>red</w:t>
      </w:r>
      <w:proofErr w:type="spellEnd"/>
      <w:r w:rsidRPr="005E10F7">
        <w:rPr>
          <w:rFonts w:asciiTheme="majorBidi" w:hAnsiTheme="majorBidi" w:cstheme="majorBidi"/>
        </w:rPr>
        <w:t xml:space="preserve"> on the frequency in question.</w:t>
      </w:r>
    </w:p>
    <w:p w:rsidR="00C30A65" w:rsidRPr="005E10F7" w:rsidRDefault="00C30A65" w:rsidP="00C30A65">
      <w:pPr>
        <w:widowControl w:val="0"/>
        <w:ind w:left="567"/>
        <w:rPr>
          <w:rFonts w:asciiTheme="majorBidi" w:hAnsiTheme="majorBidi" w:cstheme="majorBidi"/>
        </w:rPr>
      </w:pPr>
      <w:r w:rsidRPr="005E10F7">
        <w:rPr>
          <w:rFonts w:asciiTheme="majorBidi" w:hAnsiTheme="majorBidi" w:cstheme="majorBidi"/>
        </w:rPr>
        <w:t>The TXPSDM_N i</w:t>
      </w:r>
      <w:r>
        <w:rPr>
          <w:rFonts w:asciiTheme="majorBidi" w:hAnsiTheme="majorBidi" w:cstheme="majorBidi"/>
        </w:rPr>
        <w:t>s defined as shown in Figure 5-1</w:t>
      </w:r>
      <w:r w:rsidRPr="005E10F7">
        <w:rPr>
          <w:rFonts w:asciiTheme="majorBidi" w:hAnsiTheme="majorBidi" w:cstheme="majorBidi"/>
        </w:rPr>
        <w:t>, where PSD</w:t>
      </w:r>
      <w:r w:rsidRPr="005E10F7">
        <w:rPr>
          <w:rFonts w:asciiTheme="majorBidi" w:hAnsiTheme="majorBidi" w:cstheme="majorBidi"/>
          <w:vertAlign w:val="subscript"/>
        </w:rPr>
        <w:t>tr3</w:t>
      </w:r>
      <w:r w:rsidRPr="005E10F7">
        <w:rPr>
          <w:rFonts w:asciiTheme="majorBidi" w:hAnsiTheme="majorBidi" w:cstheme="majorBidi"/>
        </w:rPr>
        <w:t xml:space="preserve"> is the value of the in-band LPM at frequency </w:t>
      </w:r>
      <w:r w:rsidRPr="005E10F7">
        <w:rPr>
          <w:rFonts w:asciiTheme="majorBidi" w:hAnsiTheme="majorBidi" w:cstheme="majorBidi"/>
          <w:i/>
        </w:rPr>
        <w:t>f</w:t>
      </w:r>
      <w:r w:rsidRPr="00241E68">
        <w:rPr>
          <w:rFonts w:asciiTheme="majorBidi" w:hAnsiTheme="majorBidi" w:cstheme="majorBidi"/>
          <w:i/>
          <w:vertAlign w:val="subscript"/>
        </w:rPr>
        <w:t>tr3</w:t>
      </w:r>
      <w:r w:rsidRPr="005E10F7">
        <w:rPr>
          <w:rFonts w:asciiTheme="majorBidi" w:hAnsiTheme="majorBidi" w:cstheme="majorBidi"/>
        </w:rPr>
        <w:t>. The mask values in the transition band are obtained using linear interpolation in dB over a linear frequency scale.</w:t>
      </w:r>
    </w:p>
    <w:p w:rsidR="00C30A65" w:rsidRPr="005E10F7" w:rsidRDefault="00C30A65" w:rsidP="00C30A65">
      <w:pPr>
        <w:widowControl w:val="0"/>
        <w:ind w:left="567"/>
        <w:rPr>
          <w:rFonts w:asciiTheme="majorBidi" w:hAnsiTheme="majorBidi" w:cstheme="majorBidi"/>
        </w:rPr>
      </w:pPr>
      <w:r w:rsidRPr="005E10F7">
        <w:t xml:space="preserve">The transmit PSD is required to satisfy the narrowband </w:t>
      </w:r>
      <w:r w:rsidRPr="005E10F7">
        <w:rPr>
          <w:rFonts w:asciiTheme="majorBidi" w:hAnsiTheme="majorBidi" w:cstheme="majorBidi"/>
        </w:rPr>
        <w:t xml:space="preserve">Transmit PSD Mask </w:t>
      </w:r>
      <w:proofErr w:type="spellStart"/>
      <w:r w:rsidRPr="005E10F7">
        <w:t>TxPSDM_N</w:t>
      </w:r>
      <w:proofErr w:type="spellEnd"/>
      <w:r w:rsidRPr="005E10F7">
        <w:t>, for frequencies (0.5 MHz + ½</w:t>
      </w:r>
      <w:r>
        <w:t>×</w:t>
      </w:r>
      <w:r w:rsidRPr="005E10F7">
        <w:t>MBW)</w:t>
      </w:r>
      <w:r>
        <w:t xml:space="preserve"> </w:t>
      </w:r>
      <w:r w:rsidRPr="005E10F7">
        <w:t xml:space="preserve">&lt; </w:t>
      </w:r>
      <w:r w:rsidRPr="00241E68">
        <w:rPr>
          <w:i/>
        </w:rPr>
        <w:t>f</w:t>
      </w:r>
      <w:r w:rsidRPr="005E10F7">
        <w:t xml:space="preserve"> &lt; </w:t>
      </w:r>
      <w:proofErr w:type="gramStart"/>
      <w:r w:rsidRPr="005E10F7">
        <w:t>(</w:t>
      </w:r>
      <w:r w:rsidRPr="005E10F7">
        <w:rPr>
          <w:rFonts w:asciiTheme="majorBidi" w:hAnsiTheme="majorBidi" w:cstheme="majorBidi"/>
          <w:i/>
        </w:rPr>
        <w:t xml:space="preserve"> f</w:t>
      </w:r>
      <w:r w:rsidRPr="005E10F7">
        <w:rPr>
          <w:rFonts w:asciiTheme="majorBidi" w:hAnsiTheme="majorBidi" w:cstheme="majorBidi"/>
          <w:i/>
          <w:vertAlign w:val="subscript"/>
        </w:rPr>
        <w:t>tr</w:t>
      </w:r>
      <w:r w:rsidRPr="005E10F7">
        <w:rPr>
          <w:rFonts w:asciiTheme="majorBidi" w:hAnsiTheme="majorBidi" w:cstheme="majorBidi"/>
          <w:vertAlign w:val="subscript"/>
        </w:rPr>
        <w:t>3</w:t>
      </w:r>
      <w:proofErr w:type="gramEnd"/>
      <w:r w:rsidRPr="005E10F7">
        <w:t xml:space="preserve"> </w:t>
      </w:r>
      <w:r>
        <w:t>−</w:t>
      </w:r>
      <w:r w:rsidRPr="005E10F7">
        <w:t xml:space="preserve"> ½</w:t>
      </w:r>
      <w:r>
        <w:t>×</w:t>
      </w:r>
      <w:r w:rsidRPr="005E10F7">
        <w:t>MBW)</w:t>
      </w:r>
      <w:r w:rsidRPr="005E10F7">
        <w:rPr>
          <w:rFonts w:asciiTheme="majorBidi" w:hAnsiTheme="majorBidi" w:cstheme="majorBidi"/>
        </w:rPr>
        <w:t xml:space="preserve">, where </w:t>
      </w:r>
      <w:r w:rsidRPr="005E10F7">
        <w:rPr>
          <w:rFonts w:asciiTheme="majorBidi" w:hAnsiTheme="majorBidi" w:cstheme="majorBidi"/>
          <w:i/>
        </w:rPr>
        <w:t>f</w:t>
      </w:r>
      <w:r w:rsidRPr="005E10F7">
        <w:rPr>
          <w:rFonts w:asciiTheme="majorBidi" w:hAnsiTheme="majorBidi" w:cstheme="majorBidi"/>
          <w:i/>
          <w:vertAlign w:val="subscript"/>
        </w:rPr>
        <w:t>tr</w:t>
      </w:r>
      <w:r w:rsidRPr="005E10F7">
        <w:rPr>
          <w:rFonts w:asciiTheme="majorBidi" w:hAnsiTheme="majorBidi" w:cstheme="majorBidi"/>
          <w:vertAlign w:val="subscript"/>
        </w:rPr>
        <w:t>1</w:t>
      </w:r>
      <w:r w:rsidRPr="005E10F7">
        <w:rPr>
          <w:rFonts w:asciiTheme="majorBidi" w:hAnsiTheme="majorBidi" w:cstheme="majorBidi"/>
        </w:rPr>
        <w:t xml:space="preserve"> ≤ </w:t>
      </w:r>
      <w:r w:rsidRPr="005E10F7">
        <w:rPr>
          <w:rFonts w:asciiTheme="majorBidi" w:hAnsiTheme="majorBidi" w:cstheme="majorBidi"/>
          <w:i/>
        </w:rPr>
        <w:t>f</w:t>
      </w:r>
      <w:r w:rsidRPr="005E10F7">
        <w:rPr>
          <w:rFonts w:asciiTheme="majorBidi" w:hAnsiTheme="majorBidi" w:cstheme="majorBidi"/>
          <w:i/>
          <w:vertAlign w:val="subscript"/>
        </w:rPr>
        <w:t>tr</w:t>
      </w:r>
      <w:r w:rsidRPr="005E10F7">
        <w:rPr>
          <w:rFonts w:asciiTheme="majorBidi" w:hAnsiTheme="majorBidi" w:cstheme="majorBidi"/>
          <w:vertAlign w:val="subscript"/>
        </w:rPr>
        <w:t>3</w:t>
      </w:r>
      <w:r w:rsidRPr="005E10F7">
        <w:rPr>
          <w:rFonts w:asciiTheme="majorBidi" w:hAnsiTheme="majorBidi" w:cstheme="majorBidi"/>
        </w:rPr>
        <w:t xml:space="preserve"> ≤ 30 </w:t>
      </w:r>
      <w:proofErr w:type="spellStart"/>
      <w:r w:rsidRPr="005E10F7">
        <w:rPr>
          <w:rFonts w:asciiTheme="majorBidi" w:hAnsiTheme="majorBidi" w:cstheme="majorBidi"/>
        </w:rPr>
        <w:t>MHz.</w:t>
      </w:r>
      <w:proofErr w:type="spellEnd"/>
      <w:r w:rsidRPr="005E10F7">
        <w:rPr>
          <w:rFonts w:asciiTheme="majorBidi" w:hAnsiTheme="majorBidi" w:cstheme="majorBidi"/>
        </w:rPr>
        <w:t xml:space="preserve"> The PSD values above the transition frequency </w:t>
      </w:r>
      <w:r w:rsidRPr="005E10F7">
        <w:rPr>
          <w:rFonts w:asciiTheme="majorBidi" w:hAnsiTheme="majorBidi" w:cstheme="majorBidi"/>
          <w:i/>
        </w:rPr>
        <w:t>f</w:t>
      </w:r>
      <w:r w:rsidRPr="005E10F7">
        <w:rPr>
          <w:rFonts w:asciiTheme="majorBidi" w:hAnsiTheme="majorBidi" w:cstheme="majorBidi"/>
          <w:i/>
          <w:vertAlign w:val="subscript"/>
        </w:rPr>
        <w:t>tr1</w:t>
      </w:r>
      <w:r w:rsidRPr="005E10F7">
        <w:rPr>
          <w:rFonts w:asciiTheme="majorBidi" w:hAnsiTheme="majorBidi" w:cstheme="majorBidi"/>
        </w:rPr>
        <w:t xml:space="preserve"> are considered as in-band and defined in clause 6.2.1.1.</w:t>
      </w:r>
    </w:p>
    <w:p w:rsidR="00C30A65" w:rsidRPr="005E10F7" w:rsidRDefault="00C30A65" w:rsidP="00C30A65">
      <w:pPr>
        <w:widowControl w:val="0"/>
        <w:ind w:left="567"/>
        <w:rPr>
          <w:rFonts w:asciiTheme="majorBidi" w:hAnsiTheme="majorBidi" w:cstheme="majorBidi"/>
        </w:rPr>
      </w:pPr>
      <w:r w:rsidRPr="005E10F7">
        <w:rPr>
          <w:rFonts w:asciiTheme="majorBidi" w:hAnsiTheme="majorBidi" w:cstheme="majorBidi"/>
        </w:rPr>
        <w:object w:dxaOrig="8147" w:dyaOrig="5069">
          <v:shape id="_x0000_i1026" type="#_x0000_t75" style="width:446.25pt;height:277.5pt" o:ole="">
            <v:imagedata r:id="rId17" o:title=""/>
          </v:shape>
          <o:OLEObject Type="Embed" ProgID="Visio.Drawing.11" ShapeID="_x0000_i1026" DrawAspect="Content" ObjectID="_1445770712" r:id="rId18"/>
        </w:object>
      </w:r>
    </w:p>
    <w:p w:rsidR="00C30A65" w:rsidRPr="005E10F7" w:rsidRDefault="00C30A65" w:rsidP="00C30A65">
      <w:pPr>
        <w:pStyle w:val="FigureNotitle"/>
      </w:pPr>
      <w:r>
        <w:t>Figure 5-1</w:t>
      </w:r>
      <w:r w:rsidRPr="005E10F7">
        <w:t xml:space="preserve"> – Low-frequency edge stop-band mask  </w:t>
      </w:r>
    </w:p>
    <w:p w:rsidR="00C30A65" w:rsidRPr="005E10F7" w:rsidRDefault="00C30A65" w:rsidP="00C30A65">
      <w:pPr>
        <w:pStyle w:val="ListParagraph"/>
        <w:widowControl w:val="0"/>
        <w:numPr>
          <w:ilvl w:val="0"/>
          <w:numId w:val="19"/>
        </w:numPr>
        <w:rPr>
          <w:rFonts w:asciiTheme="majorBidi" w:hAnsiTheme="majorBidi" w:cstheme="majorBidi"/>
        </w:rPr>
      </w:pPr>
      <w:r w:rsidRPr="005E10F7">
        <w:rPr>
          <w:rFonts w:asciiTheme="majorBidi" w:hAnsiTheme="majorBidi" w:cstheme="majorBidi"/>
        </w:rPr>
        <w:t>Wideband Transmit PSD Mask (TXPSDM_W)</w:t>
      </w:r>
    </w:p>
    <w:p w:rsidR="00C30A65" w:rsidRPr="005E10F7" w:rsidRDefault="00C30A65" w:rsidP="00C30A65">
      <w:pPr>
        <w:widowControl w:val="0"/>
        <w:ind w:left="567"/>
        <w:rPr>
          <w:rFonts w:asciiTheme="majorBidi" w:hAnsiTheme="majorBidi" w:cstheme="majorBidi"/>
        </w:rPr>
      </w:pPr>
      <w:r w:rsidRPr="005E10F7">
        <w:rPr>
          <w:rFonts w:asciiTheme="majorBidi" w:hAnsiTheme="majorBidi" w:cstheme="majorBidi"/>
        </w:rPr>
        <w:t>This mask is defined to verify a mathematically calculated wideband average PSD over a 1 MHz window (PSD_</w:t>
      </w:r>
      <w:proofErr w:type="gramStart"/>
      <w:r w:rsidRPr="005E10F7">
        <w:rPr>
          <w:rFonts w:asciiTheme="majorBidi" w:hAnsiTheme="majorBidi" w:cstheme="majorBidi"/>
        </w:rPr>
        <w:t>W(</w:t>
      </w:r>
      <w:proofErr w:type="gramEnd"/>
      <w:r w:rsidRPr="00241E68">
        <w:rPr>
          <w:rFonts w:asciiTheme="majorBidi" w:hAnsiTheme="majorBidi" w:cstheme="majorBidi"/>
          <w:i/>
        </w:rPr>
        <w:t>f</w:t>
      </w:r>
      <w:r w:rsidRPr="005E10F7">
        <w:rPr>
          <w:rFonts w:asciiTheme="majorBidi" w:hAnsiTheme="majorBidi" w:cstheme="majorBidi"/>
        </w:rPr>
        <w:t>)) as defined in clause 5.5.</w:t>
      </w:r>
    </w:p>
    <w:p w:rsidR="00C30A65" w:rsidRPr="005E10F7" w:rsidRDefault="00C30A65" w:rsidP="00C30A65">
      <w:pPr>
        <w:widowControl w:val="0"/>
        <w:ind w:left="567"/>
        <w:rPr>
          <w:rFonts w:asciiTheme="majorBidi" w:hAnsiTheme="majorBidi" w:cstheme="majorBidi"/>
        </w:rPr>
      </w:pPr>
      <w:r>
        <w:rPr>
          <w:rFonts w:asciiTheme="majorBidi" w:hAnsiTheme="majorBidi" w:cstheme="majorBidi"/>
        </w:rPr>
        <w:t>The TXPSDM_</w:t>
      </w:r>
      <w:proofErr w:type="gramStart"/>
      <w:r>
        <w:rPr>
          <w:rFonts w:asciiTheme="majorBidi" w:hAnsiTheme="majorBidi" w:cstheme="majorBidi"/>
        </w:rPr>
        <w:t>W(</w:t>
      </w:r>
      <w:proofErr w:type="gramEnd"/>
      <w:r w:rsidRPr="00241E68">
        <w:rPr>
          <w:rFonts w:asciiTheme="majorBidi" w:hAnsiTheme="majorBidi" w:cstheme="majorBidi"/>
          <w:i/>
        </w:rPr>
        <w:t>f</w:t>
      </w:r>
      <w:r>
        <w:rPr>
          <w:rFonts w:asciiTheme="majorBidi" w:hAnsiTheme="majorBidi" w:cstheme="majorBidi"/>
        </w:rPr>
        <w:t>) is defined in T</w:t>
      </w:r>
      <w:r w:rsidRPr="005E10F7">
        <w:rPr>
          <w:rFonts w:asciiTheme="majorBidi" w:hAnsiTheme="majorBidi" w:cstheme="majorBidi"/>
        </w:rPr>
        <w:t>able 5.2 for the frequency in question.</w:t>
      </w:r>
    </w:p>
    <w:p w:rsidR="00C30A65" w:rsidRPr="005E10F7" w:rsidRDefault="00C30A65" w:rsidP="00C30A65">
      <w:pPr>
        <w:widowControl w:val="0"/>
        <w:ind w:left="567"/>
        <w:rPr>
          <w:rFonts w:asciiTheme="majorBidi" w:hAnsiTheme="majorBidi" w:cstheme="majorBidi"/>
        </w:rPr>
      </w:pPr>
      <w:r w:rsidRPr="005E10F7">
        <w:rPr>
          <w:rFonts w:asciiTheme="majorBidi" w:hAnsiTheme="majorBidi" w:cstheme="majorBidi"/>
        </w:rPr>
        <w:t>The wideband average transmit PSD (PSD_</w:t>
      </w:r>
      <w:proofErr w:type="gramStart"/>
      <w:r w:rsidRPr="005E10F7">
        <w:rPr>
          <w:rFonts w:asciiTheme="majorBidi" w:hAnsiTheme="majorBidi" w:cstheme="majorBidi"/>
        </w:rPr>
        <w:t>W(</w:t>
      </w:r>
      <w:proofErr w:type="gramEnd"/>
      <w:r w:rsidRPr="00241E68">
        <w:rPr>
          <w:rFonts w:asciiTheme="majorBidi" w:hAnsiTheme="majorBidi" w:cstheme="majorBidi"/>
          <w:i/>
        </w:rPr>
        <w:t>f</w:t>
      </w:r>
      <w:r w:rsidRPr="005E10F7">
        <w:rPr>
          <w:rFonts w:asciiTheme="majorBidi" w:hAnsiTheme="majorBidi" w:cstheme="majorBidi"/>
        </w:rPr>
        <w:t>)) is re</w:t>
      </w:r>
      <w:r>
        <w:rPr>
          <w:rFonts w:asciiTheme="majorBidi" w:hAnsiTheme="majorBidi" w:cstheme="majorBidi"/>
        </w:rPr>
        <w:t>quired to satisfy the wideband transmit PSD m</w:t>
      </w:r>
      <w:r w:rsidRPr="005E10F7">
        <w:rPr>
          <w:rFonts w:asciiTheme="majorBidi" w:hAnsiTheme="majorBidi" w:cstheme="majorBidi"/>
        </w:rPr>
        <w:t xml:space="preserve">ask </w:t>
      </w:r>
      <w:proofErr w:type="spellStart"/>
      <w:r w:rsidRPr="005E10F7">
        <w:rPr>
          <w:rFonts w:asciiTheme="majorBidi" w:hAnsiTheme="majorBidi" w:cstheme="majorBidi"/>
        </w:rPr>
        <w:t>TxPSDM_W</w:t>
      </w:r>
      <w:proofErr w:type="spellEnd"/>
      <w:r w:rsidRPr="005E10F7">
        <w:rPr>
          <w:rFonts w:asciiTheme="majorBidi" w:hAnsiTheme="majorBidi" w:cstheme="majorBidi"/>
        </w:rPr>
        <w:t xml:space="preserve">  for frequencies (2.0 MHz + ½</w:t>
      </w:r>
      <w:r>
        <w:rPr>
          <w:rFonts w:asciiTheme="majorBidi" w:hAnsiTheme="majorBidi" w:cstheme="majorBidi"/>
        </w:rPr>
        <w:t>×</w:t>
      </w:r>
      <w:r w:rsidRPr="005E10F7">
        <w:rPr>
          <w:rFonts w:asciiTheme="majorBidi" w:hAnsiTheme="majorBidi" w:cstheme="majorBidi"/>
        </w:rPr>
        <w:t xml:space="preserve">MBW + 0.5MHz) &lt; </w:t>
      </w:r>
      <w:r w:rsidRPr="00241E68">
        <w:rPr>
          <w:rFonts w:asciiTheme="majorBidi" w:hAnsiTheme="majorBidi" w:cstheme="majorBidi"/>
          <w:i/>
        </w:rPr>
        <w:t>f</w:t>
      </w:r>
      <w:r w:rsidRPr="005E10F7">
        <w:rPr>
          <w:rFonts w:asciiTheme="majorBidi" w:hAnsiTheme="majorBidi" w:cstheme="majorBidi"/>
        </w:rPr>
        <w:t xml:space="preserve"> &lt; (</w:t>
      </w:r>
      <w:r w:rsidRPr="005E10F7">
        <w:rPr>
          <w:rFonts w:asciiTheme="majorBidi" w:hAnsiTheme="majorBidi" w:cstheme="majorBidi"/>
          <w:i/>
        </w:rPr>
        <w:t>f</w:t>
      </w:r>
      <w:r w:rsidRPr="005E10F7">
        <w:rPr>
          <w:rFonts w:asciiTheme="majorBidi" w:hAnsiTheme="majorBidi" w:cstheme="majorBidi"/>
          <w:i/>
          <w:vertAlign w:val="subscript"/>
        </w:rPr>
        <w:t>tr</w:t>
      </w:r>
      <w:r w:rsidRPr="005E10F7">
        <w:rPr>
          <w:rFonts w:asciiTheme="majorBidi" w:hAnsiTheme="majorBidi" w:cstheme="majorBidi"/>
          <w:vertAlign w:val="subscript"/>
        </w:rPr>
        <w:t>3</w:t>
      </w:r>
      <w:r w:rsidRPr="005E10F7">
        <w:rPr>
          <w:rFonts w:asciiTheme="majorBidi" w:hAnsiTheme="majorBidi" w:cstheme="majorBidi"/>
        </w:rPr>
        <w:t xml:space="preserve"> − 175kHz  </w:t>
      </w:r>
      <w:r>
        <w:rPr>
          <w:rFonts w:asciiTheme="majorBidi" w:hAnsiTheme="majorBidi" w:cstheme="majorBidi"/>
        </w:rPr>
        <w:t xml:space="preserve">− </w:t>
      </w:r>
      <w:r w:rsidRPr="005E10F7">
        <w:rPr>
          <w:rFonts w:asciiTheme="majorBidi" w:hAnsiTheme="majorBidi" w:cstheme="majorBidi"/>
        </w:rPr>
        <w:t>½</w:t>
      </w:r>
      <w:r>
        <w:rPr>
          <w:rFonts w:asciiTheme="majorBidi" w:hAnsiTheme="majorBidi" w:cstheme="majorBidi"/>
        </w:rPr>
        <w:t>×</w:t>
      </w:r>
      <w:r w:rsidRPr="005E10F7">
        <w:rPr>
          <w:rFonts w:asciiTheme="majorBidi" w:hAnsiTheme="majorBidi" w:cstheme="majorBidi"/>
        </w:rPr>
        <w:t xml:space="preserve">MBW </w:t>
      </w:r>
      <w:r>
        <w:rPr>
          <w:rFonts w:asciiTheme="majorBidi" w:hAnsiTheme="majorBidi" w:cstheme="majorBidi"/>
        </w:rPr>
        <w:t xml:space="preserve">− </w:t>
      </w:r>
      <w:r w:rsidRPr="005E10F7">
        <w:rPr>
          <w:rFonts w:asciiTheme="majorBidi" w:hAnsiTheme="majorBidi" w:cstheme="majorBidi"/>
        </w:rPr>
        <w:t xml:space="preserve">0.5MHz). The mask value to be compared against shall be the maximum value the mask takes within the 1 MHz window </w:t>
      </w:r>
      <w:proofErr w:type="gramStart"/>
      <w:r w:rsidRPr="005E10F7">
        <w:rPr>
          <w:rFonts w:asciiTheme="majorBidi" w:hAnsiTheme="majorBidi" w:cstheme="majorBidi"/>
        </w:rPr>
        <w:t xml:space="preserve">[ </w:t>
      </w:r>
      <w:r w:rsidRPr="00FC6D3C">
        <w:rPr>
          <w:rFonts w:asciiTheme="majorBidi" w:hAnsiTheme="majorBidi" w:cstheme="majorBidi"/>
          <w:i/>
        </w:rPr>
        <w:t>f</w:t>
      </w:r>
      <w:proofErr w:type="gramEnd"/>
      <w:r w:rsidRPr="00FC6D3C">
        <w:rPr>
          <w:rFonts w:asciiTheme="majorBidi" w:hAnsiTheme="majorBidi" w:cstheme="majorBidi"/>
          <w:i/>
        </w:rPr>
        <w:t xml:space="preserve"> </w:t>
      </w:r>
      <w:r w:rsidRPr="005E10F7">
        <w:rPr>
          <w:rFonts w:asciiTheme="majorBidi" w:hAnsiTheme="majorBidi" w:cstheme="majorBidi"/>
        </w:rPr>
        <w:t>–</w:t>
      </w:r>
      <w:r>
        <w:rPr>
          <w:rFonts w:asciiTheme="majorBidi" w:hAnsiTheme="majorBidi" w:cstheme="majorBidi"/>
        </w:rPr>
        <w:t xml:space="preserve"> </w:t>
      </w:r>
      <w:r w:rsidRPr="005E10F7">
        <w:rPr>
          <w:rFonts w:asciiTheme="majorBidi" w:hAnsiTheme="majorBidi" w:cstheme="majorBidi"/>
        </w:rPr>
        <w:t xml:space="preserve">0.5 MHz, </w:t>
      </w:r>
      <w:r w:rsidRPr="00FC6D3C">
        <w:rPr>
          <w:rFonts w:asciiTheme="majorBidi" w:hAnsiTheme="majorBidi" w:cstheme="majorBidi"/>
          <w:i/>
        </w:rPr>
        <w:t>f</w:t>
      </w:r>
      <w:r w:rsidRPr="005E10F7">
        <w:rPr>
          <w:rFonts w:asciiTheme="majorBidi" w:hAnsiTheme="majorBidi" w:cstheme="majorBidi"/>
        </w:rPr>
        <w:t xml:space="preserve"> + 0.5 MHz].</w:t>
      </w:r>
    </w:p>
    <w:p w:rsidR="00C30A65" w:rsidRPr="005E10F7" w:rsidRDefault="00C30A65" w:rsidP="00C30A65">
      <w:pPr>
        <w:pStyle w:val="TableNotitle"/>
      </w:pPr>
      <w:r>
        <w:rPr>
          <w:lang w:val="en-US"/>
        </w:rPr>
        <w:t xml:space="preserve">Table 5-2 – LESM TXPSDM_W </w:t>
      </w:r>
      <w:r w:rsidRPr="005E10F7">
        <w:rPr>
          <w:lang w:val="en-US"/>
        </w:rPr>
        <w:t>requirements</w:t>
      </w:r>
    </w:p>
    <w:tbl>
      <w:tblPr>
        <w:tblW w:w="0" w:type="auto"/>
        <w:jc w:val="center"/>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2340"/>
      </w:tblGrid>
      <w:tr w:rsidR="00C30A65" w:rsidRPr="005E10F7" w:rsidTr="003D3832">
        <w:trPr>
          <w:jc w:val="center"/>
        </w:trPr>
        <w:tc>
          <w:tcPr>
            <w:tcW w:w="2140" w:type="dxa"/>
            <w:tcBorders>
              <w:top w:val="single" w:sz="4" w:space="0" w:color="auto"/>
              <w:left w:val="single" w:sz="4" w:space="0" w:color="auto"/>
              <w:bottom w:val="single" w:sz="4" w:space="0" w:color="auto"/>
              <w:right w:val="single" w:sz="4" w:space="0" w:color="auto"/>
            </w:tcBorders>
            <w:vAlign w:val="center"/>
            <w:hideMark/>
          </w:tcPr>
          <w:p w:rsidR="00C30A65" w:rsidRPr="005E10F7" w:rsidRDefault="00C30A65" w:rsidP="003D3832">
            <w:pPr>
              <w:keepNext/>
              <w:jc w:val="center"/>
              <w:rPr>
                <w:b/>
                <w:lang w:eastAsia="ko-KR"/>
              </w:rPr>
            </w:pPr>
            <w:r w:rsidRPr="005E10F7">
              <w:rPr>
                <w:b/>
                <w:lang w:eastAsia="ko-KR"/>
              </w:rPr>
              <w:t xml:space="preserve">Frequency             </w:t>
            </w:r>
            <w:r>
              <w:rPr>
                <w:b/>
                <w:lang w:eastAsia="ko-KR"/>
              </w:rPr>
              <w:t>(MHz)</w:t>
            </w:r>
            <w:r w:rsidRPr="005E10F7">
              <w:rPr>
                <w:b/>
                <w:lang w:eastAsia="ko-KR"/>
              </w:rPr>
              <w:t xml:space="preserve">         </w:t>
            </w:r>
          </w:p>
        </w:tc>
        <w:tc>
          <w:tcPr>
            <w:tcW w:w="2340" w:type="dxa"/>
            <w:tcBorders>
              <w:top w:val="single" w:sz="4" w:space="0" w:color="auto"/>
              <w:left w:val="single" w:sz="4" w:space="0" w:color="auto"/>
              <w:bottom w:val="single" w:sz="4" w:space="0" w:color="auto"/>
              <w:right w:val="single" w:sz="4" w:space="0" w:color="auto"/>
            </w:tcBorders>
            <w:vAlign w:val="center"/>
            <w:hideMark/>
          </w:tcPr>
          <w:p w:rsidR="00C30A65" w:rsidRPr="00241E68" w:rsidRDefault="00C30A65" w:rsidP="003D3832">
            <w:pPr>
              <w:pStyle w:val="Tablehead"/>
              <w:rPr>
                <w:sz w:val="24"/>
                <w:szCs w:val="24"/>
                <w:lang w:eastAsia="ko-KR"/>
              </w:rPr>
            </w:pPr>
            <w:r w:rsidRPr="00241E68">
              <w:rPr>
                <w:sz w:val="24"/>
                <w:szCs w:val="24"/>
                <w:lang w:eastAsia="ko-KR"/>
              </w:rPr>
              <w:t>LESM</w:t>
            </w:r>
          </w:p>
          <w:p w:rsidR="00C30A65" w:rsidRPr="00241E68" w:rsidRDefault="00C30A65" w:rsidP="003D3832">
            <w:pPr>
              <w:pStyle w:val="Tablehead"/>
              <w:rPr>
                <w:sz w:val="24"/>
                <w:szCs w:val="24"/>
                <w:lang w:eastAsia="ko-KR"/>
              </w:rPr>
            </w:pPr>
            <w:r w:rsidRPr="00241E68">
              <w:rPr>
                <w:sz w:val="24"/>
                <w:szCs w:val="24"/>
                <w:lang w:eastAsia="ko-KR"/>
              </w:rPr>
              <w:t>TXPSDM_W</w:t>
            </w:r>
          </w:p>
          <w:p w:rsidR="00C30A65" w:rsidRPr="00241E68" w:rsidRDefault="00C30A65" w:rsidP="003D3832">
            <w:pPr>
              <w:pStyle w:val="Tablehead"/>
              <w:rPr>
                <w:sz w:val="24"/>
                <w:szCs w:val="24"/>
                <w:lang w:eastAsia="ko-KR"/>
              </w:rPr>
            </w:pPr>
            <w:r>
              <w:rPr>
                <w:sz w:val="24"/>
                <w:szCs w:val="24"/>
                <w:lang w:eastAsia="ko-KR"/>
              </w:rPr>
              <w:t>(</w:t>
            </w:r>
            <w:proofErr w:type="spellStart"/>
            <w:r w:rsidRPr="00241E68">
              <w:rPr>
                <w:sz w:val="24"/>
                <w:szCs w:val="24"/>
                <w:lang w:eastAsia="ko-KR"/>
              </w:rPr>
              <w:t>dBm</w:t>
            </w:r>
            <w:proofErr w:type="spellEnd"/>
            <w:r w:rsidRPr="00241E68">
              <w:rPr>
                <w:sz w:val="24"/>
                <w:szCs w:val="24"/>
                <w:lang w:eastAsia="ko-KR"/>
              </w:rPr>
              <w:t>/Hz</w:t>
            </w:r>
            <w:r>
              <w:rPr>
                <w:sz w:val="24"/>
                <w:szCs w:val="24"/>
                <w:lang w:eastAsia="ko-KR"/>
              </w:rPr>
              <w:t>)</w:t>
            </w:r>
          </w:p>
        </w:tc>
      </w:tr>
      <w:tr w:rsidR="00C30A65" w:rsidRPr="005E10F7" w:rsidTr="003D3832">
        <w:trPr>
          <w:jc w:val="center"/>
        </w:trPr>
        <w:tc>
          <w:tcPr>
            <w:tcW w:w="2140" w:type="dxa"/>
            <w:tcBorders>
              <w:top w:val="single" w:sz="4" w:space="0" w:color="auto"/>
              <w:left w:val="single" w:sz="4" w:space="0" w:color="auto"/>
              <w:bottom w:val="single" w:sz="4" w:space="0" w:color="auto"/>
              <w:right w:val="single" w:sz="4" w:space="0" w:color="auto"/>
            </w:tcBorders>
            <w:vAlign w:val="center"/>
            <w:hideMark/>
          </w:tcPr>
          <w:p w:rsidR="00C30A65" w:rsidRPr="005E10F7" w:rsidRDefault="00C30A65" w:rsidP="003D3832">
            <w:pPr>
              <w:pStyle w:val="Tablehead"/>
              <w:rPr>
                <w:b w:val="0"/>
                <w:lang w:eastAsia="ko-KR"/>
              </w:rPr>
            </w:pPr>
            <w:r>
              <w:rPr>
                <w:b w:val="0"/>
                <w:lang w:eastAsia="ko-KR"/>
              </w:rPr>
              <w:t>2.0 to</w:t>
            </w:r>
            <w:r w:rsidRPr="005E10F7">
              <w:rPr>
                <w:b w:val="0"/>
                <w:lang w:eastAsia="ko-KR"/>
              </w:rPr>
              <w:t xml:space="preserve"> 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C30A65" w:rsidRPr="005E10F7" w:rsidRDefault="00C30A65" w:rsidP="003D3832">
            <w:pPr>
              <w:pStyle w:val="Tablehead"/>
              <w:rPr>
                <w:b w:val="0"/>
                <w:lang w:eastAsia="ko-KR"/>
              </w:rPr>
            </w:pPr>
            <w:r>
              <w:rPr>
                <w:b w:val="0"/>
                <w:lang w:eastAsia="ko-KR"/>
              </w:rPr>
              <w:t xml:space="preserve">− </w:t>
            </w:r>
            <w:r w:rsidRPr="005E10F7">
              <w:rPr>
                <w:b w:val="0"/>
                <w:lang w:eastAsia="ko-KR"/>
              </w:rPr>
              <w:t>100</w:t>
            </w:r>
          </w:p>
        </w:tc>
      </w:tr>
      <w:tr w:rsidR="00C30A65" w:rsidRPr="005E10F7" w:rsidTr="003D3832">
        <w:trPr>
          <w:jc w:val="center"/>
        </w:trPr>
        <w:tc>
          <w:tcPr>
            <w:tcW w:w="2140" w:type="dxa"/>
            <w:tcBorders>
              <w:top w:val="single" w:sz="4" w:space="0" w:color="auto"/>
              <w:left w:val="single" w:sz="4" w:space="0" w:color="auto"/>
              <w:bottom w:val="single" w:sz="4" w:space="0" w:color="auto"/>
              <w:right w:val="single" w:sz="4" w:space="0" w:color="auto"/>
            </w:tcBorders>
            <w:vAlign w:val="center"/>
            <w:hideMark/>
          </w:tcPr>
          <w:p w:rsidR="00C30A65" w:rsidRPr="005E10F7" w:rsidRDefault="00C30A65" w:rsidP="003D3832">
            <w:pPr>
              <w:pStyle w:val="Tablehead"/>
              <w:rPr>
                <w:b w:val="0"/>
                <w:lang w:eastAsia="ko-KR"/>
              </w:rPr>
            </w:pPr>
            <w:r>
              <w:rPr>
                <w:b w:val="0"/>
                <w:lang w:eastAsia="ko-KR"/>
              </w:rPr>
              <w:t>4.0 to</w:t>
            </w:r>
            <w:r w:rsidRPr="005E10F7">
              <w:rPr>
                <w:b w:val="0"/>
                <w:lang w:eastAsia="ko-KR"/>
              </w:rPr>
              <w:t xml:space="preserve"> 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C30A65" w:rsidRPr="005E10F7" w:rsidRDefault="00C30A65" w:rsidP="003D3832">
            <w:pPr>
              <w:pStyle w:val="Tablehead"/>
              <w:rPr>
                <w:b w:val="0"/>
                <w:lang w:eastAsia="ko-KR"/>
              </w:rPr>
            </w:pPr>
            <w:r>
              <w:rPr>
                <w:b w:val="0"/>
                <w:lang w:eastAsia="ko-KR"/>
              </w:rPr>
              <w:t xml:space="preserve">− </w:t>
            </w:r>
            <w:r w:rsidRPr="005E10F7">
              <w:rPr>
                <w:b w:val="0"/>
                <w:lang w:eastAsia="ko-KR"/>
              </w:rPr>
              <w:t>110</w:t>
            </w:r>
          </w:p>
        </w:tc>
      </w:tr>
      <w:tr w:rsidR="00C30A65" w:rsidRPr="005E10F7" w:rsidTr="003D3832">
        <w:trPr>
          <w:jc w:val="center"/>
        </w:trPr>
        <w:tc>
          <w:tcPr>
            <w:tcW w:w="2140" w:type="dxa"/>
            <w:tcBorders>
              <w:top w:val="single" w:sz="4" w:space="0" w:color="auto"/>
              <w:left w:val="single" w:sz="4" w:space="0" w:color="auto"/>
              <w:bottom w:val="single" w:sz="4" w:space="0" w:color="auto"/>
              <w:right w:val="single" w:sz="4" w:space="0" w:color="auto"/>
            </w:tcBorders>
            <w:vAlign w:val="center"/>
            <w:hideMark/>
          </w:tcPr>
          <w:p w:rsidR="00C30A65" w:rsidRPr="005E10F7" w:rsidRDefault="00C30A65" w:rsidP="003D3832">
            <w:pPr>
              <w:pStyle w:val="Tablehead"/>
              <w:rPr>
                <w:b w:val="0"/>
                <w:lang w:eastAsia="ko-KR"/>
              </w:rPr>
            </w:pPr>
            <w:r w:rsidRPr="005E10F7">
              <w:rPr>
                <w:b w:val="0"/>
                <w:lang w:eastAsia="ko-KR"/>
              </w:rPr>
              <w:t>&gt; 5.0</w:t>
            </w:r>
          </w:p>
        </w:tc>
        <w:tc>
          <w:tcPr>
            <w:tcW w:w="2340" w:type="dxa"/>
            <w:tcBorders>
              <w:top w:val="single" w:sz="4" w:space="0" w:color="auto"/>
              <w:left w:val="single" w:sz="4" w:space="0" w:color="auto"/>
              <w:bottom w:val="single" w:sz="4" w:space="0" w:color="auto"/>
              <w:right w:val="single" w:sz="4" w:space="0" w:color="auto"/>
            </w:tcBorders>
            <w:vAlign w:val="center"/>
            <w:hideMark/>
          </w:tcPr>
          <w:p w:rsidR="00C30A65" w:rsidRPr="005E10F7" w:rsidRDefault="00C30A65" w:rsidP="003D3832">
            <w:pPr>
              <w:pStyle w:val="Tablehead"/>
              <w:rPr>
                <w:b w:val="0"/>
                <w:lang w:eastAsia="ko-KR"/>
              </w:rPr>
            </w:pPr>
            <w:r>
              <w:rPr>
                <w:b w:val="0"/>
                <w:lang w:eastAsia="ko-KR"/>
              </w:rPr>
              <w:t xml:space="preserve">− </w:t>
            </w:r>
            <w:r w:rsidRPr="005E10F7">
              <w:rPr>
                <w:b w:val="0"/>
                <w:lang w:eastAsia="ko-KR"/>
              </w:rPr>
              <w:t>112</w:t>
            </w:r>
          </w:p>
        </w:tc>
      </w:tr>
    </w:tbl>
    <w:p w:rsidR="00C30A65" w:rsidRPr="005E10F7" w:rsidRDefault="00C30A65" w:rsidP="00C30A65">
      <w:pPr>
        <w:pStyle w:val="Heading1"/>
      </w:pPr>
      <w:bookmarkStart w:id="30" w:name="_Toc361338937"/>
      <w:r w:rsidRPr="005E10F7">
        <w:t>6</w:t>
      </w:r>
      <w:r w:rsidRPr="005E10F7">
        <w:tab/>
        <w:t>Specification of spectral content</w:t>
      </w:r>
      <w:bookmarkEnd w:id="30"/>
    </w:p>
    <w:p w:rsidR="00C30A65" w:rsidRPr="005E10F7" w:rsidRDefault="00C30A65" w:rsidP="00C30A65">
      <w:pPr>
        <w:pStyle w:val="Heading2"/>
      </w:pPr>
      <w:bookmarkStart w:id="31" w:name="_Toc361338938"/>
      <w:r w:rsidRPr="005E10F7">
        <w:t>6.1</w:t>
      </w:r>
      <w:r w:rsidRPr="005E10F7">
        <w:tab/>
        <w:t>Profile control parameters</w:t>
      </w:r>
      <w:bookmarkEnd w:id="31"/>
      <w:r w:rsidRPr="005E10F7">
        <w:t xml:space="preserve"> </w:t>
      </w:r>
    </w:p>
    <w:p w:rsidR="00C30A65" w:rsidRPr="005E10F7" w:rsidRDefault="00C30A65" w:rsidP="00C30A65">
      <w:r w:rsidRPr="005E10F7">
        <w:t>Each profile specifies normative values for the following parameters:</w:t>
      </w:r>
    </w:p>
    <w:p w:rsidR="00C30A65" w:rsidRPr="005E10F7" w:rsidRDefault="00C30A65" w:rsidP="00C30A65">
      <w:pPr>
        <w:pStyle w:val="ListParagraph"/>
        <w:numPr>
          <w:ilvl w:val="0"/>
          <w:numId w:val="17"/>
        </w:numPr>
      </w:pPr>
      <w:r w:rsidRPr="005E10F7">
        <w:t>The number of sub-carriers;</w:t>
      </w:r>
    </w:p>
    <w:p w:rsidR="00C30A65" w:rsidRPr="005E10F7" w:rsidRDefault="00C30A65" w:rsidP="00C30A65">
      <w:pPr>
        <w:pStyle w:val="ListParagraph"/>
        <w:numPr>
          <w:ilvl w:val="0"/>
          <w:numId w:val="17"/>
        </w:numPr>
      </w:pPr>
      <w:r w:rsidRPr="005E10F7">
        <w:lastRenderedPageBreak/>
        <w:t>The sub-carrier spacing;</w:t>
      </w:r>
    </w:p>
    <w:p w:rsidR="00C30A65" w:rsidRPr="005E10F7" w:rsidRDefault="00C30A65" w:rsidP="00C30A65">
      <w:pPr>
        <w:pStyle w:val="ListParagraph"/>
        <w:numPr>
          <w:ilvl w:val="0"/>
          <w:numId w:val="17"/>
        </w:numPr>
      </w:pPr>
      <w:r w:rsidRPr="005E10F7">
        <w:t xml:space="preserve">The cyclic extension parameters </w:t>
      </w:r>
      <w:r w:rsidRPr="005E10F7">
        <w:rPr>
          <w:i/>
        </w:rPr>
        <w:t>L</w:t>
      </w:r>
      <w:r w:rsidRPr="005E10F7">
        <w:rPr>
          <w:i/>
          <w:vertAlign w:val="subscript"/>
        </w:rPr>
        <w:t>CP</w:t>
      </w:r>
      <w:r w:rsidRPr="005E10F7">
        <w:t xml:space="preserve"> and β; and</w:t>
      </w:r>
    </w:p>
    <w:p w:rsidR="00C30A65" w:rsidRPr="005E10F7" w:rsidRDefault="00C30A65" w:rsidP="00C30A65">
      <w:pPr>
        <w:pStyle w:val="ListParagraph"/>
        <w:numPr>
          <w:ilvl w:val="0"/>
          <w:numId w:val="17"/>
        </w:numPr>
      </w:pPr>
      <w:r w:rsidRPr="005E10F7">
        <w:t>The maximum aggregate transmit power (applies to both downstream and upstream directions);</w:t>
      </w:r>
    </w:p>
    <w:p w:rsidR="00C30A65" w:rsidRPr="005E10F7" w:rsidRDefault="00C30A65" w:rsidP="00C30A65">
      <w:r w:rsidRPr="005E10F7">
        <w:t xml:space="preserve">Table 6-1 shows the valid control parameters for each profile. The parameters are defined in [ITU-T </w:t>
      </w:r>
      <w:r>
        <w:t>G.9701</w:t>
      </w:r>
      <w:r w:rsidRPr="005E10F7">
        <w:t>].</w:t>
      </w:r>
    </w:p>
    <w:tbl>
      <w:tblPr>
        <w:tblW w:w="9284" w:type="dxa"/>
        <w:jc w:val="center"/>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A0" w:firstRow="1" w:lastRow="0" w:firstColumn="1" w:lastColumn="0" w:noHBand="0" w:noVBand="0"/>
      </w:tblPr>
      <w:tblGrid>
        <w:gridCol w:w="2055"/>
        <w:gridCol w:w="4289"/>
        <w:gridCol w:w="2940"/>
      </w:tblGrid>
      <w:tr w:rsidR="00C30A65" w:rsidRPr="005E10F7" w:rsidTr="003D3832">
        <w:trPr>
          <w:tblHeader/>
          <w:jc w:val="center"/>
        </w:trPr>
        <w:tc>
          <w:tcPr>
            <w:tcW w:w="9284" w:type="dxa"/>
            <w:gridSpan w:val="3"/>
            <w:tcBorders>
              <w:top w:val="nil"/>
              <w:left w:val="nil"/>
              <w:right w:val="nil"/>
            </w:tcBorders>
          </w:tcPr>
          <w:p w:rsidR="00C30A65" w:rsidRPr="005E10F7" w:rsidRDefault="00C30A65" w:rsidP="003D3832">
            <w:pPr>
              <w:pStyle w:val="TableNoTitle0"/>
            </w:pPr>
            <w:r w:rsidRPr="005E10F7">
              <w:t>Table 6-1 – Profile control parameters</w:t>
            </w:r>
          </w:p>
        </w:tc>
      </w:tr>
      <w:tr w:rsidR="00C30A65" w:rsidRPr="005E10F7" w:rsidTr="003D3832">
        <w:trPr>
          <w:jc w:val="center"/>
        </w:trPr>
        <w:tc>
          <w:tcPr>
            <w:tcW w:w="2055" w:type="dxa"/>
            <w:vMerge w:val="restart"/>
            <w:vAlign w:val="center"/>
          </w:tcPr>
          <w:p w:rsidR="00C30A65" w:rsidRPr="005E10F7" w:rsidRDefault="00C30A65" w:rsidP="003D3832">
            <w:pPr>
              <w:pStyle w:val="Tablehead"/>
            </w:pPr>
            <w:r w:rsidRPr="005E10F7">
              <w:t>Parameter</w:t>
            </w:r>
          </w:p>
        </w:tc>
        <w:tc>
          <w:tcPr>
            <w:tcW w:w="7229" w:type="dxa"/>
            <w:gridSpan w:val="2"/>
            <w:tcBorders>
              <w:bottom w:val="single" w:sz="4" w:space="0" w:color="auto"/>
            </w:tcBorders>
          </w:tcPr>
          <w:p w:rsidR="00C30A65" w:rsidRPr="005E10F7" w:rsidRDefault="00C30A65" w:rsidP="003D3832">
            <w:pPr>
              <w:pStyle w:val="Tablehead"/>
            </w:pPr>
            <w:r w:rsidRPr="005E10F7">
              <w:t>Profile (Note 1)</w:t>
            </w:r>
          </w:p>
        </w:tc>
      </w:tr>
      <w:tr w:rsidR="00C30A65" w:rsidRPr="005E10F7" w:rsidTr="003D3832">
        <w:trPr>
          <w:trHeight w:val="428"/>
          <w:jc w:val="center"/>
        </w:trPr>
        <w:tc>
          <w:tcPr>
            <w:tcW w:w="2055" w:type="dxa"/>
            <w:vMerge/>
            <w:tcBorders>
              <w:bottom w:val="single" w:sz="4" w:space="0" w:color="auto"/>
            </w:tcBorders>
            <w:vAlign w:val="center"/>
          </w:tcPr>
          <w:p w:rsidR="00C30A65" w:rsidRPr="005E10F7" w:rsidRDefault="00C30A65" w:rsidP="003D3832">
            <w:pPr>
              <w:pStyle w:val="Tablehead"/>
            </w:pPr>
          </w:p>
        </w:tc>
        <w:tc>
          <w:tcPr>
            <w:tcW w:w="4289" w:type="dxa"/>
            <w:tcBorders>
              <w:top w:val="single" w:sz="4" w:space="0" w:color="auto"/>
              <w:bottom w:val="single" w:sz="4" w:space="0" w:color="auto"/>
              <w:right w:val="single" w:sz="4" w:space="0" w:color="auto"/>
            </w:tcBorders>
            <w:vAlign w:val="center"/>
          </w:tcPr>
          <w:p w:rsidR="00C30A65" w:rsidRPr="005E10F7" w:rsidRDefault="00C30A65" w:rsidP="003D3832">
            <w:pPr>
              <w:pStyle w:val="Tablehead"/>
            </w:pPr>
            <w:r w:rsidRPr="005E10F7">
              <w:t>106 MHz</w:t>
            </w:r>
          </w:p>
        </w:tc>
        <w:tc>
          <w:tcPr>
            <w:tcW w:w="2940" w:type="dxa"/>
            <w:tcBorders>
              <w:top w:val="single" w:sz="4" w:space="0" w:color="auto"/>
              <w:left w:val="single" w:sz="4" w:space="0" w:color="auto"/>
              <w:bottom w:val="single" w:sz="4" w:space="0" w:color="auto"/>
              <w:right w:val="single" w:sz="4" w:space="0" w:color="auto"/>
            </w:tcBorders>
            <w:vAlign w:val="center"/>
          </w:tcPr>
          <w:p w:rsidR="00C30A65" w:rsidRPr="005E10F7" w:rsidRDefault="00C30A65" w:rsidP="003D3832">
            <w:pPr>
              <w:pStyle w:val="Tablehead"/>
            </w:pPr>
            <w:r w:rsidRPr="005E10F7">
              <w:t>212 MHz</w:t>
            </w:r>
          </w:p>
        </w:tc>
      </w:tr>
      <w:tr w:rsidR="00C30A65" w:rsidRPr="005E10F7" w:rsidTr="003D3832">
        <w:trPr>
          <w:jc w:val="center"/>
        </w:trPr>
        <w:tc>
          <w:tcPr>
            <w:tcW w:w="2055" w:type="dxa"/>
            <w:tcBorders>
              <w:top w:val="single" w:sz="4" w:space="0" w:color="auto"/>
              <w:left w:val="single" w:sz="4" w:space="0" w:color="auto"/>
              <w:bottom w:val="single" w:sz="4" w:space="0" w:color="auto"/>
              <w:right w:val="single" w:sz="4" w:space="0" w:color="auto"/>
            </w:tcBorders>
          </w:tcPr>
          <w:p w:rsidR="00C30A65" w:rsidRPr="005E10F7" w:rsidRDefault="00C30A65" w:rsidP="003D3832">
            <w:pPr>
              <w:pStyle w:val="Tabletext"/>
              <w:keepNext/>
            </w:pPr>
            <w:r w:rsidRPr="005E10F7">
              <w:rPr>
                <w:i/>
              </w:rPr>
              <w:t>N</w:t>
            </w:r>
          </w:p>
        </w:tc>
        <w:tc>
          <w:tcPr>
            <w:tcW w:w="4289" w:type="dxa"/>
            <w:tcBorders>
              <w:top w:val="single" w:sz="4" w:space="0" w:color="auto"/>
              <w:left w:val="single" w:sz="4" w:space="0" w:color="auto"/>
              <w:bottom w:val="single" w:sz="4" w:space="0" w:color="auto"/>
              <w:right w:val="single" w:sz="4" w:space="0" w:color="auto"/>
            </w:tcBorders>
          </w:tcPr>
          <w:p w:rsidR="00C30A65" w:rsidRPr="005E10F7" w:rsidRDefault="00C30A65" w:rsidP="003D3832">
            <w:pPr>
              <w:pStyle w:val="Tabletext"/>
              <w:keepNext/>
            </w:pPr>
            <w:r w:rsidRPr="005E10F7">
              <w:t>2048 (Note 2)</w:t>
            </w:r>
          </w:p>
        </w:tc>
        <w:tc>
          <w:tcPr>
            <w:tcW w:w="2940" w:type="dxa"/>
            <w:tcBorders>
              <w:top w:val="single" w:sz="4" w:space="0" w:color="auto"/>
              <w:left w:val="single" w:sz="4" w:space="0" w:color="auto"/>
              <w:bottom w:val="single" w:sz="4" w:space="0" w:color="auto"/>
              <w:right w:val="single" w:sz="4" w:space="0" w:color="auto"/>
            </w:tcBorders>
          </w:tcPr>
          <w:p w:rsidR="00C30A65" w:rsidRPr="005E10F7" w:rsidRDefault="00C30A65" w:rsidP="003D3832">
            <w:pPr>
              <w:pStyle w:val="Tabletext"/>
              <w:keepNext/>
            </w:pPr>
            <w:r w:rsidRPr="005E10F7">
              <w:t>For further study</w:t>
            </w:r>
          </w:p>
        </w:tc>
      </w:tr>
      <w:tr w:rsidR="00C30A65" w:rsidRPr="005E10F7" w:rsidTr="003D3832">
        <w:trPr>
          <w:jc w:val="center"/>
        </w:trPr>
        <w:tc>
          <w:tcPr>
            <w:tcW w:w="2055" w:type="dxa"/>
            <w:tcBorders>
              <w:top w:val="single" w:sz="4" w:space="0" w:color="auto"/>
              <w:left w:val="single" w:sz="4" w:space="0" w:color="auto"/>
              <w:bottom w:val="single" w:sz="4" w:space="0" w:color="auto"/>
              <w:right w:val="single" w:sz="4" w:space="0" w:color="auto"/>
            </w:tcBorders>
          </w:tcPr>
          <w:p w:rsidR="00C30A65" w:rsidRPr="005E10F7" w:rsidRDefault="00C30A65" w:rsidP="003D3832">
            <w:pPr>
              <w:pStyle w:val="Tabletext"/>
              <w:keepNext/>
              <w:rPr>
                <w:i/>
              </w:rPr>
            </w:pPr>
            <w:r w:rsidRPr="005E10F7">
              <w:rPr>
                <w:i/>
              </w:rPr>
              <w:t>F</w:t>
            </w:r>
            <w:r w:rsidRPr="005E10F7">
              <w:rPr>
                <w:i/>
                <w:vertAlign w:val="subscript"/>
              </w:rPr>
              <w:t>SC</w:t>
            </w:r>
          </w:p>
        </w:tc>
        <w:tc>
          <w:tcPr>
            <w:tcW w:w="4289" w:type="dxa"/>
            <w:tcBorders>
              <w:top w:val="single" w:sz="4" w:space="0" w:color="auto"/>
              <w:left w:val="single" w:sz="4" w:space="0" w:color="auto"/>
              <w:bottom w:val="single" w:sz="4" w:space="0" w:color="auto"/>
              <w:right w:val="single" w:sz="4" w:space="0" w:color="auto"/>
            </w:tcBorders>
          </w:tcPr>
          <w:p w:rsidR="00C30A65" w:rsidRPr="005E10F7" w:rsidRDefault="00C30A65" w:rsidP="003D3832">
            <w:pPr>
              <w:pStyle w:val="Tabletext"/>
              <w:keepNext/>
            </w:pPr>
            <w:r w:rsidRPr="005E10F7">
              <w:t>51.75 kHz</w:t>
            </w:r>
          </w:p>
        </w:tc>
        <w:tc>
          <w:tcPr>
            <w:tcW w:w="2940" w:type="dxa"/>
            <w:tcBorders>
              <w:top w:val="single" w:sz="4" w:space="0" w:color="auto"/>
              <w:left w:val="single" w:sz="4" w:space="0" w:color="auto"/>
              <w:bottom w:val="single" w:sz="4" w:space="0" w:color="auto"/>
              <w:right w:val="single" w:sz="4" w:space="0" w:color="auto"/>
            </w:tcBorders>
          </w:tcPr>
          <w:p w:rsidR="00C30A65" w:rsidRPr="005E10F7" w:rsidRDefault="00C30A65" w:rsidP="003D3832">
            <w:pPr>
              <w:pStyle w:val="Tabletext"/>
              <w:keepNext/>
            </w:pPr>
            <w:r w:rsidRPr="005E10F7">
              <w:t>51.75 kHz</w:t>
            </w:r>
          </w:p>
        </w:tc>
      </w:tr>
      <w:tr w:rsidR="00C30A65" w:rsidRPr="005E10F7" w:rsidTr="003D3832">
        <w:trPr>
          <w:jc w:val="center"/>
        </w:trPr>
        <w:tc>
          <w:tcPr>
            <w:tcW w:w="2055" w:type="dxa"/>
            <w:tcBorders>
              <w:top w:val="single" w:sz="4" w:space="0" w:color="auto"/>
              <w:left w:val="single" w:sz="4" w:space="0" w:color="auto"/>
              <w:bottom w:val="single" w:sz="4" w:space="0" w:color="auto"/>
              <w:right w:val="single" w:sz="4" w:space="0" w:color="auto"/>
            </w:tcBorders>
          </w:tcPr>
          <w:p w:rsidR="00C30A65" w:rsidRPr="005E10F7" w:rsidRDefault="00C30A65" w:rsidP="003D3832">
            <w:pPr>
              <w:pStyle w:val="Tabletext"/>
              <w:keepNext/>
            </w:pPr>
            <w:r w:rsidRPr="005E10F7">
              <w:rPr>
                <w:i/>
              </w:rPr>
              <w:t>L</w:t>
            </w:r>
            <w:r w:rsidRPr="005E10F7">
              <w:rPr>
                <w:i/>
                <w:vertAlign w:val="subscript"/>
              </w:rPr>
              <w:t>CP</w:t>
            </w:r>
          </w:p>
        </w:tc>
        <w:tc>
          <w:tcPr>
            <w:tcW w:w="4289" w:type="dxa"/>
            <w:tcBorders>
              <w:top w:val="single" w:sz="4" w:space="0" w:color="auto"/>
              <w:left w:val="single" w:sz="4" w:space="0" w:color="auto"/>
              <w:bottom w:val="single" w:sz="4" w:space="0" w:color="auto"/>
              <w:right w:val="single" w:sz="4" w:space="0" w:color="auto"/>
            </w:tcBorders>
          </w:tcPr>
          <w:p w:rsidR="00C30A65" w:rsidRPr="005E10F7" w:rsidRDefault="00C30A65" w:rsidP="003D3832">
            <w:pPr>
              <w:pStyle w:val="Tabletext"/>
              <w:keepNext/>
            </w:pPr>
            <w:r w:rsidRPr="005E10F7">
              <w:rPr>
                <w:i/>
                <w:iCs/>
              </w:rPr>
              <w:t>N</w:t>
            </w:r>
            <w:r w:rsidRPr="005E10F7">
              <w:t xml:space="preserve">/64 × </w:t>
            </w:r>
            <w:r w:rsidRPr="005E10F7">
              <w:rPr>
                <w:i/>
                <w:iCs/>
              </w:rPr>
              <w:t>m</w:t>
            </w:r>
            <w:r w:rsidRPr="005E10F7">
              <w:t xml:space="preserve"> for </w:t>
            </w:r>
            <w:r w:rsidRPr="005E10F7">
              <w:rPr>
                <w:i/>
                <w:iCs/>
              </w:rPr>
              <w:t xml:space="preserve">m </w:t>
            </w:r>
            <w:r w:rsidRPr="005E10F7">
              <w:t>= 4, 8, 10, 12, 14, 16, 20, 24, 30 and 33 samples @ 2*</w:t>
            </w:r>
            <w:r w:rsidRPr="005E10F7">
              <w:rPr>
                <w:i/>
              </w:rPr>
              <w:t>N</w:t>
            </w:r>
            <w:r w:rsidRPr="005E10F7">
              <w:t>*</w:t>
            </w:r>
            <w:r w:rsidRPr="005E10F7">
              <w:rPr>
                <w:i/>
              </w:rPr>
              <w:t>F</w:t>
            </w:r>
            <w:r w:rsidRPr="005E10F7">
              <w:rPr>
                <w:i/>
                <w:vertAlign w:val="subscript"/>
              </w:rPr>
              <w:t>SC</w:t>
            </w:r>
            <w:r w:rsidRPr="005E10F7">
              <w:t> samples/s</w:t>
            </w:r>
          </w:p>
        </w:tc>
        <w:tc>
          <w:tcPr>
            <w:tcW w:w="2940" w:type="dxa"/>
            <w:tcBorders>
              <w:top w:val="single" w:sz="4" w:space="0" w:color="auto"/>
              <w:left w:val="single" w:sz="4" w:space="0" w:color="auto"/>
              <w:bottom w:val="single" w:sz="4" w:space="0" w:color="auto"/>
              <w:right w:val="single" w:sz="4" w:space="0" w:color="auto"/>
            </w:tcBorders>
          </w:tcPr>
          <w:p w:rsidR="00C30A65" w:rsidRPr="005E10F7" w:rsidRDefault="00C30A65" w:rsidP="003D3832">
            <w:pPr>
              <w:pStyle w:val="Tabletext"/>
              <w:keepNext/>
            </w:pPr>
            <w:r w:rsidRPr="005E10F7">
              <w:t>For further study</w:t>
            </w:r>
          </w:p>
        </w:tc>
      </w:tr>
      <w:tr w:rsidR="00C30A65" w:rsidRPr="005E10F7" w:rsidTr="003D3832">
        <w:trPr>
          <w:jc w:val="center"/>
        </w:trPr>
        <w:tc>
          <w:tcPr>
            <w:tcW w:w="2055" w:type="dxa"/>
            <w:tcBorders>
              <w:top w:val="single" w:sz="4" w:space="0" w:color="auto"/>
              <w:left w:val="single" w:sz="4" w:space="0" w:color="auto"/>
              <w:bottom w:val="single" w:sz="4" w:space="0" w:color="auto"/>
              <w:right w:val="single" w:sz="4" w:space="0" w:color="auto"/>
            </w:tcBorders>
          </w:tcPr>
          <w:p w:rsidR="00C30A65" w:rsidRPr="005E10F7" w:rsidRDefault="00C30A65" w:rsidP="003D3832">
            <w:pPr>
              <w:pStyle w:val="Tabletext"/>
              <w:keepNext/>
            </w:pPr>
            <w:r w:rsidRPr="005E10F7">
              <w:t>β</w:t>
            </w:r>
          </w:p>
        </w:tc>
        <w:tc>
          <w:tcPr>
            <w:tcW w:w="4289" w:type="dxa"/>
            <w:tcBorders>
              <w:top w:val="single" w:sz="4" w:space="0" w:color="auto"/>
              <w:left w:val="single" w:sz="4" w:space="0" w:color="auto"/>
              <w:bottom w:val="single" w:sz="4" w:space="0" w:color="auto"/>
              <w:right w:val="single" w:sz="4" w:space="0" w:color="auto"/>
            </w:tcBorders>
          </w:tcPr>
          <w:p w:rsidR="00C30A65" w:rsidRPr="005E10F7" w:rsidRDefault="00C30A65" w:rsidP="003D3832">
            <w:pPr>
              <w:pStyle w:val="Tabletext"/>
              <w:keepNext/>
            </w:pPr>
            <w:r w:rsidRPr="005E10F7">
              <w:t>64 and 128 samples @ 2*</w:t>
            </w:r>
            <w:r w:rsidRPr="005E10F7">
              <w:rPr>
                <w:i/>
              </w:rPr>
              <w:t>N</w:t>
            </w:r>
            <w:r w:rsidRPr="005E10F7">
              <w:t>*</w:t>
            </w:r>
            <w:r w:rsidRPr="005E10F7">
              <w:rPr>
                <w:i/>
              </w:rPr>
              <w:t>F</w:t>
            </w:r>
            <w:r w:rsidRPr="005E10F7">
              <w:rPr>
                <w:i/>
                <w:vertAlign w:val="subscript"/>
              </w:rPr>
              <w:t>SC</w:t>
            </w:r>
            <w:r w:rsidRPr="005E10F7">
              <w:t> samples/s</w:t>
            </w:r>
          </w:p>
        </w:tc>
        <w:tc>
          <w:tcPr>
            <w:tcW w:w="2940" w:type="dxa"/>
            <w:tcBorders>
              <w:top w:val="single" w:sz="4" w:space="0" w:color="auto"/>
              <w:left w:val="single" w:sz="4" w:space="0" w:color="auto"/>
              <w:bottom w:val="single" w:sz="4" w:space="0" w:color="auto"/>
              <w:right w:val="single" w:sz="4" w:space="0" w:color="auto"/>
            </w:tcBorders>
          </w:tcPr>
          <w:p w:rsidR="00C30A65" w:rsidRPr="005E10F7" w:rsidRDefault="00C30A65" w:rsidP="003D3832">
            <w:pPr>
              <w:pStyle w:val="Tabletext"/>
              <w:keepNext/>
            </w:pPr>
            <w:r w:rsidRPr="005E10F7">
              <w:t>For further study</w:t>
            </w:r>
          </w:p>
        </w:tc>
      </w:tr>
      <w:tr w:rsidR="00C30A65" w:rsidRPr="005E10F7" w:rsidTr="003D3832">
        <w:trPr>
          <w:jc w:val="center"/>
        </w:trPr>
        <w:tc>
          <w:tcPr>
            <w:tcW w:w="2055" w:type="dxa"/>
            <w:tcBorders>
              <w:top w:val="single" w:sz="4" w:space="0" w:color="auto"/>
              <w:left w:val="single" w:sz="4" w:space="0" w:color="auto"/>
              <w:bottom w:val="single" w:sz="4" w:space="0" w:color="auto"/>
              <w:right w:val="single" w:sz="4" w:space="0" w:color="auto"/>
            </w:tcBorders>
          </w:tcPr>
          <w:p w:rsidR="00C30A65" w:rsidRPr="005E10F7" w:rsidRDefault="00C30A65" w:rsidP="003D3832">
            <w:pPr>
              <w:pStyle w:val="Tabletext"/>
              <w:keepNext/>
            </w:pPr>
            <w:r w:rsidRPr="005E10F7">
              <w:t>Maximum aggregate transmit power</w:t>
            </w:r>
          </w:p>
        </w:tc>
        <w:tc>
          <w:tcPr>
            <w:tcW w:w="4289" w:type="dxa"/>
            <w:tcBorders>
              <w:top w:val="single" w:sz="4" w:space="0" w:color="auto"/>
              <w:left w:val="single" w:sz="4" w:space="0" w:color="auto"/>
              <w:bottom w:val="single" w:sz="4" w:space="0" w:color="auto"/>
              <w:right w:val="single" w:sz="4" w:space="0" w:color="auto"/>
            </w:tcBorders>
          </w:tcPr>
          <w:p w:rsidR="00C30A65" w:rsidRPr="005E10F7" w:rsidRDefault="00C30A65" w:rsidP="003D3832">
            <w:pPr>
              <w:pStyle w:val="Tabletext"/>
              <w:keepNext/>
            </w:pPr>
            <w:r w:rsidRPr="005E10F7">
              <w:t xml:space="preserve">+ 4 </w:t>
            </w:r>
            <w:proofErr w:type="spellStart"/>
            <w:r w:rsidRPr="005E10F7">
              <w:t>dBm</w:t>
            </w:r>
            <w:proofErr w:type="spellEnd"/>
            <w:r w:rsidRPr="005E10F7">
              <w:t xml:space="preserve"> (See clauses 6.3 and 6.4)</w:t>
            </w:r>
          </w:p>
        </w:tc>
        <w:tc>
          <w:tcPr>
            <w:tcW w:w="2940" w:type="dxa"/>
            <w:tcBorders>
              <w:top w:val="single" w:sz="4" w:space="0" w:color="auto"/>
              <w:left w:val="single" w:sz="4" w:space="0" w:color="auto"/>
              <w:bottom w:val="single" w:sz="4" w:space="0" w:color="auto"/>
              <w:right w:val="single" w:sz="4" w:space="0" w:color="auto"/>
            </w:tcBorders>
          </w:tcPr>
          <w:p w:rsidR="00C30A65" w:rsidRPr="005E10F7" w:rsidRDefault="00C30A65" w:rsidP="003D3832">
            <w:pPr>
              <w:pStyle w:val="Tabletext"/>
              <w:keepNext/>
            </w:pPr>
            <w:r w:rsidRPr="005E10F7">
              <w:t>For further study</w:t>
            </w:r>
          </w:p>
        </w:tc>
      </w:tr>
      <w:tr w:rsidR="00C30A65" w:rsidRPr="005E10F7" w:rsidTr="003D3832">
        <w:trPr>
          <w:jc w:val="center"/>
        </w:trPr>
        <w:tc>
          <w:tcPr>
            <w:tcW w:w="9284" w:type="dxa"/>
            <w:gridSpan w:val="3"/>
            <w:tcBorders>
              <w:top w:val="single" w:sz="4" w:space="0" w:color="auto"/>
            </w:tcBorders>
          </w:tcPr>
          <w:p w:rsidR="00C30A65" w:rsidRPr="005E10F7" w:rsidRDefault="00C30A65" w:rsidP="003D3832">
            <w:pPr>
              <w:pStyle w:val="Tabletext"/>
              <w:keepLines/>
              <w:tabs>
                <w:tab w:val="clear" w:pos="284"/>
                <w:tab w:val="clear" w:pos="567"/>
                <w:tab w:val="clear" w:pos="851"/>
                <w:tab w:val="clear" w:pos="1134"/>
                <w:tab w:val="clear" w:pos="1418"/>
                <w:tab w:val="left" w:leader="dot" w:pos="8789"/>
                <w:tab w:val="right" w:pos="9639"/>
              </w:tabs>
              <w:ind w:left="57" w:right="851"/>
            </w:pPr>
            <w:r w:rsidRPr="005E10F7">
              <w:t>NOTE 1 – Future profiles may be defined with higher maximum aggregate transmit powers provided that they are within the bounds of the limit PSD mask specified in this Recommendation.</w:t>
            </w:r>
          </w:p>
          <w:p w:rsidR="00C30A65" w:rsidRPr="00DF5E55" w:rsidRDefault="00C30A65" w:rsidP="003D3832">
            <w:pPr>
              <w:pStyle w:val="Tabletext"/>
              <w:keepLines/>
              <w:tabs>
                <w:tab w:val="clear" w:pos="284"/>
                <w:tab w:val="clear" w:pos="567"/>
                <w:tab w:val="clear" w:pos="851"/>
                <w:tab w:val="clear" w:pos="1134"/>
                <w:tab w:val="clear" w:pos="1418"/>
                <w:tab w:val="left" w:leader="dot" w:pos="8789"/>
                <w:tab w:val="right" w:pos="9639"/>
              </w:tabs>
              <w:ind w:left="57" w:right="851"/>
            </w:pPr>
            <w:r w:rsidRPr="005E10F7">
              <w:t xml:space="preserve">NOTE 2 – The range of valid sub-carrier indices corresponds to frequencies between 2 and 106 </w:t>
            </w:r>
            <w:proofErr w:type="spellStart"/>
            <w:r w:rsidRPr="005E10F7">
              <w:t>MHz.</w:t>
            </w:r>
            <w:proofErr w:type="spellEnd"/>
          </w:p>
        </w:tc>
      </w:tr>
    </w:tbl>
    <w:p w:rsidR="00C30A65" w:rsidRPr="005E10F7" w:rsidRDefault="00C30A65" w:rsidP="00C30A65"/>
    <w:p w:rsidR="00C30A65" w:rsidRPr="005E10F7" w:rsidRDefault="00C30A65" w:rsidP="00C30A65">
      <w:pPr>
        <w:pStyle w:val="Heading2"/>
      </w:pPr>
      <w:bookmarkStart w:id="32" w:name="_Toc361338939"/>
      <w:r w:rsidRPr="005E10F7">
        <w:t>6.2</w:t>
      </w:r>
      <w:r w:rsidRPr="005E10F7">
        <w:tab/>
        <w:t>PSD mask specifications</w:t>
      </w:r>
      <w:bookmarkEnd w:id="32"/>
    </w:p>
    <w:p w:rsidR="00C30A65" w:rsidRPr="005E10F7" w:rsidRDefault="00C30A65" w:rsidP="00C30A65">
      <w:pPr>
        <w:pStyle w:val="Heading3"/>
      </w:pPr>
      <w:bookmarkStart w:id="33" w:name="_Toc361338940"/>
      <w:r w:rsidRPr="005E10F7">
        <w:t>6.2.1</w:t>
      </w:r>
      <w:r w:rsidRPr="005E10F7">
        <w:tab/>
        <w:t>Limit PSD mask (LPM)</w:t>
      </w:r>
      <w:bookmarkEnd w:id="33"/>
      <w:r w:rsidRPr="005E10F7">
        <w:t xml:space="preserve"> </w:t>
      </w:r>
    </w:p>
    <w:p w:rsidR="00C30A65" w:rsidRPr="005E10F7" w:rsidRDefault="00C30A65" w:rsidP="00C30A65">
      <w:pPr>
        <w:pStyle w:val="Normalaftertitle"/>
        <w:spacing w:before="240"/>
      </w:pPr>
      <w:r w:rsidRPr="005E10F7">
        <w:t xml:space="preserve">The LPM represents the absolute maximum that the </w:t>
      </w:r>
      <w:proofErr w:type="spellStart"/>
      <w:r w:rsidRPr="005E10F7">
        <w:t>TxPSDM</w:t>
      </w:r>
      <w:proofErr w:type="spellEnd"/>
      <w:r w:rsidRPr="005E10F7">
        <w:t xml:space="preserve"> shall never exceed. The in-band LPMs for 106 MHz profile and 212 MHz profile are presented in clause 6.2.1.1. The out-of-band LPMs are defined in clause 6.2.1.2.</w:t>
      </w:r>
    </w:p>
    <w:p w:rsidR="00C30A65" w:rsidRPr="005E10F7" w:rsidRDefault="00C30A65" w:rsidP="00C30A65">
      <w:pPr>
        <w:pStyle w:val="Heading4"/>
      </w:pPr>
      <w:bookmarkStart w:id="34" w:name="_Toc361338941"/>
      <w:r w:rsidRPr="005E10F7">
        <w:t>6.2.1.1</w:t>
      </w:r>
      <w:r w:rsidRPr="005E10F7">
        <w:tab/>
        <w:t>In-band LPM</w:t>
      </w:r>
      <w:bookmarkEnd w:id="34"/>
      <w:r w:rsidRPr="005E10F7">
        <w:t xml:space="preserve"> </w:t>
      </w:r>
    </w:p>
    <w:p w:rsidR="00C30A65" w:rsidRPr="005E10F7" w:rsidRDefault="00C30A65" w:rsidP="00C30A65">
      <w:r w:rsidRPr="005E10F7">
        <w:t>The in-band LPMs for the 106 MHz profile and the 212 MHz profile are shown in Figure 6-1 and Figure 6-2, respectively. The parameters for these LPMs are presented in Table 6-</w:t>
      </w:r>
      <w:r>
        <w:t>2</w:t>
      </w:r>
      <w:r w:rsidRPr="005E10F7">
        <w:t xml:space="preserve"> and Table 6-</w:t>
      </w:r>
      <w:r>
        <w:t>3</w:t>
      </w:r>
      <w:r w:rsidRPr="005E10F7">
        <w:t xml:space="preserve">, respectively. </w:t>
      </w:r>
    </w:p>
    <w:p w:rsidR="00C30A65" w:rsidRPr="005E10F7" w:rsidRDefault="00C30A65" w:rsidP="00C30A65">
      <w:pPr>
        <w:keepNext/>
        <w:jc w:val="center"/>
      </w:pPr>
      <w:r w:rsidRPr="005E10F7">
        <w:object w:dxaOrig="7611" w:dyaOrig="2703">
          <v:shape id="_x0000_i1027" type="#_x0000_t75" style="width:456.75pt;height:162pt" o:ole="">
            <v:imagedata r:id="rId19" o:title=""/>
          </v:shape>
          <o:OLEObject Type="Embed" ProgID="CorelDRAW.Graphic.13" ShapeID="_x0000_i1027" DrawAspect="Content" ObjectID="_1445770713" r:id="rId20"/>
        </w:object>
      </w:r>
    </w:p>
    <w:p w:rsidR="00C30A65" w:rsidRPr="005E10F7" w:rsidRDefault="00C30A65" w:rsidP="00C30A65">
      <w:pPr>
        <w:pStyle w:val="FigureNotitle"/>
      </w:pPr>
      <w:r w:rsidRPr="005E10F7">
        <w:t>Figure 6-1 – In-band limit PSD mask for 106 MHz profile</w:t>
      </w:r>
    </w:p>
    <w:p w:rsidR="00C30A65" w:rsidRPr="005E10F7" w:rsidRDefault="00C30A65" w:rsidP="00C30A65">
      <w:pPr>
        <w:jc w:val="center"/>
      </w:pPr>
    </w:p>
    <w:p w:rsidR="00C30A65" w:rsidRPr="005E10F7" w:rsidRDefault="00C30A65" w:rsidP="00C30A65">
      <w:pPr>
        <w:jc w:val="center"/>
      </w:pPr>
      <w:r w:rsidRPr="005E10F7">
        <w:object w:dxaOrig="7611" w:dyaOrig="2703">
          <v:shape id="_x0000_i1028" type="#_x0000_t75" style="width:456.75pt;height:162pt" o:ole="">
            <v:imagedata r:id="rId21" o:title=""/>
          </v:shape>
          <o:OLEObject Type="Embed" ProgID="CorelDRAW.Graphic.13" ShapeID="_x0000_i1028" DrawAspect="Content" ObjectID="_1445770714" r:id="rId22"/>
        </w:object>
      </w:r>
    </w:p>
    <w:p w:rsidR="00C30A65" w:rsidRPr="005E10F7" w:rsidRDefault="00C30A65" w:rsidP="00C30A65">
      <w:pPr>
        <w:pStyle w:val="FigureNotitle"/>
      </w:pPr>
      <w:r w:rsidRPr="005E10F7">
        <w:t>Figure 6-2 – In-band limit PSD mask for 212 MHz profile</w:t>
      </w:r>
    </w:p>
    <w:p w:rsidR="00C30A65" w:rsidRPr="005E10F7" w:rsidRDefault="00C30A65" w:rsidP="00C30A65">
      <w:pPr>
        <w:pStyle w:val="TableNotitle"/>
      </w:pPr>
      <w:r w:rsidRPr="005E10F7">
        <w:t>Table 6-2 – Parameters of in-band LPM for 106 MHz profile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18"/>
        <w:gridCol w:w="1417"/>
        <w:gridCol w:w="1418"/>
        <w:gridCol w:w="5386"/>
      </w:tblGrid>
      <w:tr w:rsidR="00C30A65" w:rsidRPr="005E10F7" w:rsidTr="003D3832">
        <w:trPr>
          <w:tblHeader/>
          <w:jc w:val="center"/>
        </w:trPr>
        <w:tc>
          <w:tcPr>
            <w:tcW w:w="1418" w:type="dxa"/>
            <w:vAlign w:val="center"/>
          </w:tcPr>
          <w:p w:rsidR="00C30A65" w:rsidRPr="005E10F7" w:rsidRDefault="00C30A65" w:rsidP="003D3832">
            <w:pPr>
              <w:pStyle w:val="Tablehead"/>
            </w:pPr>
            <w:r w:rsidRPr="005E10F7">
              <w:t>Parameter</w:t>
            </w:r>
          </w:p>
        </w:tc>
        <w:tc>
          <w:tcPr>
            <w:tcW w:w="1417" w:type="dxa"/>
            <w:vAlign w:val="center"/>
          </w:tcPr>
          <w:p w:rsidR="00C30A65" w:rsidRPr="005E10F7" w:rsidRDefault="00C30A65" w:rsidP="003D3832">
            <w:pPr>
              <w:pStyle w:val="Tablehead"/>
            </w:pPr>
            <w:r w:rsidRPr="005E10F7">
              <w:t>Frequency</w:t>
            </w:r>
            <w:r w:rsidRPr="005E10F7">
              <w:br/>
              <w:t>(MHz)</w:t>
            </w:r>
          </w:p>
        </w:tc>
        <w:tc>
          <w:tcPr>
            <w:tcW w:w="1418" w:type="dxa"/>
            <w:vAlign w:val="center"/>
          </w:tcPr>
          <w:p w:rsidR="00C30A65" w:rsidRPr="005E10F7" w:rsidRDefault="00C30A65" w:rsidP="003D3832">
            <w:pPr>
              <w:pStyle w:val="Tablehead"/>
            </w:pPr>
            <w:r w:rsidRPr="005E10F7">
              <w:t>PSD</w:t>
            </w:r>
            <w:r w:rsidRPr="005E10F7">
              <w:br/>
              <w:t>(</w:t>
            </w:r>
            <w:proofErr w:type="spellStart"/>
            <w:r w:rsidRPr="005E10F7">
              <w:t>dBm</w:t>
            </w:r>
            <w:proofErr w:type="spellEnd"/>
            <w:r w:rsidRPr="005E10F7">
              <w:t>/Hz)</w:t>
            </w:r>
          </w:p>
        </w:tc>
        <w:tc>
          <w:tcPr>
            <w:tcW w:w="5386" w:type="dxa"/>
            <w:vAlign w:val="center"/>
          </w:tcPr>
          <w:p w:rsidR="00C30A65" w:rsidRPr="005E10F7" w:rsidRDefault="00C30A65" w:rsidP="003D3832">
            <w:pPr>
              <w:pStyle w:val="Tablehead"/>
            </w:pPr>
            <w:r w:rsidRPr="005E10F7">
              <w:t>Description</w:t>
            </w:r>
          </w:p>
        </w:tc>
      </w:tr>
      <w:tr w:rsidR="00C30A65" w:rsidRPr="005E10F7" w:rsidTr="003D3832">
        <w:trPr>
          <w:jc w:val="center"/>
        </w:trPr>
        <w:tc>
          <w:tcPr>
            <w:tcW w:w="1418" w:type="dxa"/>
          </w:tcPr>
          <w:p w:rsidR="00C30A65" w:rsidRPr="005E10F7" w:rsidRDefault="00C30A65" w:rsidP="003D3832">
            <w:pPr>
              <w:pStyle w:val="Tabletext"/>
              <w:keepNext/>
              <w:jc w:val="center"/>
              <w:rPr>
                <w:i/>
              </w:rPr>
            </w:pPr>
            <w:r w:rsidRPr="005E10F7">
              <w:rPr>
                <w:i/>
              </w:rPr>
              <w:t>f</w:t>
            </w:r>
            <w:r w:rsidRPr="005E10F7">
              <w:rPr>
                <w:i/>
                <w:vertAlign w:val="subscript"/>
              </w:rPr>
              <w:t>tr1</w:t>
            </w:r>
          </w:p>
        </w:tc>
        <w:tc>
          <w:tcPr>
            <w:tcW w:w="1417" w:type="dxa"/>
          </w:tcPr>
          <w:p w:rsidR="00C30A65" w:rsidRPr="005E10F7" w:rsidRDefault="00C30A65" w:rsidP="003D3832">
            <w:pPr>
              <w:pStyle w:val="Tabletext"/>
              <w:keepNext/>
              <w:jc w:val="center"/>
            </w:pPr>
            <w:r w:rsidRPr="005E10F7">
              <w:t>2</w:t>
            </w:r>
          </w:p>
        </w:tc>
        <w:tc>
          <w:tcPr>
            <w:tcW w:w="1418" w:type="dxa"/>
          </w:tcPr>
          <w:p w:rsidR="00C30A65" w:rsidRPr="005E10F7" w:rsidRDefault="00C30A65" w:rsidP="003D3832">
            <w:pPr>
              <w:pStyle w:val="Tabletext"/>
              <w:keepNext/>
              <w:jc w:val="center"/>
            </w:pPr>
            <w:r w:rsidRPr="005E10F7">
              <w:t>– 65</w:t>
            </w:r>
          </w:p>
        </w:tc>
        <w:tc>
          <w:tcPr>
            <w:tcW w:w="5386" w:type="dxa"/>
            <w:vMerge w:val="restart"/>
          </w:tcPr>
          <w:p w:rsidR="00C30A65" w:rsidRPr="005E10F7" w:rsidRDefault="00C30A65" w:rsidP="003D3832">
            <w:pPr>
              <w:pStyle w:val="Tabletext"/>
              <w:keepNext/>
            </w:pPr>
            <w:r w:rsidRPr="005E10F7">
              <w:t xml:space="preserve">The LPM below </w:t>
            </w:r>
            <w:r w:rsidRPr="005E10F7">
              <w:rPr>
                <w:i/>
              </w:rPr>
              <w:t>f</w:t>
            </w:r>
            <w:r w:rsidRPr="0040570B">
              <w:rPr>
                <w:i/>
                <w:vertAlign w:val="subscript"/>
              </w:rPr>
              <w:t>tr1</w:t>
            </w:r>
            <w:r w:rsidRPr="005E10F7">
              <w:t xml:space="preserve"> is defined in clause 6.2.1.2.</w:t>
            </w:r>
          </w:p>
        </w:tc>
      </w:tr>
      <w:tr w:rsidR="00C30A65" w:rsidRPr="005E10F7" w:rsidTr="003D3832">
        <w:trPr>
          <w:jc w:val="center"/>
        </w:trPr>
        <w:tc>
          <w:tcPr>
            <w:tcW w:w="1418" w:type="dxa"/>
          </w:tcPr>
          <w:p w:rsidR="00C30A65" w:rsidRPr="005E10F7" w:rsidRDefault="00C30A65" w:rsidP="003D3832">
            <w:pPr>
              <w:pStyle w:val="Tabletext"/>
              <w:keepNext/>
            </w:pPr>
          </w:p>
        </w:tc>
        <w:tc>
          <w:tcPr>
            <w:tcW w:w="1417" w:type="dxa"/>
          </w:tcPr>
          <w:p w:rsidR="00C30A65" w:rsidRPr="005E10F7" w:rsidRDefault="00C30A65" w:rsidP="003D3832">
            <w:pPr>
              <w:pStyle w:val="Tabletext"/>
              <w:keepNext/>
              <w:jc w:val="center"/>
            </w:pPr>
            <w:r w:rsidRPr="005E10F7">
              <w:t>30</w:t>
            </w:r>
          </w:p>
        </w:tc>
        <w:tc>
          <w:tcPr>
            <w:tcW w:w="1418" w:type="dxa"/>
          </w:tcPr>
          <w:p w:rsidR="00C30A65" w:rsidRPr="005E10F7" w:rsidRDefault="00C30A65" w:rsidP="003D3832">
            <w:pPr>
              <w:pStyle w:val="Tabletext"/>
              <w:keepNext/>
              <w:jc w:val="center"/>
            </w:pPr>
            <w:r w:rsidRPr="005E10F7">
              <w:t>– 65</w:t>
            </w:r>
          </w:p>
        </w:tc>
        <w:tc>
          <w:tcPr>
            <w:tcW w:w="5386" w:type="dxa"/>
            <w:vMerge/>
          </w:tcPr>
          <w:p w:rsidR="00C30A65" w:rsidRPr="005E10F7" w:rsidRDefault="00C30A65" w:rsidP="003D3832">
            <w:pPr>
              <w:pStyle w:val="Tabletext"/>
              <w:keepNext/>
            </w:pPr>
          </w:p>
        </w:tc>
      </w:tr>
      <w:tr w:rsidR="00C30A65" w:rsidRPr="005E10F7" w:rsidTr="003D3832">
        <w:trPr>
          <w:jc w:val="center"/>
        </w:trPr>
        <w:tc>
          <w:tcPr>
            <w:tcW w:w="1418" w:type="dxa"/>
          </w:tcPr>
          <w:p w:rsidR="00C30A65" w:rsidRPr="005E10F7" w:rsidRDefault="00C30A65" w:rsidP="003D3832">
            <w:pPr>
              <w:pStyle w:val="Tabletext"/>
              <w:keepNext/>
            </w:pPr>
          </w:p>
        </w:tc>
        <w:tc>
          <w:tcPr>
            <w:tcW w:w="1417" w:type="dxa"/>
          </w:tcPr>
          <w:p w:rsidR="00C30A65" w:rsidRPr="005E10F7" w:rsidRDefault="00C30A65" w:rsidP="003D3832">
            <w:pPr>
              <w:pStyle w:val="Tabletext"/>
              <w:keepNext/>
              <w:jc w:val="center"/>
            </w:pPr>
            <w:r w:rsidRPr="005E10F7">
              <w:t>30</w:t>
            </w:r>
          </w:p>
        </w:tc>
        <w:tc>
          <w:tcPr>
            <w:tcW w:w="1418" w:type="dxa"/>
          </w:tcPr>
          <w:p w:rsidR="00C30A65" w:rsidRPr="005E10F7" w:rsidRDefault="00C30A65" w:rsidP="003D3832">
            <w:pPr>
              <w:pStyle w:val="Tabletext"/>
              <w:keepNext/>
              <w:jc w:val="center"/>
            </w:pPr>
            <w:r w:rsidRPr="005E10F7">
              <w:t>– 73</w:t>
            </w:r>
          </w:p>
        </w:tc>
        <w:tc>
          <w:tcPr>
            <w:tcW w:w="5386" w:type="dxa"/>
            <w:vMerge w:val="restart"/>
          </w:tcPr>
          <w:p w:rsidR="00C30A65" w:rsidRPr="005E10F7" w:rsidRDefault="00C30A65" w:rsidP="003D3832">
            <w:pPr>
              <w:pStyle w:val="Tabletext"/>
              <w:keepNext/>
            </w:pPr>
            <w:r w:rsidRPr="005E10F7">
              <w:rPr>
                <w:szCs w:val="22"/>
              </w:rPr>
              <w:t>The PSD limit values between the points listed shall be obtained by linear interpolation in dB over linear frequency scale.</w:t>
            </w:r>
            <w:r>
              <w:rPr>
                <w:szCs w:val="22"/>
              </w:rPr>
              <w:t xml:space="preserve"> </w:t>
            </w:r>
            <w:r w:rsidRPr="005E10F7">
              <w:t xml:space="preserve">The LPM above </w:t>
            </w:r>
            <w:r w:rsidRPr="005E10F7">
              <w:rPr>
                <w:i/>
              </w:rPr>
              <w:t>f</w:t>
            </w:r>
            <w:r w:rsidRPr="0040570B">
              <w:rPr>
                <w:i/>
                <w:vertAlign w:val="subscript"/>
              </w:rPr>
              <w:t>tr2</w:t>
            </w:r>
            <w:r w:rsidRPr="005E10F7">
              <w:t xml:space="preserve"> is defined in clause 6.2.1.2</w:t>
            </w:r>
          </w:p>
        </w:tc>
      </w:tr>
      <w:tr w:rsidR="00C30A65" w:rsidRPr="005E10F7" w:rsidTr="003D3832">
        <w:trPr>
          <w:jc w:val="center"/>
        </w:trPr>
        <w:tc>
          <w:tcPr>
            <w:tcW w:w="1418" w:type="dxa"/>
          </w:tcPr>
          <w:p w:rsidR="00C30A65" w:rsidRPr="005E10F7" w:rsidRDefault="00C30A65" w:rsidP="003D3832">
            <w:pPr>
              <w:pStyle w:val="Tabletext"/>
              <w:keepNext/>
              <w:jc w:val="center"/>
              <w:rPr>
                <w:i/>
              </w:rPr>
            </w:pPr>
            <w:r w:rsidRPr="005E10F7">
              <w:rPr>
                <w:i/>
              </w:rPr>
              <w:t>f</w:t>
            </w:r>
            <w:r w:rsidRPr="005E10F7">
              <w:rPr>
                <w:i/>
                <w:vertAlign w:val="subscript"/>
              </w:rPr>
              <w:t>tr2</w:t>
            </w:r>
          </w:p>
        </w:tc>
        <w:tc>
          <w:tcPr>
            <w:tcW w:w="1417" w:type="dxa"/>
          </w:tcPr>
          <w:p w:rsidR="00C30A65" w:rsidRPr="005E10F7" w:rsidRDefault="00C30A65" w:rsidP="003D3832">
            <w:pPr>
              <w:pStyle w:val="Tabletext"/>
              <w:keepNext/>
              <w:jc w:val="center"/>
            </w:pPr>
            <w:r w:rsidRPr="005E10F7">
              <w:t>106</w:t>
            </w:r>
          </w:p>
        </w:tc>
        <w:tc>
          <w:tcPr>
            <w:tcW w:w="1418" w:type="dxa"/>
          </w:tcPr>
          <w:p w:rsidR="00C30A65" w:rsidRPr="005E10F7" w:rsidRDefault="00C30A65" w:rsidP="003D3832">
            <w:pPr>
              <w:keepNext/>
              <w:jc w:val="center"/>
              <w:rPr>
                <w:sz w:val="22"/>
                <w:szCs w:val="22"/>
              </w:rPr>
            </w:pPr>
            <w:r w:rsidRPr="005E10F7">
              <w:rPr>
                <w:sz w:val="22"/>
                <w:szCs w:val="22"/>
              </w:rPr>
              <w:t>– 76</w:t>
            </w:r>
          </w:p>
        </w:tc>
        <w:tc>
          <w:tcPr>
            <w:tcW w:w="5386" w:type="dxa"/>
            <w:vMerge/>
          </w:tcPr>
          <w:p w:rsidR="00C30A65" w:rsidRPr="005E10F7" w:rsidRDefault="00C30A65" w:rsidP="003D3832">
            <w:pPr>
              <w:pStyle w:val="Tabletext"/>
              <w:keepNext/>
            </w:pPr>
          </w:p>
        </w:tc>
      </w:tr>
    </w:tbl>
    <w:p w:rsidR="00C30A65" w:rsidRPr="005E10F7" w:rsidRDefault="00C30A65" w:rsidP="00C30A65"/>
    <w:p w:rsidR="00C30A65" w:rsidRPr="005E10F7" w:rsidRDefault="00C30A65" w:rsidP="00C30A65">
      <w:pPr>
        <w:pStyle w:val="TableNotitle"/>
      </w:pPr>
      <w:r w:rsidRPr="005E10F7">
        <w:lastRenderedPageBreak/>
        <w:t>Table 6-3 – Parameters of in-band LPM for 212 MHz profile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18"/>
        <w:gridCol w:w="1417"/>
        <w:gridCol w:w="1418"/>
        <w:gridCol w:w="5386"/>
      </w:tblGrid>
      <w:tr w:rsidR="00C30A65" w:rsidRPr="005E10F7" w:rsidTr="003D3832">
        <w:trPr>
          <w:tblHeader/>
          <w:jc w:val="center"/>
        </w:trPr>
        <w:tc>
          <w:tcPr>
            <w:tcW w:w="1418" w:type="dxa"/>
            <w:vAlign w:val="center"/>
          </w:tcPr>
          <w:p w:rsidR="00C30A65" w:rsidRPr="005E10F7" w:rsidRDefault="00C30A65" w:rsidP="003D3832">
            <w:pPr>
              <w:pStyle w:val="Tablehead"/>
            </w:pPr>
            <w:r w:rsidRPr="005E10F7">
              <w:t>Parameter</w:t>
            </w:r>
          </w:p>
        </w:tc>
        <w:tc>
          <w:tcPr>
            <w:tcW w:w="1417" w:type="dxa"/>
            <w:vAlign w:val="center"/>
          </w:tcPr>
          <w:p w:rsidR="00C30A65" w:rsidRPr="005E10F7" w:rsidRDefault="00C30A65" w:rsidP="003D3832">
            <w:pPr>
              <w:pStyle w:val="Tablehead"/>
            </w:pPr>
            <w:r w:rsidRPr="005E10F7">
              <w:t>Frequency</w:t>
            </w:r>
            <w:r w:rsidRPr="005E10F7">
              <w:br/>
              <w:t>(MHz)</w:t>
            </w:r>
          </w:p>
        </w:tc>
        <w:tc>
          <w:tcPr>
            <w:tcW w:w="1418" w:type="dxa"/>
            <w:vAlign w:val="center"/>
          </w:tcPr>
          <w:p w:rsidR="00C30A65" w:rsidRPr="005E10F7" w:rsidRDefault="00C30A65" w:rsidP="003D3832">
            <w:pPr>
              <w:pStyle w:val="Tablehead"/>
            </w:pPr>
            <w:r w:rsidRPr="005E10F7">
              <w:t>PSD</w:t>
            </w:r>
            <w:r w:rsidRPr="005E10F7">
              <w:br/>
              <w:t>(</w:t>
            </w:r>
            <w:proofErr w:type="spellStart"/>
            <w:r w:rsidRPr="005E10F7">
              <w:t>dBm</w:t>
            </w:r>
            <w:proofErr w:type="spellEnd"/>
            <w:r w:rsidRPr="005E10F7">
              <w:t>/Hz)</w:t>
            </w:r>
          </w:p>
        </w:tc>
        <w:tc>
          <w:tcPr>
            <w:tcW w:w="5386" w:type="dxa"/>
            <w:vAlign w:val="center"/>
          </w:tcPr>
          <w:p w:rsidR="00C30A65" w:rsidRPr="005E10F7" w:rsidRDefault="00C30A65" w:rsidP="003D3832">
            <w:pPr>
              <w:pStyle w:val="Tablehead"/>
            </w:pPr>
            <w:r w:rsidRPr="005E10F7">
              <w:t>Description</w:t>
            </w:r>
          </w:p>
        </w:tc>
      </w:tr>
      <w:tr w:rsidR="00C30A65" w:rsidRPr="005E10F7" w:rsidTr="003D3832">
        <w:trPr>
          <w:tblHeader/>
          <w:jc w:val="center"/>
        </w:trPr>
        <w:tc>
          <w:tcPr>
            <w:tcW w:w="1418" w:type="dxa"/>
            <w:tcBorders>
              <w:top w:val="single" w:sz="6" w:space="0" w:color="auto"/>
              <w:left w:val="single" w:sz="6" w:space="0" w:color="auto"/>
              <w:bottom w:val="single" w:sz="6" w:space="0" w:color="auto"/>
              <w:right w:val="single" w:sz="6" w:space="0" w:color="auto"/>
            </w:tcBorders>
            <w:vAlign w:val="center"/>
          </w:tcPr>
          <w:p w:rsidR="00C30A65" w:rsidRPr="005E10F7" w:rsidRDefault="00C30A65" w:rsidP="003D3832">
            <w:pPr>
              <w:pStyle w:val="Tablehead"/>
              <w:rPr>
                <w:b w:val="0"/>
                <w:i/>
              </w:rPr>
            </w:pPr>
            <w:r w:rsidRPr="005E10F7">
              <w:rPr>
                <w:b w:val="0"/>
                <w:i/>
              </w:rPr>
              <w:t>f</w:t>
            </w:r>
            <w:r w:rsidRPr="005E10F7">
              <w:rPr>
                <w:b w:val="0"/>
                <w:i/>
                <w:vertAlign w:val="subscript"/>
              </w:rPr>
              <w:t>tr1</w:t>
            </w:r>
          </w:p>
        </w:tc>
        <w:tc>
          <w:tcPr>
            <w:tcW w:w="1417" w:type="dxa"/>
            <w:tcBorders>
              <w:top w:val="single" w:sz="6" w:space="0" w:color="auto"/>
              <w:left w:val="single" w:sz="6" w:space="0" w:color="auto"/>
              <w:bottom w:val="single" w:sz="6" w:space="0" w:color="auto"/>
              <w:right w:val="single" w:sz="6" w:space="0" w:color="auto"/>
            </w:tcBorders>
            <w:vAlign w:val="center"/>
          </w:tcPr>
          <w:p w:rsidR="00C30A65" w:rsidRPr="005E10F7" w:rsidRDefault="00C30A65" w:rsidP="003D3832">
            <w:pPr>
              <w:pStyle w:val="Tablehead"/>
              <w:rPr>
                <w:b w:val="0"/>
              </w:rPr>
            </w:pPr>
            <w:r w:rsidRPr="005E10F7">
              <w:rPr>
                <w:b w:val="0"/>
              </w:rPr>
              <w:t>2</w:t>
            </w:r>
          </w:p>
        </w:tc>
        <w:tc>
          <w:tcPr>
            <w:tcW w:w="1418" w:type="dxa"/>
            <w:tcBorders>
              <w:top w:val="single" w:sz="6" w:space="0" w:color="auto"/>
              <w:left w:val="single" w:sz="6" w:space="0" w:color="auto"/>
              <w:bottom w:val="single" w:sz="6" w:space="0" w:color="auto"/>
              <w:right w:val="single" w:sz="6" w:space="0" w:color="auto"/>
            </w:tcBorders>
            <w:vAlign w:val="center"/>
          </w:tcPr>
          <w:p w:rsidR="00C30A65" w:rsidRPr="005E10F7" w:rsidRDefault="00C30A65" w:rsidP="003D3832">
            <w:pPr>
              <w:pStyle w:val="Tablehead"/>
              <w:rPr>
                <w:b w:val="0"/>
              </w:rPr>
            </w:pPr>
            <w:r w:rsidRPr="005E10F7">
              <w:rPr>
                <w:b w:val="0"/>
              </w:rPr>
              <w:t>– 65</w:t>
            </w:r>
          </w:p>
        </w:tc>
        <w:tc>
          <w:tcPr>
            <w:tcW w:w="5386" w:type="dxa"/>
            <w:vMerge w:val="restart"/>
            <w:tcBorders>
              <w:top w:val="single" w:sz="6" w:space="0" w:color="auto"/>
              <w:left w:val="single" w:sz="6" w:space="0" w:color="auto"/>
              <w:right w:val="single" w:sz="6" w:space="0" w:color="auto"/>
            </w:tcBorders>
          </w:tcPr>
          <w:p w:rsidR="00C30A65" w:rsidRPr="005E10F7" w:rsidRDefault="00C30A65" w:rsidP="003D3832">
            <w:pPr>
              <w:pStyle w:val="Tabletext"/>
              <w:keepNext/>
            </w:pPr>
            <w:r w:rsidRPr="005E10F7">
              <w:t xml:space="preserve">The LPM below </w:t>
            </w:r>
            <w:r w:rsidRPr="005E10F7">
              <w:rPr>
                <w:i/>
              </w:rPr>
              <w:t>f</w:t>
            </w:r>
            <w:r w:rsidRPr="0040570B">
              <w:rPr>
                <w:i/>
                <w:vertAlign w:val="subscript"/>
              </w:rPr>
              <w:t>tr1</w:t>
            </w:r>
            <w:r w:rsidRPr="005E10F7">
              <w:t xml:space="preserve"> is defined in clause 6.2.1.2.</w:t>
            </w:r>
          </w:p>
        </w:tc>
      </w:tr>
      <w:tr w:rsidR="00C30A65" w:rsidRPr="005E10F7" w:rsidTr="003D3832">
        <w:trPr>
          <w:tblHeader/>
          <w:jc w:val="center"/>
        </w:trPr>
        <w:tc>
          <w:tcPr>
            <w:tcW w:w="1418" w:type="dxa"/>
            <w:tcBorders>
              <w:top w:val="single" w:sz="6" w:space="0" w:color="auto"/>
              <w:left w:val="single" w:sz="6" w:space="0" w:color="auto"/>
              <w:bottom w:val="single" w:sz="6" w:space="0" w:color="auto"/>
              <w:right w:val="single" w:sz="6" w:space="0" w:color="auto"/>
            </w:tcBorders>
            <w:vAlign w:val="center"/>
          </w:tcPr>
          <w:p w:rsidR="00C30A65" w:rsidRPr="005E10F7" w:rsidRDefault="00C30A65" w:rsidP="003D3832">
            <w:pPr>
              <w:pStyle w:val="Tablehead"/>
              <w:rPr>
                <w:b w:val="0"/>
              </w:rPr>
            </w:pPr>
          </w:p>
        </w:tc>
        <w:tc>
          <w:tcPr>
            <w:tcW w:w="1417" w:type="dxa"/>
            <w:tcBorders>
              <w:top w:val="single" w:sz="6" w:space="0" w:color="auto"/>
              <w:left w:val="single" w:sz="6" w:space="0" w:color="auto"/>
              <w:bottom w:val="single" w:sz="6" w:space="0" w:color="auto"/>
              <w:right w:val="single" w:sz="6" w:space="0" w:color="auto"/>
            </w:tcBorders>
            <w:vAlign w:val="center"/>
          </w:tcPr>
          <w:p w:rsidR="00C30A65" w:rsidRPr="005E10F7" w:rsidRDefault="00C30A65" w:rsidP="003D3832">
            <w:pPr>
              <w:pStyle w:val="Tablehead"/>
              <w:rPr>
                <w:b w:val="0"/>
              </w:rPr>
            </w:pPr>
            <w:r w:rsidRPr="005E10F7">
              <w:rPr>
                <w:b w:val="0"/>
              </w:rPr>
              <w:t>30</w:t>
            </w:r>
          </w:p>
        </w:tc>
        <w:tc>
          <w:tcPr>
            <w:tcW w:w="1418" w:type="dxa"/>
            <w:tcBorders>
              <w:top w:val="single" w:sz="6" w:space="0" w:color="auto"/>
              <w:left w:val="single" w:sz="6" w:space="0" w:color="auto"/>
              <w:bottom w:val="single" w:sz="6" w:space="0" w:color="auto"/>
              <w:right w:val="single" w:sz="6" w:space="0" w:color="auto"/>
            </w:tcBorders>
            <w:vAlign w:val="center"/>
          </w:tcPr>
          <w:p w:rsidR="00C30A65" w:rsidRPr="005E10F7" w:rsidRDefault="00C30A65" w:rsidP="003D3832">
            <w:pPr>
              <w:pStyle w:val="Tablehead"/>
              <w:rPr>
                <w:b w:val="0"/>
              </w:rPr>
            </w:pPr>
            <w:r w:rsidRPr="005E10F7">
              <w:rPr>
                <w:b w:val="0"/>
              </w:rPr>
              <w:t>– 65</w:t>
            </w:r>
          </w:p>
        </w:tc>
        <w:tc>
          <w:tcPr>
            <w:tcW w:w="5386" w:type="dxa"/>
            <w:vMerge/>
            <w:tcBorders>
              <w:left w:val="single" w:sz="6" w:space="0" w:color="auto"/>
              <w:bottom w:val="single" w:sz="6" w:space="0" w:color="auto"/>
              <w:right w:val="single" w:sz="6" w:space="0" w:color="auto"/>
            </w:tcBorders>
          </w:tcPr>
          <w:p w:rsidR="00C30A65" w:rsidRPr="005E10F7" w:rsidRDefault="00C30A65" w:rsidP="003D3832">
            <w:pPr>
              <w:pStyle w:val="Tablehead"/>
              <w:jc w:val="left"/>
              <w:rPr>
                <w:b w:val="0"/>
              </w:rPr>
            </w:pPr>
          </w:p>
        </w:tc>
      </w:tr>
      <w:tr w:rsidR="00C30A65" w:rsidRPr="005E10F7" w:rsidTr="003D3832">
        <w:trPr>
          <w:tblHeader/>
          <w:jc w:val="center"/>
        </w:trPr>
        <w:tc>
          <w:tcPr>
            <w:tcW w:w="1418" w:type="dxa"/>
            <w:tcBorders>
              <w:top w:val="single" w:sz="6" w:space="0" w:color="auto"/>
              <w:left w:val="single" w:sz="6" w:space="0" w:color="auto"/>
              <w:bottom w:val="single" w:sz="6" w:space="0" w:color="auto"/>
              <w:right w:val="single" w:sz="6" w:space="0" w:color="auto"/>
            </w:tcBorders>
            <w:vAlign w:val="center"/>
          </w:tcPr>
          <w:p w:rsidR="00C30A65" w:rsidRPr="005E10F7" w:rsidRDefault="00C30A65" w:rsidP="003D3832">
            <w:pPr>
              <w:pStyle w:val="Tablehead"/>
              <w:rPr>
                <w:b w:val="0"/>
              </w:rPr>
            </w:pPr>
          </w:p>
        </w:tc>
        <w:tc>
          <w:tcPr>
            <w:tcW w:w="1417" w:type="dxa"/>
            <w:tcBorders>
              <w:top w:val="single" w:sz="6" w:space="0" w:color="auto"/>
              <w:left w:val="single" w:sz="6" w:space="0" w:color="auto"/>
              <w:bottom w:val="single" w:sz="6" w:space="0" w:color="auto"/>
              <w:right w:val="single" w:sz="6" w:space="0" w:color="auto"/>
            </w:tcBorders>
            <w:vAlign w:val="center"/>
          </w:tcPr>
          <w:p w:rsidR="00C30A65" w:rsidRPr="005E10F7" w:rsidRDefault="00C30A65" w:rsidP="003D3832">
            <w:pPr>
              <w:pStyle w:val="Tablehead"/>
              <w:rPr>
                <w:b w:val="0"/>
              </w:rPr>
            </w:pPr>
            <w:r w:rsidRPr="005E10F7">
              <w:rPr>
                <w:b w:val="0"/>
              </w:rPr>
              <w:t>30</w:t>
            </w:r>
          </w:p>
        </w:tc>
        <w:tc>
          <w:tcPr>
            <w:tcW w:w="1418" w:type="dxa"/>
            <w:tcBorders>
              <w:top w:val="single" w:sz="6" w:space="0" w:color="auto"/>
              <w:left w:val="single" w:sz="6" w:space="0" w:color="auto"/>
              <w:bottom w:val="single" w:sz="6" w:space="0" w:color="auto"/>
              <w:right w:val="single" w:sz="6" w:space="0" w:color="auto"/>
            </w:tcBorders>
            <w:vAlign w:val="center"/>
          </w:tcPr>
          <w:p w:rsidR="00C30A65" w:rsidRPr="005E10F7" w:rsidRDefault="00C30A65" w:rsidP="003D3832">
            <w:pPr>
              <w:pStyle w:val="Tablehead"/>
              <w:rPr>
                <w:b w:val="0"/>
              </w:rPr>
            </w:pPr>
            <w:r w:rsidRPr="005E10F7">
              <w:rPr>
                <w:b w:val="0"/>
              </w:rPr>
              <w:t>– 73</w:t>
            </w:r>
          </w:p>
        </w:tc>
        <w:tc>
          <w:tcPr>
            <w:tcW w:w="5386" w:type="dxa"/>
            <w:vMerge w:val="restart"/>
            <w:tcBorders>
              <w:top w:val="single" w:sz="6" w:space="0" w:color="auto"/>
              <w:left w:val="single" w:sz="6" w:space="0" w:color="auto"/>
              <w:right w:val="single" w:sz="6" w:space="0" w:color="auto"/>
            </w:tcBorders>
          </w:tcPr>
          <w:p w:rsidR="00C30A65" w:rsidRPr="005E10F7" w:rsidRDefault="00C30A65" w:rsidP="003D3832">
            <w:pPr>
              <w:pStyle w:val="Tablehead"/>
              <w:jc w:val="left"/>
              <w:rPr>
                <w:b w:val="0"/>
              </w:rPr>
            </w:pPr>
            <w:r w:rsidRPr="005E10F7">
              <w:rPr>
                <w:b w:val="0"/>
                <w:szCs w:val="22"/>
              </w:rPr>
              <w:t>The PSD limit values between the points listed shall be obtained by linear interpolation in dB over linear frequency scale.</w:t>
            </w:r>
            <w:r>
              <w:rPr>
                <w:b w:val="0"/>
                <w:szCs w:val="22"/>
              </w:rPr>
              <w:t xml:space="preserve"> </w:t>
            </w:r>
            <w:r w:rsidRPr="005E10F7">
              <w:rPr>
                <w:b w:val="0"/>
              </w:rPr>
              <w:t xml:space="preserve">The LPM above </w:t>
            </w:r>
            <w:r w:rsidRPr="005E10F7">
              <w:rPr>
                <w:b w:val="0"/>
                <w:i/>
              </w:rPr>
              <w:t>f</w:t>
            </w:r>
            <w:r w:rsidRPr="0040570B">
              <w:rPr>
                <w:b w:val="0"/>
                <w:i/>
                <w:vertAlign w:val="subscript"/>
              </w:rPr>
              <w:t>tr2</w:t>
            </w:r>
            <w:r w:rsidRPr="005E10F7">
              <w:rPr>
                <w:b w:val="0"/>
              </w:rPr>
              <w:t xml:space="preserve"> is defined in clause 6.2.1.2</w:t>
            </w:r>
          </w:p>
        </w:tc>
      </w:tr>
      <w:tr w:rsidR="00C30A65" w:rsidRPr="005E10F7" w:rsidTr="003D3832">
        <w:trPr>
          <w:tblHeader/>
          <w:jc w:val="center"/>
        </w:trPr>
        <w:tc>
          <w:tcPr>
            <w:tcW w:w="1418" w:type="dxa"/>
            <w:tcBorders>
              <w:top w:val="single" w:sz="6" w:space="0" w:color="auto"/>
              <w:left w:val="single" w:sz="6" w:space="0" w:color="auto"/>
              <w:bottom w:val="single" w:sz="6" w:space="0" w:color="auto"/>
              <w:right w:val="single" w:sz="6" w:space="0" w:color="auto"/>
            </w:tcBorders>
            <w:vAlign w:val="center"/>
          </w:tcPr>
          <w:p w:rsidR="00C30A65" w:rsidRPr="005E10F7" w:rsidRDefault="00C30A65" w:rsidP="003D3832">
            <w:pPr>
              <w:pStyle w:val="Tablehead"/>
              <w:rPr>
                <w:b w:val="0"/>
              </w:rPr>
            </w:pPr>
          </w:p>
        </w:tc>
        <w:tc>
          <w:tcPr>
            <w:tcW w:w="1417" w:type="dxa"/>
            <w:tcBorders>
              <w:top w:val="single" w:sz="6" w:space="0" w:color="auto"/>
              <w:left w:val="single" w:sz="6" w:space="0" w:color="auto"/>
              <w:bottom w:val="single" w:sz="6" w:space="0" w:color="auto"/>
              <w:right w:val="single" w:sz="6" w:space="0" w:color="auto"/>
            </w:tcBorders>
            <w:vAlign w:val="center"/>
          </w:tcPr>
          <w:p w:rsidR="00C30A65" w:rsidRPr="005E10F7" w:rsidRDefault="00C30A65" w:rsidP="003D3832">
            <w:pPr>
              <w:pStyle w:val="Tablehead"/>
              <w:rPr>
                <w:b w:val="0"/>
              </w:rPr>
            </w:pPr>
            <w:r w:rsidRPr="005E10F7">
              <w:rPr>
                <w:b w:val="0"/>
              </w:rPr>
              <w:t>106</w:t>
            </w:r>
          </w:p>
        </w:tc>
        <w:tc>
          <w:tcPr>
            <w:tcW w:w="1418" w:type="dxa"/>
            <w:tcBorders>
              <w:top w:val="single" w:sz="6" w:space="0" w:color="auto"/>
              <w:left w:val="single" w:sz="6" w:space="0" w:color="auto"/>
              <w:bottom w:val="single" w:sz="6" w:space="0" w:color="auto"/>
              <w:right w:val="single" w:sz="6" w:space="0" w:color="auto"/>
            </w:tcBorders>
            <w:vAlign w:val="center"/>
          </w:tcPr>
          <w:p w:rsidR="00C30A65" w:rsidRPr="005E10F7" w:rsidRDefault="00C30A65" w:rsidP="003D3832">
            <w:pPr>
              <w:pStyle w:val="Tablehead"/>
              <w:rPr>
                <w:b w:val="0"/>
              </w:rPr>
            </w:pPr>
            <w:r w:rsidRPr="005E10F7">
              <w:rPr>
                <w:b w:val="0"/>
              </w:rPr>
              <w:t>– 76</w:t>
            </w:r>
          </w:p>
        </w:tc>
        <w:tc>
          <w:tcPr>
            <w:tcW w:w="5386" w:type="dxa"/>
            <w:vMerge/>
            <w:tcBorders>
              <w:left w:val="single" w:sz="6" w:space="0" w:color="auto"/>
              <w:right w:val="single" w:sz="6" w:space="0" w:color="auto"/>
            </w:tcBorders>
            <w:vAlign w:val="center"/>
          </w:tcPr>
          <w:p w:rsidR="00C30A65" w:rsidRPr="005E10F7" w:rsidRDefault="00C30A65" w:rsidP="003D3832">
            <w:pPr>
              <w:pStyle w:val="Tablehead"/>
              <w:rPr>
                <w:b w:val="0"/>
              </w:rPr>
            </w:pPr>
          </w:p>
        </w:tc>
      </w:tr>
      <w:tr w:rsidR="00C30A65" w:rsidRPr="005E10F7" w:rsidTr="003D3832">
        <w:trPr>
          <w:tblHeader/>
          <w:jc w:val="center"/>
        </w:trPr>
        <w:tc>
          <w:tcPr>
            <w:tcW w:w="1418" w:type="dxa"/>
            <w:tcBorders>
              <w:top w:val="single" w:sz="6" w:space="0" w:color="auto"/>
              <w:left w:val="single" w:sz="6" w:space="0" w:color="auto"/>
              <w:bottom w:val="single" w:sz="6" w:space="0" w:color="auto"/>
              <w:right w:val="single" w:sz="6" w:space="0" w:color="auto"/>
            </w:tcBorders>
            <w:vAlign w:val="center"/>
          </w:tcPr>
          <w:p w:rsidR="00C30A65" w:rsidRPr="005E10F7" w:rsidRDefault="00C30A65" w:rsidP="003D3832">
            <w:pPr>
              <w:pStyle w:val="Tablehead"/>
              <w:rPr>
                <w:b w:val="0"/>
              </w:rPr>
            </w:pPr>
            <w:r w:rsidRPr="005E10F7">
              <w:rPr>
                <w:b w:val="0"/>
                <w:i/>
              </w:rPr>
              <w:t>f</w:t>
            </w:r>
            <w:r w:rsidRPr="005E10F7">
              <w:rPr>
                <w:b w:val="0"/>
                <w:i/>
                <w:vertAlign w:val="subscript"/>
              </w:rPr>
              <w:t>tr2</w:t>
            </w:r>
          </w:p>
        </w:tc>
        <w:tc>
          <w:tcPr>
            <w:tcW w:w="1417" w:type="dxa"/>
            <w:tcBorders>
              <w:top w:val="single" w:sz="6" w:space="0" w:color="auto"/>
              <w:left w:val="single" w:sz="6" w:space="0" w:color="auto"/>
              <w:bottom w:val="single" w:sz="6" w:space="0" w:color="auto"/>
              <w:right w:val="single" w:sz="6" w:space="0" w:color="auto"/>
            </w:tcBorders>
            <w:vAlign w:val="center"/>
          </w:tcPr>
          <w:p w:rsidR="00C30A65" w:rsidRPr="005E10F7" w:rsidRDefault="00C30A65" w:rsidP="003D3832">
            <w:pPr>
              <w:pStyle w:val="Tablehead"/>
              <w:rPr>
                <w:b w:val="0"/>
              </w:rPr>
            </w:pPr>
            <w:r w:rsidRPr="005E10F7">
              <w:rPr>
                <w:b w:val="0"/>
              </w:rPr>
              <w:t>212</w:t>
            </w:r>
          </w:p>
        </w:tc>
        <w:tc>
          <w:tcPr>
            <w:tcW w:w="1418" w:type="dxa"/>
            <w:tcBorders>
              <w:top w:val="single" w:sz="6" w:space="0" w:color="auto"/>
              <w:left w:val="single" w:sz="6" w:space="0" w:color="auto"/>
              <w:bottom w:val="single" w:sz="6" w:space="0" w:color="auto"/>
              <w:right w:val="single" w:sz="6" w:space="0" w:color="auto"/>
            </w:tcBorders>
            <w:vAlign w:val="center"/>
          </w:tcPr>
          <w:p w:rsidR="00C30A65" w:rsidRPr="005E10F7" w:rsidRDefault="00C30A65" w:rsidP="003D3832">
            <w:pPr>
              <w:pStyle w:val="Tablehead"/>
              <w:rPr>
                <w:b w:val="0"/>
              </w:rPr>
            </w:pPr>
            <w:r w:rsidRPr="005E10F7">
              <w:rPr>
                <w:b w:val="0"/>
              </w:rPr>
              <w:t>– 79</w:t>
            </w:r>
          </w:p>
        </w:tc>
        <w:tc>
          <w:tcPr>
            <w:tcW w:w="5386" w:type="dxa"/>
            <w:vMerge/>
            <w:tcBorders>
              <w:left w:val="single" w:sz="6" w:space="0" w:color="auto"/>
              <w:bottom w:val="single" w:sz="6" w:space="0" w:color="auto"/>
              <w:right w:val="single" w:sz="6" w:space="0" w:color="auto"/>
            </w:tcBorders>
            <w:vAlign w:val="center"/>
          </w:tcPr>
          <w:p w:rsidR="00C30A65" w:rsidRPr="005E10F7" w:rsidRDefault="00C30A65" w:rsidP="003D3832">
            <w:pPr>
              <w:pStyle w:val="Tablehead"/>
              <w:rPr>
                <w:b w:val="0"/>
              </w:rPr>
            </w:pPr>
          </w:p>
        </w:tc>
      </w:tr>
    </w:tbl>
    <w:p w:rsidR="00C30A65" w:rsidRPr="005E10F7" w:rsidRDefault="00C30A65" w:rsidP="00C30A65">
      <w:pPr>
        <w:pStyle w:val="Note"/>
      </w:pPr>
    </w:p>
    <w:p w:rsidR="00C30A65" w:rsidRPr="005E10F7" w:rsidRDefault="00C30A65" w:rsidP="00C30A65">
      <w:pPr>
        <w:pStyle w:val="Note"/>
      </w:pPr>
      <w:r w:rsidRPr="005E10F7">
        <w:t xml:space="preserve">NOTE 1 – When additional spectrum shaping is used as described in clause 5 (e.g., to provide spectrum compatibility or to comply with wide-band power limit), various parts of the </w:t>
      </w:r>
      <w:proofErr w:type="spellStart"/>
      <w:r w:rsidRPr="005E10F7">
        <w:t>TxPSDM</w:t>
      </w:r>
      <w:proofErr w:type="spellEnd"/>
      <w:r w:rsidRPr="005E10F7">
        <w:t xml:space="preserve"> could be reduced by switching sub-carriers off or reducing their transmit power. Additional frequency notches may also be applied if required.</w:t>
      </w:r>
    </w:p>
    <w:p w:rsidR="00C30A65" w:rsidRPr="005E10F7" w:rsidRDefault="00C30A65" w:rsidP="00C30A65">
      <w:pPr>
        <w:pStyle w:val="Heading4"/>
      </w:pPr>
      <w:bookmarkStart w:id="35" w:name="_Toc361338942"/>
      <w:r w:rsidRPr="005E10F7">
        <w:t>6.2.1.2</w:t>
      </w:r>
      <w:r w:rsidRPr="005E10F7">
        <w:tab/>
        <w:t>Out-of-band LPM</w:t>
      </w:r>
      <w:bookmarkEnd w:id="35"/>
      <w:r w:rsidRPr="005E10F7">
        <w:t xml:space="preserve"> </w:t>
      </w:r>
    </w:p>
    <w:p w:rsidR="00C30A65" w:rsidRPr="005E10F7" w:rsidRDefault="00C30A65" w:rsidP="00C30A65">
      <w:pPr>
        <w:widowControl w:val="0"/>
      </w:pPr>
      <w:r w:rsidRPr="005E10F7">
        <w:t>The out-of-band LPM shall be as shown in Figure 6-3 for the low-frequency edge, and as shown in Figure 6-4 for the high-frequency edge, where PSD</w:t>
      </w:r>
      <w:r w:rsidRPr="005E10F7">
        <w:rPr>
          <w:vertAlign w:val="subscript"/>
        </w:rPr>
        <w:t>tr1</w:t>
      </w:r>
      <w:r w:rsidRPr="005E10F7">
        <w:t xml:space="preserve"> is the value of the in-band LPM at frequency </w:t>
      </w:r>
      <w:r w:rsidRPr="005E10F7">
        <w:rPr>
          <w:i/>
        </w:rPr>
        <w:t>f</w:t>
      </w:r>
      <w:r w:rsidRPr="0040570B">
        <w:rPr>
          <w:i/>
          <w:vertAlign w:val="subscript"/>
        </w:rPr>
        <w:t>tr1</w:t>
      </w:r>
      <w:r w:rsidRPr="005E10F7">
        <w:t xml:space="preserve"> and PSD</w:t>
      </w:r>
      <w:r w:rsidRPr="005E10F7">
        <w:rPr>
          <w:vertAlign w:val="subscript"/>
        </w:rPr>
        <w:t>tr2</w:t>
      </w:r>
      <w:r w:rsidRPr="005E10F7">
        <w:t xml:space="preserve"> is the value of the in-band LPM at frequency </w:t>
      </w:r>
      <w:r w:rsidRPr="005E10F7">
        <w:rPr>
          <w:i/>
        </w:rPr>
        <w:t>f</w:t>
      </w:r>
      <w:r w:rsidRPr="005E10F7">
        <w:rPr>
          <w:i/>
          <w:vertAlign w:val="subscript"/>
        </w:rPr>
        <w:t>tr2</w:t>
      </w:r>
      <w:r w:rsidRPr="005E10F7">
        <w:t xml:space="preserve">. The parameters for these LPMs are </w:t>
      </w:r>
      <w:r>
        <w:t>presented in Table 6-</w:t>
      </w:r>
      <w:r w:rsidRPr="005E10F7">
        <w:t>4 and Table 6</w:t>
      </w:r>
      <w:r>
        <w:t>-</w:t>
      </w:r>
      <w:r w:rsidRPr="005E10F7">
        <w:t>5, respectively.</w:t>
      </w:r>
    </w:p>
    <w:p w:rsidR="00C30A65" w:rsidRPr="005E10F7" w:rsidRDefault="00C30A65" w:rsidP="00C30A65">
      <w:pPr>
        <w:widowControl w:val="0"/>
      </w:pPr>
      <w:r w:rsidRPr="005E10F7">
        <w:t xml:space="preserve">The out-of-band LPM applies for frequencies below the low-edge transition frequency </w:t>
      </w:r>
      <w:r w:rsidRPr="005E10F7">
        <w:rPr>
          <w:i/>
        </w:rPr>
        <w:t>f</w:t>
      </w:r>
      <w:r w:rsidRPr="005E10F7">
        <w:rPr>
          <w:i/>
          <w:vertAlign w:val="subscript"/>
        </w:rPr>
        <w:t>tr</w:t>
      </w:r>
      <w:r w:rsidRPr="005E10F7">
        <w:rPr>
          <w:vertAlign w:val="subscript"/>
        </w:rPr>
        <w:t>1</w:t>
      </w:r>
      <w:r w:rsidRPr="005E10F7">
        <w:t xml:space="preserve"> and for frequencies above the high-edge transition frequency </w:t>
      </w:r>
      <w:r w:rsidRPr="005E10F7">
        <w:rPr>
          <w:i/>
        </w:rPr>
        <w:t>f</w:t>
      </w:r>
      <w:r w:rsidRPr="005E10F7">
        <w:rPr>
          <w:i/>
          <w:vertAlign w:val="subscript"/>
        </w:rPr>
        <w:t>tr</w:t>
      </w:r>
      <w:r w:rsidRPr="005E10F7">
        <w:rPr>
          <w:vertAlign w:val="subscript"/>
        </w:rPr>
        <w:t>2</w:t>
      </w:r>
      <w:r w:rsidRPr="005E10F7">
        <w:t xml:space="preserve">. The PSD values between the transition frequencies </w:t>
      </w:r>
      <w:r w:rsidRPr="005E10F7">
        <w:rPr>
          <w:i/>
        </w:rPr>
        <w:t>f</w:t>
      </w:r>
      <w:r w:rsidRPr="005E10F7">
        <w:rPr>
          <w:i/>
          <w:vertAlign w:val="subscript"/>
        </w:rPr>
        <w:t>tr1</w:t>
      </w:r>
      <w:r w:rsidRPr="005E10F7">
        <w:t xml:space="preserve"> and </w:t>
      </w:r>
      <w:r w:rsidRPr="005E10F7">
        <w:rPr>
          <w:i/>
        </w:rPr>
        <w:t>f</w:t>
      </w:r>
      <w:r w:rsidRPr="005E10F7">
        <w:rPr>
          <w:i/>
          <w:vertAlign w:val="subscript"/>
        </w:rPr>
        <w:t>tr2</w:t>
      </w:r>
      <w:r w:rsidRPr="005E10F7">
        <w:rPr>
          <w:vertAlign w:val="subscript"/>
        </w:rPr>
        <w:t xml:space="preserve"> </w:t>
      </w:r>
      <w:r w:rsidRPr="005E10F7">
        <w:t>are considered as in-band and defined in clause 6.2.1.1.</w:t>
      </w:r>
    </w:p>
    <w:p w:rsidR="00C30A65" w:rsidRPr="005E10F7" w:rsidRDefault="00C30A65" w:rsidP="00C30A65">
      <w:pPr>
        <w:keepNext/>
        <w:widowControl w:val="0"/>
        <w:jc w:val="center"/>
      </w:pPr>
    </w:p>
    <w:p w:rsidR="00C30A65" w:rsidRPr="005E10F7" w:rsidRDefault="00C30A65" w:rsidP="00C30A65">
      <w:pPr>
        <w:overflowPunct/>
        <w:autoSpaceDE/>
        <w:autoSpaceDN/>
        <w:adjustRightInd/>
        <w:spacing w:before="0"/>
        <w:textAlignment w:val="auto"/>
      </w:pPr>
      <w:r w:rsidRPr="005E10F7">
        <w:br w:type="page"/>
      </w:r>
    </w:p>
    <w:p w:rsidR="00C30A65" w:rsidRPr="005E10F7" w:rsidRDefault="00C30A65" w:rsidP="00C30A65">
      <w:pPr>
        <w:keepNext/>
        <w:widowControl w:val="0"/>
        <w:jc w:val="center"/>
      </w:pPr>
      <w:r w:rsidRPr="005E10F7">
        <w:rPr>
          <w:rFonts w:asciiTheme="majorBidi" w:hAnsiTheme="majorBidi" w:cstheme="majorBidi"/>
        </w:rPr>
        <w:object w:dxaOrig="8147" w:dyaOrig="5069">
          <v:shape id="_x0000_i1029" type="#_x0000_t75" style="width:446.25pt;height:277.5pt" o:ole="">
            <v:imagedata r:id="rId23" o:title=""/>
          </v:shape>
          <o:OLEObject Type="Embed" ProgID="Visio.Drawing.11" ShapeID="_x0000_i1029" DrawAspect="Content" ObjectID="_1445770715" r:id="rId24"/>
        </w:object>
      </w:r>
    </w:p>
    <w:p w:rsidR="00C30A65" w:rsidRPr="005E10F7" w:rsidRDefault="00C30A65" w:rsidP="00C30A65">
      <w:pPr>
        <w:pStyle w:val="FigureNotitle"/>
      </w:pPr>
      <w:r w:rsidRPr="005E10F7">
        <w:t>Figure 6-3 – Low-frequency edge out-of-band limit PSD mask</w:t>
      </w:r>
    </w:p>
    <w:p w:rsidR="00C30A65" w:rsidRDefault="00C30A65" w:rsidP="00C30A65">
      <w:pPr>
        <w:widowControl w:val="0"/>
      </w:pPr>
    </w:p>
    <w:p w:rsidR="00C30A65" w:rsidRDefault="00C30A65" w:rsidP="00C30A65">
      <w:pPr>
        <w:widowControl w:val="0"/>
      </w:pPr>
      <w:r w:rsidRPr="005E10F7">
        <w:t>Requirements for frequencies below 4 kHz are specified in G.993.2 Regional Annexes A, B or C.</w:t>
      </w:r>
    </w:p>
    <w:p w:rsidR="00C30A65" w:rsidRPr="005E10F7" w:rsidRDefault="00C30A65" w:rsidP="00C30A65">
      <w:pPr>
        <w:widowControl w:val="0"/>
      </w:pPr>
    </w:p>
    <w:p w:rsidR="00C30A65" w:rsidRPr="005E10F7" w:rsidRDefault="00C30A65" w:rsidP="00C30A65">
      <w:pPr>
        <w:pStyle w:val="Caption"/>
        <w:rPr>
          <w:rFonts w:ascii="Times New Roman" w:hAnsi="Times New Roman"/>
        </w:rPr>
      </w:pPr>
      <w:r w:rsidRPr="005E10F7">
        <w:rPr>
          <w:rFonts w:ascii="Times New Roman" w:hAnsi="Times New Roman"/>
        </w:rPr>
        <w:object w:dxaOrig="8974" w:dyaOrig="5434">
          <v:shape id="_x0000_i1030" type="#_x0000_t75" style="width:425.25pt;height:256.5pt" o:ole="">
            <v:imagedata r:id="rId25" o:title=""/>
          </v:shape>
          <o:OLEObject Type="Embed" ProgID="Visio.Drawing.11" ShapeID="_x0000_i1030" DrawAspect="Content" ObjectID="_1445770716" r:id="rId26"/>
        </w:object>
      </w:r>
    </w:p>
    <w:p w:rsidR="00C30A65" w:rsidRPr="005E10F7" w:rsidRDefault="00C30A65" w:rsidP="00C30A65">
      <w:pPr>
        <w:pStyle w:val="FigureNotitle"/>
      </w:pPr>
      <w:r w:rsidRPr="005E10F7">
        <w:t>Figure 6-4 – High-frequency edge out-of-band limit PSD mask</w:t>
      </w:r>
    </w:p>
    <w:p w:rsidR="00C30A65" w:rsidRPr="005E10F7" w:rsidRDefault="00C30A65" w:rsidP="00C30A65"/>
    <w:p w:rsidR="00C30A65" w:rsidRPr="005E10F7" w:rsidRDefault="00C30A65" w:rsidP="00C30A65">
      <w:pPr>
        <w:pStyle w:val="TableNotitle"/>
      </w:pPr>
      <w:r w:rsidRPr="005E10F7">
        <w:rPr>
          <w:lang w:val="en-US"/>
        </w:rPr>
        <w:lastRenderedPageBreak/>
        <w:t>Table 6-4 – Parameters of low-frequency edge out-of-band LPM</w:t>
      </w:r>
    </w:p>
    <w:tbl>
      <w:tblPr>
        <w:tblW w:w="6527" w:type="dxa"/>
        <w:jc w:val="center"/>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276"/>
        <w:gridCol w:w="4387"/>
      </w:tblGrid>
      <w:tr w:rsidR="00C30A65" w:rsidRPr="005E10F7" w:rsidTr="003D3832">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C30A65" w:rsidRPr="005E10F7" w:rsidRDefault="00C30A65" w:rsidP="003D3832">
            <w:pPr>
              <w:keepNext/>
              <w:jc w:val="center"/>
              <w:rPr>
                <w:b/>
                <w:sz w:val="22"/>
                <w:szCs w:val="22"/>
              </w:rPr>
            </w:pPr>
            <w:r w:rsidRPr="005E10F7">
              <w:rPr>
                <w:b/>
                <w:sz w:val="22"/>
                <w:szCs w:val="22"/>
              </w:rPr>
              <w:t xml:space="preserve"> </w:t>
            </w:r>
            <w:r w:rsidRPr="005E10F7">
              <w:rPr>
                <w:b/>
                <w:i/>
                <w:sz w:val="22"/>
                <w:szCs w:val="22"/>
              </w:rPr>
              <w:t>f</w:t>
            </w:r>
            <w:r w:rsidRPr="0040570B">
              <w:rPr>
                <w:b/>
                <w:i/>
                <w:sz w:val="22"/>
                <w:szCs w:val="22"/>
                <w:vertAlign w:val="subscript"/>
              </w:rPr>
              <w:t>tr1</w:t>
            </w:r>
          </w:p>
          <w:p w:rsidR="00C30A65" w:rsidRPr="005E10F7" w:rsidRDefault="00C30A65" w:rsidP="003D3832">
            <w:pPr>
              <w:keepNext/>
              <w:jc w:val="center"/>
              <w:rPr>
                <w:b/>
                <w:sz w:val="22"/>
                <w:szCs w:val="22"/>
              </w:rPr>
            </w:pPr>
            <w:r w:rsidRPr="005E10F7">
              <w:rPr>
                <w:b/>
                <w:sz w:val="22"/>
                <w:szCs w:val="22"/>
              </w:rPr>
              <w:t>(MHz)</w:t>
            </w:r>
          </w:p>
        </w:tc>
        <w:tc>
          <w:tcPr>
            <w:tcW w:w="1276" w:type="dxa"/>
            <w:tcBorders>
              <w:top w:val="single" w:sz="4" w:space="0" w:color="auto"/>
              <w:left w:val="single" w:sz="4" w:space="0" w:color="auto"/>
              <w:bottom w:val="single" w:sz="4" w:space="0" w:color="auto"/>
              <w:right w:val="single" w:sz="4" w:space="0" w:color="auto"/>
            </w:tcBorders>
          </w:tcPr>
          <w:p w:rsidR="00C30A65" w:rsidRPr="0040570B" w:rsidRDefault="00C30A65" w:rsidP="003D3832">
            <w:pPr>
              <w:pStyle w:val="Tablehead"/>
              <w:rPr>
                <w:szCs w:val="22"/>
              </w:rPr>
            </w:pPr>
            <w:r w:rsidRPr="0040570B">
              <w:rPr>
                <w:szCs w:val="22"/>
              </w:rPr>
              <w:t>PSD</w:t>
            </w:r>
            <w:r w:rsidRPr="0040570B">
              <w:rPr>
                <w:szCs w:val="22"/>
                <w:vertAlign w:val="subscript"/>
              </w:rPr>
              <w:t>tr1</w:t>
            </w:r>
          </w:p>
          <w:p w:rsidR="00C30A65" w:rsidRPr="0040570B" w:rsidRDefault="00C30A65" w:rsidP="003D3832">
            <w:pPr>
              <w:pStyle w:val="Tablehead"/>
              <w:rPr>
                <w:szCs w:val="22"/>
              </w:rPr>
            </w:pPr>
            <w:r w:rsidRPr="0040570B">
              <w:rPr>
                <w:szCs w:val="22"/>
              </w:rPr>
              <w:t>(</w:t>
            </w:r>
            <w:proofErr w:type="spellStart"/>
            <w:r w:rsidRPr="0040570B">
              <w:rPr>
                <w:szCs w:val="22"/>
              </w:rPr>
              <w:t>dBm</w:t>
            </w:r>
            <w:proofErr w:type="spellEnd"/>
            <w:r w:rsidRPr="0040570B">
              <w:rPr>
                <w:szCs w:val="22"/>
              </w:rPr>
              <w:t>/Hz)</w:t>
            </w:r>
          </w:p>
        </w:tc>
        <w:tc>
          <w:tcPr>
            <w:tcW w:w="4387" w:type="dxa"/>
            <w:tcBorders>
              <w:top w:val="single" w:sz="4" w:space="0" w:color="auto"/>
              <w:left w:val="single" w:sz="4" w:space="0" w:color="auto"/>
              <w:bottom w:val="single" w:sz="4" w:space="0" w:color="auto"/>
              <w:right w:val="single" w:sz="4" w:space="0" w:color="auto"/>
            </w:tcBorders>
            <w:vAlign w:val="center"/>
          </w:tcPr>
          <w:p w:rsidR="00C30A65" w:rsidRPr="005E10F7" w:rsidRDefault="00C30A65" w:rsidP="003D3832">
            <w:pPr>
              <w:pStyle w:val="Tablehead"/>
              <w:rPr>
                <w:szCs w:val="22"/>
              </w:rPr>
            </w:pPr>
            <w:r w:rsidRPr="005E10F7">
              <w:rPr>
                <w:szCs w:val="22"/>
              </w:rPr>
              <w:t>Description</w:t>
            </w:r>
          </w:p>
        </w:tc>
      </w:tr>
      <w:tr w:rsidR="00C30A65" w:rsidRPr="005E10F7" w:rsidTr="003D3832">
        <w:trPr>
          <w:jc w:val="center"/>
        </w:trPr>
        <w:tc>
          <w:tcPr>
            <w:tcW w:w="864" w:type="dxa"/>
            <w:tcBorders>
              <w:top w:val="single" w:sz="4" w:space="0" w:color="auto"/>
              <w:left w:val="single" w:sz="4" w:space="0" w:color="auto"/>
              <w:bottom w:val="single" w:sz="4" w:space="0" w:color="auto"/>
              <w:right w:val="single" w:sz="4" w:space="0" w:color="auto"/>
            </w:tcBorders>
            <w:vAlign w:val="center"/>
          </w:tcPr>
          <w:p w:rsidR="00C30A65" w:rsidRPr="005E10F7" w:rsidRDefault="00C30A65" w:rsidP="003D3832">
            <w:pPr>
              <w:pStyle w:val="Tablehead"/>
              <w:rPr>
                <w:b w:val="0"/>
              </w:rPr>
            </w:pPr>
            <w:r w:rsidRPr="005E10F7">
              <w:rPr>
                <w:b w:val="0"/>
              </w:rPr>
              <w:t>2</w:t>
            </w:r>
          </w:p>
        </w:tc>
        <w:tc>
          <w:tcPr>
            <w:tcW w:w="1276" w:type="dxa"/>
            <w:tcBorders>
              <w:top w:val="single" w:sz="4" w:space="0" w:color="auto"/>
              <w:left w:val="single" w:sz="4" w:space="0" w:color="auto"/>
              <w:bottom w:val="single" w:sz="4" w:space="0" w:color="auto"/>
              <w:right w:val="single" w:sz="4" w:space="0" w:color="auto"/>
            </w:tcBorders>
            <w:vAlign w:val="center"/>
          </w:tcPr>
          <w:p w:rsidR="00C30A65" w:rsidRPr="005E10F7" w:rsidRDefault="00C30A65" w:rsidP="003D3832">
            <w:pPr>
              <w:pStyle w:val="Tablehead"/>
              <w:rPr>
                <w:b w:val="0"/>
              </w:rPr>
            </w:pPr>
            <w:r w:rsidRPr="005E10F7">
              <w:rPr>
                <w:b w:val="0"/>
              </w:rPr>
              <w:t>– 65</w:t>
            </w:r>
          </w:p>
        </w:tc>
        <w:tc>
          <w:tcPr>
            <w:tcW w:w="4387" w:type="dxa"/>
            <w:tcBorders>
              <w:top w:val="single" w:sz="4" w:space="0" w:color="auto"/>
              <w:left w:val="single" w:sz="4" w:space="0" w:color="auto"/>
              <w:bottom w:val="single" w:sz="4" w:space="0" w:color="auto"/>
              <w:right w:val="single" w:sz="4" w:space="0" w:color="auto"/>
            </w:tcBorders>
          </w:tcPr>
          <w:p w:rsidR="00C30A65" w:rsidRPr="005E10F7" w:rsidRDefault="00C30A65" w:rsidP="003D3832">
            <w:pPr>
              <w:pStyle w:val="Tablehead"/>
              <w:jc w:val="left"/>
              <w:rPr>
                <w:b w:val="0"/>
                <w:szCs w:val="22"/>
              </w:rPr>
            </w:pPr>
            <w:r w:rsidRPr="005E10F7">
              <w:rPr>
                <w:b w:val="0"/>
                <w:szCs w:val="24"/>
              </w:rPr>
              <w:t xml:space="preserve">The PSD limit at transition frequency </w:t>
            </w:r>
            <w:r w:rsidRPr="005E10F7">
              <w:rPr>
                <w:b w:val="0"/>
                <w:i/>
                <w:szCs w:val="24"/>
              </w:rPr>
              <w:t>f</w:t>
            </w:r>
            <w:r w:rsidRPr="005E10F7">
              <w:rPr>
                <w:b w:val="0"/>
                <w:i/>
                <w:szCs w:val="24"/>
                <w:vertAlign w:val="subscript"/>
              </w:rPr>
              <w:t>tr1</w:t>
            </w:r>
            <w:r w:rsidRPr="005E10F7">
              <w:rPr>
                <w:b w:val="0"/>
                <w:szCs w:val="24"/>
              </w:rPr>
              <w:t xml:space="preserve"> drops from PSD</w:t>
            </w:r>
            <w:r w:rsidRPr="005E10F7">
              <w:rPr>
                <w:b w:val="0"/>
                <w:szCs w:val="24"/>
                <w:vertAlign w:val="subscript"/>
              </w:rPr>
              <w:t xml:space="preserve">tr1 </w:t>
            </w:r>
            <w:r w:rsidRPr="005E10F7">
              <w:rPr>
                <w:b w:val="0"/>
                <w:szCs w:val="24"/>
              </w:rPr>
              <w:t xml:space="preserve">to – 80 </w:t>
            </w:r>
            <w:proofErr w:type="spellStart"/>
            <w:r w:rsidRPr="005E10F7">
              <w:rPr>
                <w:b w:val="0"/>
                <w:szCs w:val="24"/>
              </w:rPr>
              <w:t>dBm</w:t>
            </w:r>
            <w:proofErr w:type="spellEnd"/>
            <w:r w:rsidRPr="005E10F7">
              <w:rPr>
                <w:b w:val="0"/>
                <w:szCs w:val="24"/>
              </w:rPr>
              <w:t>/Hz</w:t>
            </w:r>
            <w:r w:rsidRPr="005E10F7">
              <w:rPr>
                <w:b w:val="0"/>
                <w:szCs w:val="22"/>
              </w:rPr>
              <w:t>.</w:t>
            </w:r>
          </w:p>
          <w:p w:rsidR="00C30A65" w:rsidRPr="005E10F7" w:rsidRDefault="00C30A65" w:rsidP="003D3832">
            <w:pPr>
              <w:pStyle w:val="Tablehead"/>
              <w:jc w:val="left"/>
              <w:rPr>
                <w:b w:val="0"/>
                <w:szCs w:val="22"/>
              </w:rPr>
            </w:pPr>
            <w:r w:rsidRPr="005E10F7">
              <w:rPr>
                <w:b w:val="0"/>
                <w:szCs w:val="22"/>
              </w:rPr>
              <w:t>The PSD limit in the transition band shall be obtained by linear interpolation in dB over linear frequency scale.</w:t>
            </w:r>
          </w:p>
          <w:p w:rsidR="00C30A65" w:rsidRPr="005E10F7" w:rsidRDefault="00C30A65" w:rsidP="003D3832">
            <w:pPr>
              <w:pStyle w:val="Tablehead"/>
              <w:jc w:val="left"/>
              <w:rPr>
                <w:b w:val="0"/>
                <w:szCs w:val="22"/>
              </w:rPr>
            </w:pPr>
            <w:r w:rsidRPr="005E10F7">
              <w:rPr>
                <w:b w:val="0"/>
                <w:szCs w:val="22"/>
              </w:rPr>
              <w:t xml:space="preserve">The PSD limit between 4 and 20 kHz shall be obtained by linear interpolation in dB over a </w:t>
            </w:r>
            <w:proofErr w:type="gramStart"/>
            <w:r w:rsidRPr="005E10F7">
              <w:rPr>
                <w:b w:val="0"/>
                <w:szCs w:val="22"/>
              </w:rPr>
              <w:t>log(</w:t>
            </w:r>
            <w:proofErr w:type="gramEnd"/>
            <w:r w:rsidRPr="0040570B">
              <w:rPr>
                <w:b w:val="0"/>
                <w:i/>
                <w:szCs w:val="22"/>
              </w:rPr>
              <w:t>f</w:t>
            </w:r>
            <w:r w:rsidRPr="005E10F7">
              <w:rPr>
                <w:b w:val="0"/>
                <w:szCs w:val="22"/>
              </w:rPr>
              <w:t>) scale.</w:t>
            </w:r>
          </w:p>
          <w:p w:rsidR="00C30A65" w:rsidRPr="005E10F7" w:rsidRDefault="00C30A65" w:rsidP="003D3832">
            <w:pPr>
              <w:pStyle w:val="Tablehead"/>
              <w:jc w:val="left"/>
              <w:rPr>
                <w:b w:val="0"/>
              </w:rPr>
            </w:pPr>
            <w:r w:rsidRPr="005E10F7">
              <w:rPr>
                <w:b w:val="0"/>
              </w:rPr>
              <w:t xml:space="preserve">Sub-carriers below </w:t>
            </w:r>
            <w:r w:rsidRPr="005E10F7">
              <w:rPr>
                <w:b w:val="0"/>
                <w:i/>
                <w:iCs/>
              </w:rPr>
              <w:t>f</w:t>
            </w:r>
            <w:r w:rsidRPr="005E10F7">
              <w:rPr>
                <w:b w:val="0"/>
                <w:i/>
                <w:iCs/>
                <w:vertAlign w:val="subscript"/>
              </w:rPr>
              <w:t>tr1</w:t>
            </w:r>
            <w:r w:rsidRPr="005E10F7">
              <w:rPr>
                <w:b w:val="0"/>
                <w:i/>
                <w:iCs/>
              </w:rPr>
              <w:t xml:space="preserve"> </w:t>
            </w:r>
            <w:r w:rsidRPr="005E10F7">
              <w:rPr>
                <w:b w:val="0"/>
              </w:rPr>
              <w:t>shall not be used for transmission (neither data nor any auxiliary information).</w:t>
            </w:r>
          </w:p>
        </w:tc>
      </w:tr>
    </w:tbl>
    <w:p w:rsidR="00C30A65" w:rsidRPr="005E10F7" w:rsidRDefault="00C30A65" w:rsidP="00C30A65"/>
    <w:p w:rsidR="00C30A65" w:rsidRPr="005E10F7" w:rsidRDefault="00C30A65" w:rsidP="00C30A65">
      <w:pPr>
        <w:pStyle w:val="TableNotitle"/>
      </w:pPr>
      <w:r w:rsidRPr="005E10F7">
        <w:rPr>
          <w:lang w:val="en-US"/>
        </w:rPr>
        <w:t>Table 6-5 – Parameters of high-frequency edge out-of-band LPM</w:t>
      </w:r>
    </w:p>
    <w:tbl>
      <w:tblPr>
        <w:tblW w:w="8895" w:type="dxa"/>
        <w:jc w:val="center"/>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276"/>
        <w:gridCol w:w="2268"/>
        <w:gridCol w:w="4366"/>
      </w:tblGrid>
      <w:tr w:rsidR="00C30A65" w:rsidRPr="005E10F7" w:rsidTr="003D3832">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C30A65" w:rsidRPr="005E10F7" w:rsidRDefault="00C30A65" w:rsidP="003D3832">
            <w:pPr>
              <w:keepNext/>
              <w:jc w:val="center"/>
              <w:rPr>
                <w:b/>
                <w:sz w:val="22"/>
                <w:szCs w:val="22"/>
              </w:rPr>
            </w:pPr>
            <w:r w:rsidRPr="005E10F7">
              <w:rPr>
                <w:b/>
                <w:i/>
                <w:sz w:val="22"/>
                <w:szCs w:val="22"/>
              </w:rPr>
              <w:t>f</w:t>
            </w:r>
            <w:r w:rsidRPr="005E10F7">
              <w:rPr>
                <w:b/>
                <w:i/>
                <w:sz w:val="22"/>
                <w:szCs w:val="22"/>
                <w:vertAlign w:val="subscript"/>
              </w:rPr>
              <w:t>tr2</w:t>
            </w:r>
          </w:p>
          <w:p w:rsidR="00C30A65" w:rsidRPr="005E10F7" w:rsidRDefault="00C30A65" w:rsidP="003D3832">
            <w:pPr>
              <w:keepNext/>
              <w:jc w:val="center"/>
              <w:rPr>
                <w:b/>
                <w:sz w:val="22"/>
                <w:szCs w:val="22"/>
              </w:rPr>
            </w:pPr>
            <w:r w:rsidRPr="005E10F7">
              <w:rPr>
                <w:b/>
                <w:sz w:val="22"/>
                <w:szCs w:val="22"/>
              </w:rPr>
              <w:t>(MHz)</w:t>
            </w:r>
          </w:p>
        </w:tc>
        <w:tc>
          <w:tcPr>
            <w:tcW w:w="1276" w:type="dxa"/>
            <w:tcBorders>
              <w:top w:val="single" w:sz="4" w:space="0" w:color="auto"/>
              <w:left w:val="single" w:sz="4" w:space="0" w:color="auto"/>
              <w:bottom w:val="single" w:sz="4" w:space="0" w:color="auto"/>
              <w:right w:val="single" w:sz="4" w:space="0" w:color="auto"/>
            </w:tcBorders>
            <w:vAlign w:val="center"/>
          </w:tcPr>
          <w:p w:rsidR="00C30A65" w:rsidRPr="005E10F7" w:rsidRDefault="00C30A65" w:rsidP="003D3832">
            <w:pPr>
              <w:pStyle w:val="Tablehead"/>
              <w:rPr>
                <w:szCs w:val="22"/>
              </w:rPr>
            </w:pPr>
            <w:r w:rsidRPr="005E10F7">
              <w:rPr>
                <w:szCs w:val="22"/>
              </w:rPr>
              <w:t>PSD</w:t>
            </w:r>
            <w:r w:rsidRPr="005E10F7">
              <w:rPr>
                <w:szCs w:val="22"/>
                <w:vertAlign w:val="subscript"/>
              </w:rPr>
              <w:t>tr2</w:t>
            </w:r>
          </w:p>
          <w:p w:rsidR="00C30A65" w:rsidRPr="005E10F7" w:rsidRDefault="00C30A65" w:rsidP="003D3832">
            <w:pPr>
              <w:jc w:val="center"/>
              <w:rPr>
                <w:szCs w:val="22"/>
              </w:rPr>
            </w:pPr>
            <w:r w:rsidRPr="005E10F7">
              <w:rPr>
                <w:b/>
                <w:sz w:val="22"/>
                <w:szCs w:val="22"/>
              </w:rPr>
              <w:t>(</w:t>
            </w:r>
            <w:proofErr w:type="spellStart"/>
            <w:r w:rsidRPr="005E10F7">
              <w:rPr>
                <w:b/>
                <w:sz w:val="22"/>
                <w:szCs w:val="22"/>
              </w:rPr>
              <w:t>dBm</w:t>
            </w:r>
            <w:proofErr w:type="spellEnd"/>
            <w:r w:rsidRPr="005E10F7">
              <w:rPr>
                <w:b/>
                <w:sz w:val="22"/>
                <w:szCs w:val="22"/>
              </w:rPr>
              <w:t>/Hz)</w:t>
            </w:r>
          </w:p>
        </w:tc>
        <w:tc>
          <w:tcPr>
            <w:tcW w:w="2268" w:type="dxa"/>
            <w:tcBorders>
              <w:top w:val="single" w:sz="4" w:space="0" w:color="auto"/>
              <w:left w:val="single" w:sz="4" w:space="0" w:color="auto"/>
              <w:bottom w:val="single" w:sz="4" w:space="0" w:color="auto"/>
              <w:right w:val="single" w:sz="4" w:space="0" w:color="auto"/>
            </w:tcBorders>
            <w:vAlign w:val="center"/>
          </w:tcPr>
          <w:p w:rsidR="00C30A65" w:rsidRPr="005E10F7" w:rsidRDefault="00C30A65" w:rsidP="003D3832">
            <w:pPr>
              <w:pStyle w:val="Tablehead"/>
              <w:rPr>
                <w:szCs w:val="22"/>
              </w:rPr>
            </w:pPr>
            <w:r w:rsidRPr="005E10F7">
              <w:rPr>
                <w:szCs w:val="22"/>
              </w:rPr>
              <w:t xml:space="preserve">Transition band, </w:t>
            </w:r>
            <w:proofErr w:type="spellStart"/>
            <w:r w:rsidRPr="005E10F7">
              <w:rPr>
                <w:szCs w:val="22"/>
              </w:rPr>
              <w:t>Δ</w:t>
            </w:r>
            <w:r w:rsidRPr="005E10F7">
              <w:rPr>
                <w:i/>
                <w:szCs w:val="22"/>
              </w:rPr>
              <w:t>f</w:t>
            </w:r>
            <w:r w:rsidRPr="005E10F7">
              <w:rPr>
                <w:i/>
                <w:szCs w:val="22"/>
                <w:vertAlign w:val="subscript"/>
              </w:rPr>
              <w:t>th</w:t>
            </w:r>
            <w:proofErr w:type="spellEnd"/>
          </w:p>
          <w:p w:rsidR="00C30A65" w:rsidRPr="005E10F7" w:rsidRDefault="00C30A65" w:rsidP="003D3832">
            <w:pPr>
              <w:pStyle w:val="Tabletext"/>
              <w:keepNext/>
              <w:jc w:val="center"/>
              <w:rPr>
                <w:szCs w:val="22"/>
              </w:rPr>
            </w:pPr>
            <w:r w:rsidRPr="005E10F7">
              <w:rPr>
                <w:b/>
                <w:szCs w:val="22"/>
              </w:rPr>
              <w:t>(MHz)</w:t>
            </w:r>
          </w:p>
        </w:tc>
        <w:tc>
          <w:tcPr>
            <w:tcW w:w="4366" w:type="dxa"/>
            <w:tcBorders>
              <w:top w:val="single" w:sz="4" w:space="0" w:color="auto"/>
              <w:left w:val="single" w:sz="4" w:space="0" w:color="auto"/>
              <w:bottom w:val="single" w:sz="4" w:space="0" w:color="auto"/>
              <w:right w:val="single" w:sz="4" w:space="0" w:color="auto"/>
            </w:tcBorders>
            <w:vAlign w:val="center"/>
          </w:tcPr>
          <w:p w:rsidR="00C30A65" w:rsidRPr="005E10F7" w:rsidRDefault="00C30A65" w:rsidP="003D3832">
            <w:pPr>
              <w:pStyle w:val="Tablehead"/>
              <w:rPr>
                <w:szCs w:val="22"/>
              </w:rPr>
            </w:pPr>
            <w:r w:rsidRPr="005E10F7">
              <w:rPr>
                <w:szCs w:val="22"/>
              </w:rPr>
              <w:t>Description</w:t>
            </w:r>
          </w:p>
        </w:tc>
      </w:tr>
      <w:tr w:rsidR="00C30A65" w:rsidRPr="005E10F7" w:rsidTr="003D3832">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C30A65" w:rsidRPr="005E10F7" w:rsidRDefault="00C30A65" w:rsidP="003D3832">
            <w:pPr>
              <w:pStyle w:val="Tablehead"/>
              <w:rPr>
                <w:b w:val="0"/>
                <w:szCs w:val="24"/>
              </w:rPr>
            </w:pPr>
            <w:r w:rsidRPr="005E10F7">
              <w:rPr>
                <w:b w:val="0"/>
                <w:szCs w:val="24"/>
              </w:rPr>
              <w:t>106</w:t>
            </w:r>
          </w:p>
        </w:tc>
        <w:tc>
          <w:tcPr>
            <w:tcW w:w="1276" w:type="dxa"/>
            <w:tcBorders>
              <w:top w:val="single" w:sz="4" w:space="0" w:color="auto"/>
              <w:left w:val="single" w:sz="4" w:space="0" w:color="auto"/>
              <w:bottom w:val="single" w:sz="4" w:space="0" w:color="auto"/>
              <w:right w:val="single" w:sz="4" w:space="0" w:color="auto"/>
            </w:tcBorders>
            <w:vAlign w:val="center"/>
          </w:tcPr>
          <w:p w:rsidR="00C30A65" w:rsidRPr="005E10F7" w:rsidRDefault="00C30A65" w:rsidP="003D3832">
            <w:pPr>
              <w:pStyle w:val="Tablehead"/>
              <w:rPr>
                <w:b w:val="0"/>
                <w:szCs w:val="24"/>
              </w:rPr>
            </w:pPr>
            <w:r w:rsidRPr="005E10F7">
              <w:rPr>
                <w:b w:val="0"/>
                <w:szCs w:val="24"/>
              </w:rPr>
              <w:t>– 76</w:t>
            </w:r>
          </w:p>
        </w:tc>
        <w:tc>
          <w:tcPr>
            <w:tcW w:w="2268" w:type="dxa"/>
            <w:tcBorders>
              <w:top w:val="single" w:sz="4" w:space="0" w:color="auto"/>
              <w:left w:val="single" w:sz="4" w:space="0" w:color="auto"/>
              <w:bottom w:val="single" w:sz="4" w:space="0" w:color="auto"/>
              <w:right w:val="single" w:sz="4" w:space="0" w:color="auto"/>
            </w:tcBorders>
            <w:vAlign w:val="center"/>
          </w:tcPr>
          <w:p w:rsidR="00C30A65" w:rsidRPr="005E10F7" w:rsidRDefault="00C30A65" w:rsidP="003D3832">
            <w:pPr>
              <w:pStyle w:val="Tablehead"/>
              <w:rPr>
                <w:b w:val="0"/>
                <w:szCs w:val="24"/>
              </w:rPr>
            </w:pPr>
            <w:r w:rsidRPr="005E10F7">
              <w:rPr>
                <w:b w:val="0"/>
                <w:szCs w:val="24"/>
              </w:rPr>
              <w:t>20</w:t>
            </w:r>
          </w:p>
        </w:tc>
        <w:tc>
          <w:tcPr>
            <w:tcW w:w="4366" w:type="dxa"/>
            <w:vMerge w:val="restart"/>
            <w:tcBorders>
              <w:top w:val="single" w:sz="4" w:space="0" w:color="auto"/>
              <w:left w:val="single" w:sz="4" w:space="0" w:color="auto"/>
              <w:right w:val="single" w:sz="4" w:space="0" w:color="auto"/>
            </w:tcBorders>
          </w:tcPr>
          <w:p w:rsidR="00C30A65" w:rsidRPr="005E10F7" w:rsidRDefault="00C30A65" w:rsidP="003D3832">
            <w:pPr>
              <w:pStyle w:val="Tablehead"/>
              <w:jc w:val="left"/>
              <w:rPr>
                <w:b w:val="0"/>
                <w:szCs w:val="22"/>
              </w:rPr>
            </w:pPr>
            <w:r w:rsidRPr="005E10F7">
              <w:rPr>
                <w:b w:val="0"/>
                <w:szCs w:val="22"/>
              </w:rPr>
              <w:t>The PSD limit in the transition band (</w:t>
            </w:r>
            <w:proofErr w:type="spellStart"/>
            <w:r w:rsidRPr="005E10F7">
              <w:rPr>
                <w:b w:val="0"/>
                <w:szCs w:val="22"/>
              </w:rPr>
              <w:t>Δ</w:t>
            </w:r>
            <w:r w:rsidRPr="005E10F7">
              <w:rPr>
                <w:b w:val="0"/>
                <w:i/>
                <w:szCs w:val="22"/>
              </w:rPr>
              <w:t>f</w:t>
            </w:r>
            <w:r w:rsidRPr="005E10F7">
              <w:rPr>
                <w:b w:val="0"/>
                <w:i/>
                <w:szCs w:val="22"/>
                <w:vertAlign w:val="subscript"/>
              </w:rPr>
              <w:t>th</w:t>
            </w:r>
            <w:proofErr w:type="spellEnd"/>
            <w:r w:rsidRPr="005E10F7">
              <w:rPr>
                <w:b w:val="0"/>
                <w:szCs w:val="22"/>
              </w:rPr>
              <w:t>) shall be obtained by linear interpolation in dB over linear frequency scale.</w:t>
            </w:r>
          </w:p>
          <w:p w:rsidR="00C30A65" w:rsidRPr="005E10F7" w:rsidRDefault="00C30A65" w:rsidP="003D3832">
            <w:pPr>
              <w:pStyle w:val="Tablehead"/>
              <w:jc w:val="left"/>
              <w:rPr>
                <w:b w:val="0"/>
                <w:szCs w:val="22"/>
              </w:rPr>
            </w:pPr>
            <w:r w:rsidRPr="005E10F7">
              <w:rPr>
                <w:b w:val="0"/>
              </w:rPr>
              <w:t xml:space="preserve">Sub-carriers above </w:t>
            </w:r>
            <w:r w:rsidRPr="005E10F7">
              <w:rPr>
                <w:b w:val="0"/>
                <w:i/>
                <w:iCs/>
              </w:rPr>
              <w:t>f</w:t>
            </w:r>
            <w:r w:rsidRPr="005E10F7">
              <w:rPr>
                <w:b w:val="0"/>
                <w:i/>
                <w:iCs/>
                <w:vertAlign w:val="subscript"/>
              </w:rPr>
              <w:t>tr2</w:t>
            </w:r>
            <w:r w:rsidRPr="005E10F7">
              <w:rPr>
                <w:b w:val="0"/>
                <w:i/>
                <w:iCs/>
              </w:rPr>
              <w:t xml:space="preserve"> </w:t>
            </w:r>
            <w:r w:rsidRPr="005E10F7">
              <w:rPr>
                <w:b w:val="0"/>
              </w:rPr>
              <w:t>shall not be used for transmission (neither data nor any auxiliary information).</w:t>
            </w:r>
          </w:p>
        </w:tc>
      </w:tr>
      <w:tr w:rsidR="00C30A65" w:rsidRPr="005E10F7" w:rsidTr="003D3832">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C30A65" w:rsidRPr="005E10F7" w:rsidDel="00A011AF" w:rsidRDefault="00C30A65" w:rsidP="003D3832">
            <w:pPr>
              <w:pStyle w:val="Tablehead"/>
              <w:rPr>
                <w:b w:val="0"/>
                <w:szCs w:val="24"/>
              </w:rPr>
            </w:pPr>
            <w:r w:rsidRPr="005E10F7">
              <w:rPr>
                <w:b w:val="0"/>
                <w:szCs w:val="24"/>
              </w:rPr>
              <w:t>212</w:t>
            </w:r>
          </w:p>
        </w:tc>
        <w:tc>
          <w:tcPr>
            <w:tcW w:w="1276" w:type="dxa"/>
            <w:tcBorders>
              <w:top w:val="single" w:sz="4" w:space="0" w:color="auto"/>
              <w:left w:val="single" w:sz="4" w:space="0" w:color="auto"/>
              <w:bottom w:val="single" w:sz="4" w:space="0" w:color="auto"/>
              <w:right w:val="single" w:sz="4" w:space="0" w:color="auto"/>
            </w:tcBorders>
            <w:vAlign w:val="center"/>
          </w:tcPr>
          <w:p w:rsidR="00C30A65" w:rsidRPr="005E10F7" w:rsidRDefault="00C30A65" w:rsidP="003D3832">
            <w:pPr>
              <w:pStyle w:val="Tablehead"/>
              <w:rPr>
                <w:b w:val="0"/>
                <w:szCs w:val="24"/>
              </w:rPr>
            </w:pPr>
            <w:r w:rsidRPr="005E10F7">
              <w:rPr>
                <w:b w:val="0"/>
                <w:szCs w:val="24"/>
              </w:rPr>
              <w:t>–79</w:t>
            </w:r>
          </w:p>
        </w:tc>
        <w:tc>
          <w:tcPr>
            <w:tcW w:w="2268" w:type="dxa"/>
            <w:tcBorders>
              <w:top w:val="single" w:sz="4" w:space="0" w:color="auto"/>
              <w:left w:val="single" w:sz="4" w:space="0" w:color="auto"/>
              <w:bottom w:val="single" w:sz="4" w:space="0" w:color="auto"/>
              <w:right w:val="single" w:sz="4" w:space="0" w:color="auto"/>
            </w:tcBorders>
            <w:vAlign w:val="center"/>
          </w:tcPr>
          <w:p w:rsidR="00C30A65" w:rsidRPr="005E10F7" w:rsidRDefault="00C30A65" w:rsidP="003D3832">
            <w:pPr>
              <w:pStyle w:val="Tablehead"/>
              <w:rPr>
                <w:b w:val="0"/>
                <w:szCs w:val="24"/>
              </w:rPr>
            </w:pPr>
            <w:r w:rsidRPr="005E10F7">
              <w:rPr>
                <w:b w:val="0"/>
                <w:szCs w:val="24"/>
              </w:rPr>
              <w:t>40</w:t>
            </w:r>
          </w:p>
        </w:tc>
        <w:tc>
          <w:tcPr>
            <w:tcW w:w="4366" w:type="dxa"/>
            <w:vMerge/>
            <w:tcBorders>
              <w:left w:val="single" w:sz="4" w:space="0" w:color="auto"/>
              <w:bottom w:val="single" w:sz="4" w:space="0" w:color="auto"/>
              <w:right w:val="single" w:sz="4" w:space="0" w:color="auto"/>
            </w:tcBorders>
            <w:vAlign w:val="center"/>
          </w:tcPr>
          <w:p w:rsidR="00C30A65" w:rsidRPr="005E10F7" w:rsidRDefault="00C30A65" w:rsidP="003D3832">
            <w:pPr>
              <w:pStyle w:val="Tablehead"/>
              <w:rPr>
                <w:b w:val="0"/>
                <w:szCs w:val="24"/>
              </w:rPr>
            </w:pPr>
          </w:p>
        </w:tc>
      </w:tr>
    </w:tbl>
    <w:p w:rsidR="00C30A65" w:rsidRDefault="00C30A65" w:rsidP="00C30A65">
      <w:pPr>
        <w:pStyle w:val="Heading3"/>
        <w:ind w:left="0" w:firstLine="0"/>
      </w:pPr>
    </w:p>
    <w:p w:rsidR="00C30A65" w:rsidRPr="005E10F7" w:rsidRDefault="00C30A65" w:rsidP="00C30A65">
      <w:pPr>
        <w:pStyle w:val="Heading3"/>
        <w:ind w:left="0" w:firstLine="0"/>
      </w:pPr>
      <w:bookmarkStart w:id="36" w:name="_Toc361338943"/>
      <w:r w:rsidRPr="005E10F7">
        <w:t>6.2.2</w:t>
      </w:r>
      <w:r w:rsidRPr="005E10F7">
        <w:tab/>
        <w:t>Permanently masked sub-carriers</w:t>
      </w:r>
      <w:bookmarkEnd w:id="36"/>
      <w:r w:rsidRPr="005E10F7">
        <w:t xml:space="preserve"> </w:t>
      </w:r>
    </w:p>
    <w:p w:rsidR="00C30A65" w:rsidRPr="005E10F7" w:rsidRDefault="00C30A65" w:rsidP="00C30A65">
      <w:r w:rsidRPr="005E10F7">
        <w:t>For both the 106 MHz profile and the 212 MHz profile, sub-carriers with indices from 0 to 40 (inclusive) shall be permanently masked. They shall not be used for transmission (neither for data nor for any auxiliary information).</w:t>
      </w:r>
    </w:p>
    <w:p w:rsidR="00C30A65" w:rsidRPr="005E10F7" w:rsidRDefault="00C30A65" w:rsidP="00C30A65">
      <w:pPr>
        <w:pStyle w:val="Heading2"/>
        <w:keepNext w:val="0"/>
        <w:widowControl w:val="0"/>
        <w:ind w:left="0" w:firstLine="0"/>
      </w:pPr>
      <w:bookmarkStart w:id="37" w:name="_Toc361338944"/>
      <w:r w:rsidRPr="005E10F7">
        <w:rPr>
          <w:lang w:val="en-US"/>
        </w:rPr>
        <w:t>6.3</w:t>
      </w:r>
      <w:r w:rsidRPr="005E10F7">
        <w:rPr>
          <w:lang w:val="en-US"/>
        </w:rPr>
        <w:tab/>
      </w:r>
      <w:r w:rsidRPr="005E10F7">
        <w:t>Termination impedance</w:t>
      </w:r>
      <w:bookmarkEnd w:id="37"/>
      <w:r w:rsidRPr="005E10F7">
        <w:t xml:space="preserve"> </w:t>
      </w:r>
    </w:p>
    <w:p w:rsidR="00C30A65" w:rsidRPr="005E10F7" w:rsidRDefault="00C30A65" w:rsidP="00C30A65">
      <w:pPr>
        <w:widowControl w:val="0"/>
      </w:pPr>
      <w:r w:rsidRPr="005E10F7">
        <w:t>A termination impedance of R</w:t>
      </w:r>
      <w:r w:rsidRPr="005E10F7">
        <w:rPr>
          <w:vertAlign w:val="subscript"/>
        </w:rPr>
        <w:t>V</w:t>
      </w:r>
      <w:r w:rsidRPr="005E10F7">
        <w:t xml:space="preserve"> = 100 Ohm, purely resistive, at the U interface, shall be used for both FTUs. In particular, R</w:t>
      </w:r>
      <w:r w:rsidRPr="005E10F7">
        <w:rPr>
          <w:vertAlign w:val="subscript"/>
        </w:rPr>
        <w:t>V</w:t>
      </w:r>
      <w:r w:rsidRPr="005E10F7">
        <w:t xml:space="preserve"> = 100 Ohm shall be used as a termination for the transmit PSD and aggregate transmit power definition and verification.</w:t>
      </w:r>
    </w:p>
    <w:p w:rsidR="00C30A65" w:rsidRPr="005E10F7" w:rsidRDefault="00C30A65" w:rsidP="00C30A65">
      <w:pPr>
        <w:pStyle w:val="Heading2"/>
        <w:keepNext w:val="0"/>
        <w:widowControl w:val="0"/>
        <w:ind w:left="0" w:firstLine="0"/>
        <w:rPr>
          <w:lang w:val="en-US"/>
        </w:rPr>
      </w:pPr>
      <w:bookmarkStart w:id="38" w:name="_Toc361338945"/>
      <w:r w:rsidRPr="005E10F7">
        <w:rPr>
          <w:lang w:val="en-US"/>
        </w:rPr>
        <w:t>6.4</w:t>
      </w:r>
      <w:r w:rsidRPr="005E10F7">
        <w:rPr>
          <w:lang w:val="en-US"/>
        </w:rPr>
        <w:tab/>
        <w:t>Maximum aggregate transmit power</w:t>
      </w:r>
      <w:bookmarkEnd w:id="38"/>
    </w:p>
    <w:p w:rsidR="00C30A65" w:rsidRPr="005E10F7" w:rsidRDefault="00C30A65" w:rsidP="00C30A65">
      <w:pPr>
        <w:widowControl w:val="0"/>
      </w:pPr>
      <w:r w:rsidRPr="005E10F7">
        <w:t xml:space="preserve">The maximum aggregate transmit power of both the FTU-O (in the downstream direction) and FTU-R (in the upstream direction) shall not exceed the level specified in Table 6-1 for any given profile when measured using the termination impedance defined in clause 6.3. </w:t>
      </w:r>
    </w:p>
    <w:p w:rsidR="00C30A65" w:rsidRPr="005E10F7" w:rsidRDefault="00C30A65" w:rsidP="00C30A65">
      <w:pPr>
        <w:widowControl w:val="0"/>
      </w:pPr>
      <w:r w:rsidRPr="005E10F7">
        <w:t>Further limitations are the subject for regional Annexes (for further study).</w:t>
      </w:r>
    </w:p>
    <w:p w:rsidR="00C30A65" w:rsidRPr="005E10F7" w:rsidRDefault="00C30A65" w:rsidP="00C30A65">
      <w:pPr>
        <w:rPr>
          <w:lang w:val="en-US"/>
        </w:rPr>
      </w:pPr>
    </w:p>
    <w:p w:rsidR="00C30A65" w:rsidRPr="005E10F7" w:rsidRDefault="00C30A65" w:rsidP="00C30A65">
      <w:pPr>
        <w:pStyle w:val="Heading1"/>
      </w:pPr>
      <w:bookmarkStart w:id="39" w:name="_Toc361338946"/>
      <w:r>
        <w:lastRenderedPageBreak/>
        <w:t>7</w:t>
      </w:r>
      <w:r w:rsidRPr="005E10F7">
        <w:tab/>
        <w:t>Transmit PSD verification</w:t>
      </w:r>
      <w:bookmarkEnd w:id="39"/>
      <w:r w:rsidRPr="005E10F7">
        <w:t xml:space="preserve"> </w:t>
      </w:r>
    </w:p>
    <w:p w:rsidR="00C30A65" w:rsidRPr="005E10F7" w:rsidRDefault="00C30A65" w:rsidP="00C30A65">
      <w:r w:rsidRPr="005E10F7">
        <w:t>The values of the transmit PSD mask are defined in this Recommendation under an assumption that the transmission wer</w:t>
      </w:r>
      <w:r>
        <w:t>e continuous. In systems using time d</w:t>
      </w:r>
      <w:r w:rsidRPr="005E10F7">
        <w:t xml:space="preserve">ivision </w:t>
      </w:r>
      <w:r>
        <w:t>duplexing (TDD), such as [ITU-T G.9701</w:t>
      </w:r>
      <w:r w:rsidRPr="005E10F7">
        <w:t>], transmission in a particular direction is not continuous, but occurs only during designated time periods. This shall be taken in account by the applied measurement procedure.</w:t>
      </w:r>
    </w:p>
    <w:p w:rsidR="00C30A65" w:rsidRPr="005E10F7" w:rsidRDefault="00C30A65" w:rsidP="00C30A65">
      <w:r w:rsidRPr="005E10F7">
        <w:t xml:space="preserve">The measurement bandwidth (MBW) for evaluation of the PSD shall be as defined in Table 7-1. The measurement bandwidth shall be </w:t>
      </w:r>
      <w:proofErr w:type="spellStart"/>
      <w:r w:rsidRPr="005E10F7">
        <w:t>cent</w:t>
      </w:r>
      <w:r>
        <w:t>e</w:t>
      </w:r>
      <w:r w:rsidRPr="005E10F7">
        <w:t>red</w:t>
      </w:r>
      <w:proofErr w:type="spellEnd"/>
      <w:r w:rsidRPr="005E10F7">
        <w:t xml:space="preserve"> on the frequency in question. </w:t>
      </w:r>
    </w:p>
    <w:p w:rsidR="00C30A65" w:rsidRPr="005E10F7" w:rsidRDefault="00C30A65" w:rsidP="00C30A65">
      <w:r w:rsidRPr="005E10F7">
        <w:t>The mask value to be compared against shall be the maximum value t</w:t>
      </w:r>
      <w:r>
        <w:t>he mask takes within a window [</w:t>
      </w:r>
      <w:r w:rsidRPr="002579EF">
        <w:rPr>
          <w:i/>
        </w:rPr>
        <w:t>f</w:t>
      </w:r>
      <w:r w:rsidRPr="005E10F7">
        <w:t xml:space="preserve"> </w:t>
      </w:r>
      <w:r>
        <w:t>−</w:t>
      </w:r>
      <w:r w:rsidRPr="005E10F7">
        <w:t xml:space="preserve"> ½</w:t>
      </w:r>
      <w:r>
        <w:t>×</w:t>
      </w:r>
      <w:r w:rsidRPr="005E10F7">
        <w:t xml:space="preserve">MBW, </w:t>
      </w:r>
      <w:r w:rsidRPr="002579EF">
        <w:rPr>
          <w:i/>
        </w:rPr>
        <w:t>f</w:t>
      </w:r>
      <w:r w:rsidRPr="005E10F7">
        <w:t xml:space="preserve"> + ½</w:t>
      </w:r>
      <w:r>
        <w:t>×</w:t>
      </w:r>
      <w:r w:rsidRPr="005E10F7">
        <w:t>MBW].</w:t>
      </w:r>
    </w:p>
    <w:p w:rsidR="00C30A65" w:rsidRPr="005E10F7" w:rsidRDefault="00C30A65" w:rsidP="00C30A65">
      <w:pPr>
        <w:ind w:left="567"/>
      </w:pPr>
      <w:r w:rsidRPr="005E10F7">
        <w:t xml:space="preserve">NOTE: If in a </w:t>
      </w:r>
      <w:r>
        <w:t>certain frequency range both a narrowband transmit PSD mask (TXPSDM_N) and a wideband transmit PSD m</w:t>
      </w:r>
      <w:r w:rsidRPr="005E10F7">
        <w:t xml:space="preserve">ask (TXPSDM_W) is defined, the MBW values defined in this </w:t>
      </w:r>
      <w:r>
        <w:t>clause relate to the n</w:t>
      </w:r>
      <w:r w:rsidRPr="005E10F7">
        <w:t xml:space="preserve">arrowband PSD measurements PSD_N.  </w:t>
      </w:r>
    </w:p>
    <w:p w:rsidR="00C30A65" w:rsidRPr="005E10F7" w:rsidRDefault="00C30A65" w:rsidP="00C30A65">
      <w:r w:rsidRPr="005E10F7">
        <w:t xml:space="preserve">PSD masks are specified with respect to </w:t>
      </w:r>
      <w:proofErr w:type="gramStart"/>
      <w:r w:rsidRPr="005E10F7">
        <w:t>a reference</w:t>
      </w:r>
      <w:proofErr w:type="gramEnd"/>
      <w:r w:rsidRPr="005E10F7">
        <w:t xml:space="preserve"> termination impedance, as defined in clause 6.3.</w:t>
      </w:r>
    </w:p>
    <w:p w:rsidR="00C30A65" w:rsidRPr="002579EF" w:rsidRDefault="00C30A65" w:rsidP="00C30A65">
      <w:pPr>
        <w:pStyle w:val="TableNotitle"/>
      </w:pPr>
      <w:r w:rsidRPr="005E10F7">
        <w:t>Table 7-1 – Measurement bandwidth settings for transmit PSD verification</w:t>
      </w:r>
    </w:p>
    <w:tbl>
      <w:tblPr>
        <w:tblStyle w:val="TableGrid"/>
        <w:tblW w:w="7355" w:type="dxa"/>
        <w:jc w:val="center"/>
        <w:tblLook w:val="04A0" w:firstRow="1" w:lastRow="0" w:firstColumn="1" w:lastColumn="0" w:noHBand="0" w:noVBand="1"/>
      </w:tblPr>
      <w:tblGrid>
        <w:gridCol w:w="4237"/>
        <w:gridCol w:w="3118"/>
      </w:tblGrid>
      <w:tr w:rsidR="00C30A65" w:rsidRPr="005E10F7" w:rsidTr="003D3832">
        <w:trPr>
          <w:jc w:val="center"/>
        </w:trPr>
        <w:tc>
          <w:tcPr>
            <w:tcW w:w="4237" w:type="dxa"/>
            <w:tcBorders>
              <w:top w:val="single" w:sz="4" w:space="0" w:color="auto"/>
              <w:left w:val="single" w:sz="4" w:space="0" w:color="auto"/>
              <w:bottom w:val="single" w:sz="4" w:space="0" w:color="auto"/>
              <w:right w:val="single" w:sz="4" w:space="0" w:color="auto"/>
            </w:tcBorders>
            <w:hideMark/>
          </w:tcPr>
          <w:p w:rsidR="00C30A65" w:rsidRPr="005E10F7" w:rsidRDefault="00C30A65" w:rsidP="003D3832">
            <w:pPr>
              <w:pStyle w:val="Tablehead"/>
            </w:pPr>
            <w:r w:rsidRPr="005E10F7">
              <w:t>Frequency band</w:t>
            </w:r>
          </w:p>
        </w:tc>
        <w:tc>
          <w:tcPr>
            <w:tcW w:w="3118" w:type="dxa"/>
            <w:tcBorders>
              <w:top w:val="single" w:sz="4" w:space="0" w:color="auto"/>
              <w:left w:val="single" w:sz="4" w:space="0" w:color="auto"/>
              <w:bottom w:val="single" w:sz="4" w:space="0" w:color="auto"/>
              <w:right w:val="single" w:sz="4" w:space="0" w:color="auto"/>
            </w:tcBorders>
            <w:hideMark/>
          </w:tcPr>
          <w:p w:rsidR="00C30A65" w:rsidRPr="005E10F7" w:rsidRDefault="00C30A65" w:rsidP="003D3832">
            <w:pPr>
              <w:pStyle w:val="Tablehead"/>
            </w:pPr>
            <w:r w:rsidRPr="005E10F7">
              <w:t>Measurement Bandwidth</w:t>
            </w:r>
          </w:p>
          <w:p w:rsidR="00C30A65" w:rsidRPr="005E10F7" w:rsidRDefault="00C30A65" w:rsidP="003D3832">
            <w:pPr>
              <w:pStyle w:val="Tablehead"/>
            </w:pPr>
            <w:r w:rsidRPr="005E10F7">
              <w:t>(MBW)</w:t>
            </w:r>
          </w:p>
        </w:tc>
      </w:tr>
      <w:tr w:rsidR="00C30A65" w:rsidRPr="005E10F7" w:rsidTr="003D3832">
        <w:trPr>
          <w:jc w:val="center"/>
        </w:trPr>
        <w:tc>
          <w:tcPr>
            <w:tcW w:w="4237" w:type="dxa"/>
            <w:tcBorders>
              <w:top w:val="single" w:sz="4" w:space="0" w:color="auto"/>
              <w:left w:val="single" w:sz="4" w:space="0" w:color="auto"/>
              <w:bottom w:val="single" w:sz="4" w:space="0" w:color="auto"/>
              <w:right w:val="single" w:sz="4" w:space="0" w:color="auto"/>
            </w:tcBorders>
            <w:hideMark/>
          </w:tcPr>
          <w:p w:rsidR="00C30A65" w:rsidRPr="005E10F7" w:rsidRDefault="00C30A65" w:rsidP="003D3832">
            <w:pPr>
              <w:rPr>
                <w:sz w:val="22"/>
                <w:szCs w:val="22"/>
              </w:rPr>
            </w:pPr>
            <w:r w:rsidRPr="005E10F7">
              <w:rPr>
                <w:sz w:val="22"/>
                <w:szCs w:val="22"/>
              </w:rPr>
              <w:t xml:space="preserve">4 kHz &lt; </w:t>
            </w:r>
            <w:r w:rsidRPr="002579EF">
              <w:rPr>
                <w:i/>
                <w:sz w:val="22"/>
                <w:szCs w:val="22"/>
              </w:rPr>
              <w:t xml:space="preserve">f </w:t>
            </w:r>
            <w:r w:rsidRPr="005E10F7">
              <w:rPr>
                <w:sz w:val="22"/>
                <w:szCs w:val="22"/>
              </w:rPr>
              <w:t>&lt; 20 kHz</w:t>
            </w:r>
          </w:p>
        </w:tc>
        <w:tc>
          <w:tcPr>
            <w:tcW w:w="3118" w:type="dxa"/>
            <w:tcBorders>
              <w:top w:val="single" w:sz="4" w:space="0" w:color="auto"/>
              <w:left w:val="single" w:sz="4" w:space="0" w:color="auto"/>
              <w:bottom w:val="single" w:sz="4" w:space="0" w:color="auto"/>
              <w:right w:val="single" w:sz="4" w:space="0" w:color="auto"/>
            </w:tcBorders>
            <w:hideMark/>
          </w:tcPr>
          <w:p w:rsidR="00C30A65" w:rsidRPr="005E10F7" w:rsidRDefault="00C30A65" w:rsidP="003D3832">
            <w:pPr>
              <w:tabs>
                <w:tab w:val="left" w:pos="904"/>
                <w:tab w:val="center" w:pos="1239"/>
              </w:tabs>
              <w:jc w:val="center"/>
              <w:rPr>
                <w:i/>
                <w:caps/>
                <w:sz w:val="22"/>
                <w:szCs w:val="22"/>
              </w:rPr>
            </w:pPr>
            <w:r w:rsidRPr="005E10F7">
              <w:rPr>
                <w:sz w:val="22"/>
                <w:szCs w:val="22"/>
              </w:rPr>
              <w:t>1 kHz</w:t>
            </w:r>
          </w:p>
        </w:tc>
      </w:tr>
      <w:tr w:rsidR="00C30A65" w:rsidRPr="005E10F7" w:rsidTr="003D3832">
        <w:trPr>
          <w:jc w:val="center"/>
        </w:trPr>
        <w:tc>
          <w:tcPr>
            <w:tcW w:w="4237" w:type="dxa"/>
            <w:tcBorders>
              <w:top w:val="single" w:sz="4" w:space="0" w:color="auto"/>
              <w:left w:val="single" w:sz="4" w:space="0" w:color="auto"/>
              <w:bottom w:val="single" w:sz="4" w:space="0" w:color="auto"/>
              <w:right w:val="single" w:sz="4" w:space="0" w:color="auto"/>
            </w:tcBorders>
            <w:hideMark/>
          </w:tcPr>
          <w:p w:rsidR="00C30A65" w:rsidRPr="005E10F7" w:rsidRDefault="00C30A65" w:rsidP="003D3832">
            <w:pPr>
              <w:rPr>
                <w:sz w:val="22"/>
                <w:szCs w:val="22"/>
              </w:rPr>
            </w:pPr>
            <w:r w:rsidRPr="005E10F7">
              <w:rPr>
                <w:sz w:val="22"/>
                <w:szCs w:val="22"/>
              </w:rPr>
              <w:t xml:space="preserve">20 kHz  &lt; </w:t>
            </w:r>
            <w:r w:rsidRPr="002579EF">
              <w:rPr>
                <w:i/>
                <w:sz w:val="22"/>
                <w:szCs w:val="22"/>
              </w:rPr>
              <w:t>f</w:t>
            </w:r>
            <w:r w:rsidRPr="005E10F7">
              <w:rPr>
                <w:sz w:val="22"/>
                <w:szCs w:val="22"/>
              </w:rPr>
              <w:t xml:space="preserve">  &lt; </w:t>
            </w:r>
            <w:r w:rsidRPr="005E10F7">
              <w:rPr>
                <w:i/>
                <w:sz w:val="22"/>
                <w:szCs w:val="22"/>
              </w:rPr>
              <w:t>f</w:t>
            </w:r>
            <w:r w:rsidRPr="005E10F7">
              <w:rPr>
                <w:i/>
                <w:sz w:val="22"/>
                <w:szCs w:val="22"/>
                <w:vertAlign w:val="subscript"/>
              </w:rPr>
              <w:t>tr1</w:t>
            </w:r>
          </w:p>
        </w:tc>
        <w:tc>
          <w:tcPr>
            <w:tcW w:w="3118" w:type="dxa"/>
            <w:tcBorders>
              <w:top w:val="single" w:sz="4" w:space="0" w:color="auto"/>
              <w:left w:val="single" w:sz="4" w:space="0" w:color="auto"/>
              <w:bottom w:val="single" w:sz="4" w:space="0" w:color="auto"/>
              <w:right w:val="single" w:sz="4" w:space="0" w:color="auto"/>
            </w:tcBorders>
            <w:hideMark/>
          </w:tcPr>
          <w:p w:rsidR="00C30A65" w:rsidRPr="005E10F7" w:rsidRDefault="00C30A65" w:rsidP="003D3832">
            <w:pPr>
              <w:jc w:val="center"/>
              <w:rPr>
                <w:i/>
                <w:caps/>
                <w:sz w:val="22"/>
                <w:szCs w:val="22"/>
              </w:rPr>
            </w:pPr>
            <w:r w:rsidRPr="005E10F7">
              <w:rPr>
                <w:sz w:val="22"/>
                <w:szCs w:val="22"/>
              </w:rPr>
              <w:t>10 kHz</w:t>
            </w:r>
          </w:p>
        </w:tc>
      </w:tr>
      <w:tr w:rsidR="00C30A65" w:rsidRPr="005E10F7" w:rsidTr="003D3832">
        <w:trPr>
          <w:jc w:val="center"/>
        </w:trPr>
        <w:tc>
          <w:tcPr>
            <w:tcW w:w="4237" w:type="dxa"/>
            <w:tcBorders>
              <w:top w:val="single" w:sz="4" w:space="0" w:color="auto"/>
              <w:left w:val="single" w:sz="4" w:space="0" w:color="auto"/>
              <w:bottom w:val="single" w:sz="4" w:space="0" w:color="auto"/>
              <w:right w:val="single" w:sz="4" w:space="0" w:color="auto"/>
            </w:tcBorders>
            <w:hideMark/>
          </w:tcPr>
          <w:p w:rsidR="00C30A65" w:rsidRPr="005E10F7" w:rsidRDefault="00C30A65" w:rsidP="003D3832">
            <w:pPr>
              <w:rPr>
                <w:sz w:val="22"/>
                <w:szCs w:val="22"/>
              </w:rPr>
            </w:pPr>
            <w:r w:rsidRPr="005E10F7">
              <w:rPr>
                <w:sz w:val="22"/>
                <w:szCs w:val="22"/>
              </w:rPr>
              <w:t>(</w:t>
            </w:r>
            <w:r w:rsidRPr="005E10F7">
              <w:rPr>
                <w:i/>
                <w:sz w:val="22"/>
                <w:szCs w:val="22"/>
              </w:rPr>
              <w:t>f</w:t>
            </w:r>
            <w:r w:rsidRPr="005E10F7">
              <w:rPr>
                <w:i/>
                <w:sz w:val="22"/>
                <w:szCs w:val="22"/>
                <w:vertAlign w:val="subscript"/>
              </w:rPr>
              <w:t>tr1</w:t>
            </w:r>
            <w:r w:rsidRPr="005E10F7">
              <w:rPr>
                <w:i/>
                <w:sz w:val="22"/>
                <w:szCs w:val="22"/>
              </w:rPr>
              <w:t xml:space="preserve">+ </w:t>
            </w:r>
            <w:r w:rsidRPr="005E10F7">
              <w:rPr>
                <w:rFonts w:asciiTheme="majorBidi" w:hAnsiTheme="majorBidi" w:cstheme="majorBidi"/>
              </w:rPr>
              <w:t>½</w:t>
            </w:r>
            <w:r>
              <w:rPr>
                <w:rFonts w:asciiTheme="majorBidi" w:hAnsiTheme="majorBidi" w:cstheme="majorBidi"/>
              </w:rPr>
              <w:t>×</w:t>
            </w:r>
            <w:r>
              <w:rPr>
                <w:sz w:val="22"/>
                <w:szCs w:val="22"/>
              </w:rPr>
              <w:t>MBW</w:t>
            </w:r>
            <w:r w:rsidRPr="005E10F7">
              <w:rPr>
                <w:sz w:val="22"/>
                <w:szCs w:val="22"/>
              </w:rPr>
              <w:t>)</w:t>
            </w:r>
            <w:r w:rsidRPr="005E10F7">
              <w:rPr>
                <w:i/>
                <w:sz w:val="22"/>
                <w:szCs w:val="22"/>
                <w:vertAlign w:val="subscript"/>
              </w:rPr>
              <w:t xml:space="preserve"> </w:t>
            </w:r>
            <w:r w:rsidRPr="005E10F7">
              <w:rPr>
                <w:i/>
                <w:sz w:val="22"/>
                <w:szCs w:val="22"/>
              </w:rPr>
              <w:t xml:space="preserve"> </w:t>
            </w:r>
            <w:r w:rsidRPr="005E10F7">
              <w:rPr>
                <w:sz w:val="22"/>
                <w:szCs w:val="22"/>
              </w:rPr>
              <w:t>to (30 MHz</w:t>
            </w:r>
            <w:r w:rsidRPr="005E10F7">
              <w:rPr>
                <w:i/>
                <w:sz w:val="22"/>
                <w:szCs w:val="22"/>
                <w:vertAlign w:val="subscript"/>
              </w:rPr>
              <w:t xml:space="preserve"> </w:t>
            </w:r>
            <w:r w:rsidRPr="005E10F7">
              <w:rPr>
                <w:i/>
                <w:sz w:val="22"/>
                <w:szCs w:val="22"/>
              </w:rPr>
              <w:t xml:space="preserve">– </w:t>
            </w:r>
            <w:r w:rsidRPr="005E10F7">
              <w:rPr>
                <w:rFonts w:asciiTheme="majorBidi" w:hAnsiTheme="majorBidi" w:cstheme="majorBidi"/>
              </w:rPr>
              <w:t>½</w:t>
            </w:r>
            <w:r>
              <w:rPr>
                <w:rFonts w:asciiTheme="majorBidi" w:hAnsiTheme="majorBidi" w:cstheme="majorBidi"/>
              </w:rPr>
              <w:t>×</w:t>
            </w:r>
            <w:r>
              <w:rPr>
                <w:sz w:val="22"/>
                <w:szCs w:val="22"/>
              </w:rPr>
              <w:t>MBW</w:t>
            </w:r>
            <w:r w:rsidRPr="005E10F7">
              <w:rPr>
                <w:sz w:val="22"/>
                <w:szCs w:val="22"/>
              </w:rPr>
              <w:t>)</w:t>
            </w:r>
            <w:r w:rsidRPr="005E10F7">
              <w:rPr>
                <w:i/>
                <w:sz w:val="22"/>
                <w:szCs w:val="22"/>
                <w:vertAlign w:val="subscript"/>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C30A65" w:rsidRPr="005E10F7" w:rsidRDefault="00C30A65" w:rsidP="003D3832">
            <w:pPr>
              <w:jc w:val="center"/>
              <w:rPr>
                <w:i/>
                <w:caps/>
                <w:sz w:val="22"/>
                <w:szCs w:val="22"/>
              </w:rPr>
            </w:pPr>
            <w:r w:rsidRPr="005E10F7">
              <w:rPr>
                <w:sz w:val="22"/>
                <w:szCs w:val="22"/>
              </w:rPr>
              <w:t>1 MHz</w:t>
            </w:r>
          </w:p>
        </w:tc>
      </w:tr>
      <w:tr w:rsidR="00C30A65" w:rsidRPr="005E10F7" w:rsidTr="003D3832">
        <w:trPr>
          <w:jc w:val="center"/>
        </w:trPr>
        <w:tc>
          <w:tcPr>
            <w:tcW w:w="4237" w:type="dxa"/>
            <w:tcBorders>
              <w:top w:val="single" w:sz="4" w:space="0" w:color="auto"/>
              <w:left w:val="single" w:sz="4" w:space="0" w:color="auto"/>
              <w:bottom w:val="single" w:sz="4" w:space="0" w:color="auto"/>
              <w:right w:val="single" w:sz="4" w:space="0" w:color="auto"/>
            </w:tcBorders>
            <w:hideMark/>
          </w:tcPr>
          <w:p w:rsidR="00C30A65" w:rsidRPr="005E10F7" w:rsidRDefault="00C30A65" w:rsidP="003D3832">
            <w:pPr>
              <w:rPr>
                <w:i/>
                <w:sz w:val="22"/>
                <w:szCs w:val="22"/>
              </w:rPr>
            </w:pPr>
            <w:r w:rsidRPr="005E10F7">
              <w:rPr>
                <w:sz w:val="22"/>
                <w:szCs w:val="22"/>
              </w:rPr>
              <w:t>(30 MHz</w:t>
            </w:r>
            <w:r w:rsidRPr="005E10F7">
              <w:rPr>
                <w:i/>
                <w:sz w:val="22"/>
                <w:szCs w:val="22"/>
                <w:vertAlign w:val="subscript"/>
              </w:rPr>
              <w:t xml:space="preserve"> </w:t>
            </w:r>
            <w:r w:rsidRPr="005E10F7">
              <w:rPr>
                <w:i/>
                <w:sz w:val="22"/>
                <w:szCs w:val="22"/>
              </w:rPr>
              <w:t xml:space="preserve">+ </w:t>
            </w:r>
            <w:r w:rsidRPr="005E10F7">
              <w:rPr>
                <w:rFonts w:asciiTheme="majorBidi" w:hAnsiTheme="majorBidi" w:cstheme="majorBidi"/>
              </w:rPr>
              <w:t>½</w:t>
            </w:r>
            <w:r>
              <w:rPr>
                <w:rFonts w:asciiTheme="majorBidi" w:hAnsiTheme="majorBidi" w:cstheme="majorBidi"/>
              </w:rPr>
              <w:t>×</w:t>
            </w:r>
            <w:r>
              <w:rPr>
                <w:sz w:val="22"/>
                <w:szCs w:val="22"/>
              </w:rPr>
              <w:t>MBW</w:t>
            </w:r>
            <w:r w:rsidRPr="005E10F7">
              <w:rPr>
                <w:sz w:val="22"/>
                <w:szCs w:val="22"/>
              </w:rPr>
              <w:t>) to (</w:t>
            </w:r>
            <w:r w:rsidRPr="005E10F7">
              <w:rPr>
                <w:i/>
                <w:sz w:val="22"/>
                <w:szCs w:val="22"/>
              </w:rPr>
              <w:t>f</w:t>
            </w:r>
            <w:r w:rsidRPr="005E10F7">
              <w:rPr>
                <w:i/>
                <w:sz w:val="22"/>
                <w:szCs w:val="22"/>
                <w:vertAlign w:val="subscript"/>
              </w:rPr>
              <w:t>tr2</w:t>
            </w:r>
            <w:r w:rsidRPr="005E10F7">
              <w:rPr>
                <w:i/>
                <w:sz w:val="22"/>
                <w:szCs w:val="22"/>
              </w:rPr>
              <w:t xml:space="preserve"> – </w:t>
            </w:r>
            <w:r w:rsidRPr="005E10F7">
              <w:rPr>
                <w:rFonts w:asciiTheme="majorBidi" w:hAnsiTheme="majorBidi" w:cstheme="majorBidi"/>
              </w:rPr>
              <w:t>½</w:t>
            </w:r>
            <w:r>
              <w:rPr>
                <w:rFonts w:asciiTheme="majorBidi" w:hAnsiTheme="majorBidi" w:cstheme="majorBidi"/>
              </w:rPr>
              <w:t>×</w:t>
            </w:r>
            <w:r>
              <w:rPr>
                <w:sz w:val="22"/>
                <w:szCs w:val="22"/>
              </w:rPr>
              <w:t>MBW</w:t>
            </w:r>
            <w:r w:rsidRPr="005E10F7">
              <w:rPr>
                <w:sz w:val="22"/>
                <w:szCs w:val="22"/>
              </w:rPr>
              <w:t>)</w:t>
            </w:r>
            <w:r w:rsidRPr="005E10F7">
              <w:rPr>
                <w:sz w:val="22"/>
                <w:szCs w:val="22"/>
                <w:vertAlign w:val="subscript"/>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C30A65" w:rsidRPr="005E10F7" w:rsidRDefault="00C30A65" w:rsidP="003D3832">
            <w:pPr>
              <w:jc w:val="center"/>
              <w:rPr>
                <w:sz w:val="22"/>
                <w:szCs w:val="22"/>
              </w:rPr>
            </w:pPr>
            <w:r w:rsidRPr="005E10F7">
              <w:rPr>
                <w:sz w:val="22"/>
                <w:szCs w:val="22"/>
              </w:rPr>
              <w:t>1 MHz</w:t>
            </w:r>
          </w:p>
        </w:tc>
      </w:tr>
      <w:tr w:rsidR="00C30A65" w:rsidRPr="005E10F7" w:rsidTr="003D3832">
        <w:trPr>
          <w:jc w:val="center"/>
        </w:trPr>
        <w:tc>
          <w:tcPr>
            <w:tcW w:w="4237" w:type="dxa"/>
            <w:tcBorders>
              <w:top w:val="single" w:sz="4" w:space="0" w:color="auto"/>
              <w:left w:val="single" w:sz="4" w:space="0" w:color="auto"/>
              <w:bottom w:val="single" w:sz="4" w:space="0" w:color="auto"/>
              <w:right w:val="single" w:sz="4" w:space="0" w:color="auto"/>
            </w:tcBorders>
            <w:hideMark/>
          </w:tcPr>
          <w:p w:rsidR="00C30A65" w:rsidRPr="005E10F7" w:rsidRDefault="00C30A65" w:rsidP="003D3832">
            <w:pPr>
              <w:rPr>
                <w:sz w:val="22"/>
                <w:szCs w:val="22"/>
              </w:rPr>
            </w:pPr>
            <w:r w:rsidRPr="005E10F7">
              <w:rPr>
                <w:i/>
                <w:sz w:val="22"/>
                <w:szCs w:val="22"/>
              </w:rPr>
              <w:t>&gt;f</w:t>
            </w:r>
            <w:r w:rsidRPr="005E10F7">
              <w:rPr>
                <w:i/>
                <w:sz w:val="22"/>
                <w:szCs w:val="22"/>
                <w:vertAlign w:val="subscript"/>
              </w:rPr>
              <w:t>tr2</w:t>
            </w:r>
            <w:r w:rsidRPr="005E10F7">
              <w:rPr>
                <w:sz w:val="22"/>
                <w:szCs w:val="22"/>
              </w:rPr>
              <w:t xml:space="preserve"> to 300 MHz</w:t>
            </w:r>
          </w:p>
        </w:tc>
        <w:tc>
          <w:tcPr>
            <w:tcW w:w="3118" w:type="dxa"/>
            <w:tcBorders>
              <w:top w:val="single" w:sz="4" w:space="0" w:color="auto"/>
              <w:left w:val="single" w:sz="4" w:space="0" w:color="auto"/>
              <w:bottom w:val="single" w:sz="4" w:space="0" w:color="auto"/>
              <w:right w:val="single" w:sz="4" w:space="0" w:color="auto"/>
            </w:tcBorders>
            <w:hideMark/>
          </w:tcPr>
          <w:p w:rsidR="00C30A65" w:rsidRPr="005E10F7" w:rsidRDefault="00C30A65" w:rsidP="003D3832">
            <w:pPr>
              <w:jc w:val="center"/>
              <w:rPr>
                <w:sz w:val="22"/>
                <w:szCs w:val="22"/>
              </w:rPr>
            </w:pPr>
            <w:r w:rsidRPr="005E10F7">
              <w:rPr>
                <w:sz w:val="22"/>
                <w:szCs w:val="22"/>
              </w:rPr>
              <w:t>100 kHz</w:t>
            </w:r>
          </w:p>
        </w:tc>
      </w:tr>
      <w:tr w:rsidR="00C30A65" w:rsidRPr="005E10F7" w:rsidTr="003D3832">
        <w:trPr>
          <w:jc w:val="center"/>
        </w:trPr>
        <w:tc>
          <w:tcPr>
            <w:tcW w:w="4237" w:type="dxa"/>
            <w:tcBorders>
              <w:top w:val="single" w:sz="4" w:space="0" w:color="auto"/>
              <w:left w:val="single" w:sz="4" w:space="0" w:color="auto"/>
              <w:bottom w:val="single" w:sz="4" w:space="0" w:color="auto"/>
              <w:right w:val="single" w:sz="4" w:space="0" w:color="auto"/>
            </w:tcBorders>
            <w:hideMark/>
          </w:tcPr>
          <w:p w:rsidR="00C30A65" w:rsidRPr="005E10F7" w:rsidRDefault="00C30A65" w:rsidP="003D3832">
            <w:pPr>
              <w:rPr>
                <w:i/>
                <w:sz w:val="22"/>
                <w:szCs w:val="22"/>
              </w:rPr>
            </w:pPr>
            <w:r w:rsidRPr="005E10F7">
              <w:rPr>
                <w:sz w:val="22"/>
                <w:szCs w:val="22"/>
              </w:rPr>
              <w:t>Any notched frequency band</w:t>
            </w:r>
          </w:p>
        </w:tc>
        <w:tc>
          <w:tcPr>
            <w:tcW w:w="3118" w:type="dxa"/>
            <w:tcBorders>
              <w:top w:val="single" w:sz="4" w:space="0" w:color="auto"/>
              <w:left w:val="single" w:sz="4" w:space="0" w:color="auto"/>
              <w:bottom w:val="single" w:sz="4" w:space="0" w:color="auto"/>
              <w:right w:val="single" w:sz="4" w:space="0" w:color="auto"/>
            </w:tcBorders>
            <w:hideMark/>
          </w:tcPr>
          <w:p w:rsidR="00C30A65" w:rsidRPr="005E10F7" w:rsidRDefault="00C30A65" w:rsidP="003D3832">
            <w:pPr>
              <w:jc w:val="center"/>
              <w:rPr>
                <w:sz w:val="22"/>
                <w:szCs w:val="22"/>
              </w:rPr>
            </w:pPr>
            <w:r w:rsidRPr="005E10F7">
              <w:rPr>
                <w:sz w:val="22"/>
                <w:szCs w:val="22"/>
              </w:rPr>
              <w:t>10 kHz</w:t>
            </w:r>
          </w:p>
        </w:tc>
      </w:tr>
    </w:tbl>
    <w:p w:rsidR="00C30A65" w:rsidRDefault="00C30A65" w:rsidP="00C30A65">
      <w:pPr>
        <w:pStyle w:val="AnnexNoTitle0"/>
      </w:pPr>
      <w:bookmarkStart w:id="40" w:name="_Toc316373549"/>
      <w:bookmarkStart w:id="41" w:name="_Toc325119948"/>
      <w:bookmarkStart w:id="42" w:name="_Toc327352706"/>
    </w:p>
    <w:p w:rsidR="00C30A65" w:rsidRDefault="00C30A65" w:rsidP="00C30A65">
      <w:pPr>
        <w:pStyle w:val="Normalaftertitle"/>
        <w:rPr>
          <w:sz w:val="28"/>
        </w:rPr>
      </w:pPr>
      <w:r>
        <w:br w:type="page"/>
      </w:r>
    </w:p>
    <w:p w:rsidR="00C30A65" w:rsidRPr="005E10F7" w:rsidRDefault="00C30A65" w:rsidP="00C30A65">
      <w:pPr>
        <w:pStyle w:val="AnnexNoTitle0"/>
      </w:pPr>
      <w:r>
        <w:lastRenderedPageBreak/>
        <w:t>Appendix I</w:t>
      </w:r>
      <w:r w:rsidRPr="005E10F7">
        <w:br/>
      </w:r>
      <w:r w:rsidRPr="005E10F7">
        <w:br/>
        <w:t>International amateur radio bands</w:t>
      </w:r>
      <w:bookmarkEnd w:id="40"/>
      <w:bookmarkEnd w:id="41"/>
      <w:bookmarkEnd w:id="42"/>
    </w:p>
    <w:p w:rsidR="00C30A65" w:rsidRPr="005E10F7" w:rsidRDefault="00C30A65" w:rsidP="00C30A65">
      <w:pPr>
        <w:jc w:val="center"/>
      </w:pPr>
      <w:r w:rsidRPr="005E10F7">
        <w:t>(This annex forms an integral part of this Recommendation.)</w:t>
      </w:r>
    </w:p>
    <w:p w:rsidR="00C30A65" w:rsidRDefault="00C30A65" w:rsidP="00C30A65">
      <w:pPr>
        <w:pStyle w:val="TableNoTitle0"/>
      </w:pPr>
      <w:r>
        <w:t>Table I</w:t>
      </w:r>
      <w:r w:rsidRPr="005E10F7">
        <w:t>.1 – International amateur radio bands in the frequency range 0-212 MHz</w:t>
      </w:r>
    </w:p>
    <w:p w:rsidR="007B0AAA" w:rsidRPr="007B0AAA" w:rsidRDefault="007B0AAA" w:rsidP="007B0AAA">
      <w:pPr>
        <w:pStyle w:val="Tablehead"/>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593"/>
      </w:tblGrid>
      <w:tr w:rsidR="00C30A65" w:rsidRPr="005E10F7" w:rsidTr="003D3832">
        <w:trPr>
          <w:jc w:val="center"/>
        </w:trPr>
        <w:tc>
          <w:tcPr>
            <w:tcW w:w="1592" w:type="dxa"/>
            <w:shd w:val="clear" w:color="auto" w:fill="auto"/>
          </w:tcPr>
          <w:p w:rsidR="00C30A65" w:rsidRPr="005E10F7" w:rsidRDefault="00C30A65" w:rsidP="003D3832">
            <w:pPr>
              <w:pStyle w:val="Tablehead"/>
              <w:rPr>
                <w:rFonts w:cs="Calibri"/>
                <w:szCs w:val="22"/>
              </w:rPr>
            </w:pPr>
            <w:r w:rsidRPr="005E10F7">
              <w:rPr>
                <w:rFonts w:cs="Calibri"/>
                <w:szCs w:val="22"/>
              </w:rPr>
              <w:t>Band start</w:t>
            </w:r>
            <w:r w:rsidRPr="005E10F7">
              <w:rPr>
                <w:rFonts w:cs="Calibri"/>
                <w:szCs w:val="22"/>
              </w:rPr>
              <w:br/>
              <w:t>(kHz)</w:t>
            </w:r>
          </w:p>
        </w:tc>
        <w:tc>
          <w:tcPr>
            <w:tcW w:w="1593" w:type="dxa"/>
            <w:shd w:val="clear" w:color="auto" w:fill="auto"/>
          </w:tcPr>
          <w:p w:rsidR="00C30A65" w:rsidRPr="005E10F7" w:rsidRDefault="00C30A65" w:rsidP="003D3832">
            <w:pPr>
              <w:pStyle w:val="Tablehead"/>
              <w:rPr>
                <w:rFonts w:cs="Calibri"/>
                <w:szCs w:val="22"/>
              </w:rPr>
            </w:pPr>
            <w:r w:rsidRPr="005E10F7">
              <w:rPr>
                <w:rFonts w:cs="Calibri"/>
                <w:szCs w:val="22"/>
              </w:rPr>
              <w:t>Band stop</w:t>
            </w:r>
            <w:r w:rsidRPr="005E10F7">
              <w:rPr>
                <w:rFonts w:cs="Calibri"/>
                <w:szCs w:val="22"/>
              </w:rPr>
              <w:br/>
              <w:t>(kHz)</w:t>
            </w:r>
          </w:p>
        </w:tc>
      </w:tr>
      <w:tr w:rsidR="00C30A65" w:rsidRPr="005E10F7" w:rsidTr="003D3832">
        <w:trPr>
          <w:jc w:val="center"/>
        </w:trPr>
        <w:tc>
          <w:tcPr>
            <w:tcW w:w="1592" w:type="dxa"/>
            <w:shd w:val="clear" w:color="auto" w:fill="auto"/>
          </w:tcPr>
          <w:p w:rsidR="00C30A65" w:rsidRPr="005E10F7" w:rsidRDefault="00C30A65" w:rsidP="003D3832">
            <w:pPr>
              <w:pStyle w:val="Tablehead"/>
              <w:rPr>
                <w:rFonts w:cs="Calibri"/>
                <w:bCs/>
                <w:szCs w:val="22"/>
              </w:rPr>
            </w:pPr>
            <w:r w:rsidRPr="005E10F7">
              <w:rPr>
                <w:rFonts w:cs="Calibri"/>
                <w:b w:val="0"/>
                <w:bCs/>
                <w:szCs w:val="22"/>
              </w:rPr>
              <w:t>1 800</w:t>
            </w:r>
          </w:p>
        </w:tc>
        <w:tc>
          <w:tcPr>
            <w:tcW w:w="1593" w:type="dxa"/>
            <w:shd w:val="clear" w:color="auto" w:fill="auto"/>
          </w:tcPr>
          <w:p w:rsidR="00C30A65" w:rsidRPr="005E10F7" w:rsidRDefault="00C30A65" w:rsidP="003D3832">
            <w:pPr>
              <w:pStyle w:val="Tablehead"/>
              <w:rPr>
                <w:rFonts w:cs="Calibri"/>
                <w:bCs/>
                <w:szCs w:val="22"/>
              </w:rPr>
            </w:pPr>
            <w:r w:rsidRPr="005E10F7">
              <w:rPr>
                <w:rFonts w:cs="Calibri"/>
                <w:b w:val="0"/>
                <w:bCs/>
                <w:szCs w:val="22"/>
              </w:rPr>
              <w:t>2 000</w:t>
            </w:r>
          </w:p>
        </w:tc>
      </w:tr>
      <w:tr w:rsidR="00C30A65" w:rsidRPr="005E10F7" w:rsidTr="003D3832">
        <w:trPr>
          <w:jc w:val="center"/>
        </w:trPr>
        <w:tc>
          <w:tcPr>
            <w:tcW w:w="1592" w:type="dxa"/>
            <w:shd w:val="clear" w:color="auto" w:fill="auto"/>
          </w:tcPr>
          <w:p w:rsidR="00C30A65" w:rsidRPr="005E10F7" w:rsidRDefault="00C30A65" w:rsidP="003D3832">
            <w:pPr>
              <w:pStyle w:val="Tablehead"/>
              <w:rPr>
                <w:rFonts w:cs="Calibri"/>
                <w:bCs/>
                <w:szCs w:val="22"/>
              </w:rPr>
            </w:pPr>
            <w:r w:rsidRPr="005E10F7">
              <w:rPr>
                <w:rFonts w:cs="Calibri"/>
                <w:b w:val="0"/>
                <w:bCs/>
                <w:szCs w:val="22"/>
              </w:rPr>
              <w:t>3 500</w:t>
            </w:r>
          </w:p>
        </w:tc>
        <w:tc>
          <w:tcPr>
            <w:tcW w:w="1593" w:type="dxa"/>
            <w:shd w:val="clear" w:color="auto" w:fill="auto"/>
          </w:tcPr>
          <w:p w:rsidR="00C30A65" w:rsidRPr="005E10F7" w:rsidRDefault="00C30A65" w:rsidP="003D3832">
            <w:pPr>
              <w:pStyle w:val="Tablehead"/>
              <w:rPr>
                <w:rFonts w:cs="Calibri"/>
                <w:bCs/>
                <w:szCs w:val="22"/>
              </w:rPr>
            </w:pPr>
            <w:r w:rsidRPr="005E10F7">
              <w:rPr>
                <w:rFonts w:cs="Calibri"/>
                <w:b w:val="0"/>
                <w:bCs/>
                <w:szCs w:val="22"/>
              </w:rPr>
              <w:t>4 000</w:t>
            </w:r>
          </w:p>
        </w:tc>
      </w:tr>
      <w:tr w:rsidR="00C30A65" w:rsidRPr="005E10F7" w:rsidTr="003D3832">
        <w:trPr>
          <w:jc w:val="center"/>
        </w:trPr>
        <w:tc>
          <w:tcPr>
            <w:tcW w:w="1592" w:type="dxa"/>
            <w:shd w:val="clear" w:color="auto" w:fill="auto"/>
          </w:tcPr>
          <w:p w:rsidR="00C30A65" w:rsidRPr="005E10F7" w:rsidRDefault="00C30A65" w:rsidP="003D3832">
            <w:pPr>
              <w:pStyle w:val="Tablehead"/>
              <w:rPr>
                <w:rFonts w:cs="Calibri"/>
                <w:bCs/>
                <w:szCs w:val="22"/>
              </w:rPr>
            </w:pPr>
            <w:r w:rsidRPr="005E10F7">
              <w:rPr>
                <w:rFonts w:cs="Calibri"/>
                <w:b w:val="0"/>
                <w:bCs/>
                <w:szCs w:val="22"/>
              </w:rPr>
              <w:t>7 000</w:t>
            </w:r>
          </w:p>
        </w:tc>
        <w:tc>
          <w:tcPr>
            <w:tcW w:w="1593" w:type="dxa"/>
            <w:shd w:val="clear" w:color="auto" w:fill="auto"/>
          </w:tcPr>
          <w:p w:rsidR="00C30A65" w:rsidRPr="005E10F7" w:rsidRDefault="00C30A65" w:rsidP="003D3832">
            <w:pPr>
              <w:pStyle w:val="Tablehead"/>
              <w:rPr>
                <w:rFonts w:cs="Calibri"/>
                <w:bCs/>
                <w:szCs w:val="22"/>
              </w:rPr>
            </w:pPr>
            <w:r w:rsidRPr="005E10F7">
              <w:rPr>
                <w:rFonts w:cs="Calibri"/>
                <w:b w:val="0"/>
                <w:bCs/>
                <w:szCs w:val="22"/>
              </w:rPr>
              <w:t>7 300</w:t>
            </w:r>
          </w:p>
        </w:tc>
      </w:tr>
      <w:tr w:rsidR="00C30A65" w:rsidRPr="005E10F7" w:rsidTr="003D3832">
        <w:trPr>
          <w:jc w:val="center"/>
        </w:trPr>
        <w:tc>
          <w:tcPr>
            <w:tcW w:w="1592" w:type="dxa"/>
            <w:tcBorders>
              <w:top w:val="single" w:sz="4" w:space="0" w:color="auto"/>
              <w:left w:val="single" w:sz="4" w:space="0" w:color="auto"/>
              <w:bottom w:val="single" w:sz="4" w:space="0" w:color="auto"/>
              <w:right w:val="single" w:sz="4" w:space="0" w:color="auto"/>
            </w:tcBorders>
            <w:shd w:val="clear" w:color="auto" w:fill="auto"/>
          </w:tcPr>
          <w:p w:rsidR="00C30A65" w:rsidRPr="005E10F7" w:rsidRDefault="00C30A65" w:rsidP="003D3832">
            <w:pPr>
              <w:pStyle w:val="Tablehead"/>
              <w:rPr>
                <w:rFonts w:cs="Calibri"/>
                <w:b w:val="0"/>
                <w:bCs/>
                <w:szCs w:val="22"/>
              </w:rPr>
            </w:pPr>
            <w:r w:rsidRPr="005E10F7">
              <w:rPr>
                <w:rFonts w:cs="Calibri"/>
                <w:b w:val="0"/>
                <w:bCs/>
                <w:szCs w:val="22"/>
              </w:rPr>
              <w:t>10 100</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30A65" w:rsidRPr="005E10F7" w:rsidRDefault="00C30A65" w:rsidP="003D3832">
            <w:pPr>
              <w:pStyle w:val="Tablehead"/>
              <w:rPr>
                <w:rFonts w:cs="Calibri"/>
                <w:b w:val="0"/>
                <w:bCs/>
                <w:szCs w:val="22"/>
              </w:rPr>
            </w:pPr>
            <w:r w:rsidRPr="005E10F7">
              <w:rPr>
                <w:rFonts w:cs="Calibri"/>
                <w:b w:val="0"/>
                <w:bCs/>
                <w:szCs w:val="22"/>
              </w:rPr>
              <w:t>10 150</w:t>
            </w:r>
          </w:p>
        </w:tc>
      </w:tr>
      <w:tr w:rsidR="00C30A65" w:rsidRPr="005E10F7" w:rsidTr="003D3832">
        <w:trPr>
          <w:jc w:val="center"/>
        </w:trPr>
        <w:tc>
          <w:tcPr>
            <w:tcW w:w="1592" w:type="dxa"/>
            <w:tcBorders>
              <w:top w:val="single" w:sz="4" w:space="0" w:color="auto"/>
              <w:left w:val="single" w:sz="4" w:space="0" w:color="auto"/>
              <w:bottom w:val="single" w:sz="4" w:space="0" w:color="auto"/>
              <w:right w:val="single" w:sz="4" w:space="0" w:color="auto"/>
            </w:tcBorders>
            <w:shd w:val="clear" w:color="auto" w:fill="auto"/>
          </w:tcPr>
          <w:p w:rsidR="00C30A65" w:rsidRPr="005E10F7" w:rsidRDefault="00C30A65" w:rsidP="003D3832">
            <w:pPr>
              <w:pStyle w:val="Tablehead"/>
              <w:rPr>
                <w:rFonts w:cs="Calibri"/>
                <w:b w:val="0"/>
                <w:bCs/>
                <w:szCs w:val="22"/>
              </w:rPr>
            </w:pPr>
            <w:r w:rsidRPr="005E10F7">
              <w:rPr>
                <w:rFonts w:cs="Calibri"/>
                <w:b w:val="0"/>
                <w:bCs/>
                <w:szCs w:val="22"/>
              </w:rPr>
              <w:t>14 000</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30A65" w:rsidRPr="005E10F7" w:rsidRDefault="00C30A65" w:rsidP="003D3832">
            <w:pPr>
              <w:pStyle w:val="Tablehead"/>
              <w:rPr>
                <w:rFonts w:cs="Calibri"/>
                <w:b w:val="0"/>
                <w:bCs/>
                <w:szCs w:val="22"/>
              </w:rPr>
            </w:pPr>
            <w:r w:rsidRPr="005E10F7">
              <w:rPr>
                <w:rFonts w:cs="Calibri"/>
                <w:b w:val="0"/>
                <w:bCs/>
                <w:szCs w:val="22"/>
              </w:rPr>
              <w:t>14 350</w:t>
            </w:r>
          </w:p>
        </w:tc>
      </w:tr>
      <w:tr w:rsidR="00C30A65" w:rsidRPr="005E10F7" w:rsidTr="003D3832">
        <w:trPr>
          <w:jc w:val="center"/>
        </w:trPr>
        <w:tc>
          <w:tcPr>
            <w:tcW w:w="1592" w:type="dxa"/>
            <w:tcBorders>
              <w:top w:val="single" w:sz="4" w:space="0" w:color="auto"/>
              <w:left w:val="single" w:sz="4" w:space="0" w:color="auto"/>
              <w:bottom w:val="single" w:sz="4" w:space="0" w:color="auto"/>
              <w:right w:val="single" w:sz="4" w:space="0" w:color="auto"/>
            </w:tcBorders>
            <w:shd w:val="clear" w:color="auto" w:fill="auto"/>
          </w:tcPr>
          <w:p w:rsidR="00C30A65" w:rsidRPr="005E10F7" w:rsidRDefault="00C30A65" w:rsidP="003D3832">
            <w:pPr>
              <w:pStyle w:val="Tablehead"/>
              <w:rPr>
                <w:rFonts w:cs="Calibri"/>
                <w:b w:val="0"/>
                <w:bCs/>
                <w:szCs w:val="22"/>
              </w:rPr>
            </w:pPr>
            <w:r w:rsidRPr="005E10F7">
              <w:rPr>
                <w:rFonts w:cs="Calibri"/>
                <w:b w:val="0"/>
                <w:bCs/>
                <w:szCs w:val="22"/>
              </w:rPr>
              <w:t>18 068</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30A65" w:rsidRPr="005E10F7" w:rsidRDefault="00C30A65" w:rsidP="003D3832">
            <w:pPr>
              <w:pStyle w:val="Tablehead"/>
              <w:rPr>
                <w:rFonts w:cs="Calibri"/>
                <w:b w:val="0"/>
                <w:bCs/>
                <w:szCs w:val="22"/>
              </w:rPr>
            </w:pPr>
            <w:r w:rsidRPr="005E10F7">
              <w:rPr>
                <w:rFonts w:cs="Calibri"/>
                <w:b w:val="0"/>
                <w:bCs/>
                <w:szCs w:val="22"/>
              </w:rPr>
              <w:t>18 168</w:t>
            </w:r>
          </w:p>
        </w:tc>
      </w:tr>
      <w:tr w:rsidR="00C30A65" w:rsidRPr="005E10F7" w:rsidTr="003D3832">
        <w:trPr>
          <w:jc w:val="center"/>
        </w:trPr>
        <w:tc>
          <w:tcPr>
            <w:tcW w:w="1592" w:type="dxa"/>
            <w:tcBorders>
              <w:top w:val="single" w:sz="4" w:space="0" w:color="auto"/>
              <w:left w:val="single" w:sz="4" w:space="0" w:color="auto"/>
              <w:bottom w:val="single" w:sz="4" w:space="0" w:color="auto"/>
              <w:right w:val="single" w:sz="4" w:space="0" w:color="auto"/>
            </w:tcBorders>
            <w:shd w:val="clear" w:color="auto" w:fill="auto"/>
          </w:tcPr>
          <w:p w:rsidR="00C30A65" w:rsidRPr="005E10F7" w:rsidRDefault="00C30A65" w:rsidP="003D3832">
            <w:pPr>
              <w:pStyle w:val="Tablehead"/>
              <w:rPr>
                <w:rFonts w:cs="Calibri"/>
                <w:b w:val="0"/>
                <w:bCs/>
                <w:szCs w:val="22"/>
              </w:rPr>
            </w:pPr>
            <w:r w:rsidRPr="005E10F7">
              <w:rPr>
                <w:rFonts w:cs="Calibri"/>
                <w:b w:val="0"/>
                <w:bCs/>
                <w:szCs w:val="22"/>
              </w:rPr>
              <w:t>21 000</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30A65" w:rsidRPr="005E10F7" w:rsidRDefault="00C30A65" w:rsidP="003D3832">
            <w:pPr>
              <w:pStyle w:val="Tablehead"/>
              <w:rPr>
                <w:rFonts w:cs="Calibri"/>
                <w:b w:val="0"/>
                <w:bCs/>
                <w:szCs w:val="22"/>
              </w:rPr>
            </w:pPr>
            <w:r w:rsidRPr="005E10F7">
              <w:rPr>
                <w:rFonts w:cs="Calibri"/>
                <w:b w:val="0"/>
                <w:bCs/>
                <w:szCs w:val="22"/>
              </w:rPr>
              <w:t>21 450</w:t>
            </w:r>
          </w:p>
        </w:tc>
      </w:tr>
      <w:tr w:rsidR="00C30A65" w:rsidRPr="005E10F7" w:rsidTr="003D3832">
        <w:trPr>
          <w:jc w:val="center"/>
        </w:trPr>
        <w:tc>
          <w:tcPr>
            <w:tcW w:w="1592" w:type="dxa"/>
            <w:tcBorders>
              <w:top w:val="single" w:sz="4" w:space="0" w:color="auto"/>
              <w:left w:val="single" w:sz="4" w:space="0" w:color="auto"/>
              <w:bottom w:val="single" w:sz="4" w:space="0" w:color="auto"/>
              <w:right w:val="single" w:sz="4" w:space="0" w:color="auto"/>
            </w:tcBorders>
            <w:shd w:val="clear" w:color="auto" w:fill="auto"/>
          </w:tcPr>
          <w:p w:rsidR="00C30A65" w:rsidRPr="005E10F7" w:rsidRDefault="00C30A65" w:rsidP="003D3832">
            <w:pPr>
              <w:pStyle w:val="Tablehead"/>
              <w:rPr>
                <w:rFonts w:cs="Calibri"/>
                <w:b w:val="0"/>
                <w:bCs/>
                <w:szCs w:val="22"/>
              </w:rPr>
            </w:pPr>
            <w:r w:rsidRPr="005E10F7">
              <w:rPr>
                <w:rFonts w:cs="Calibri"/>
                <w:b w:val="0"/>
                <w:bCs/>
                <w:szCs w:val="22"/>
              </w:rPr>
              <w:t>24 890</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30A65" w:rsidRPr="005E10F7" w:rsidRDefault="00C30A65" w:rsidP="003D3832">
            <w:pPr>
              <w:pStyle w:val="Tablehead"/>
              <w:rPr>
                <w:rFonts w:cs="Calibri"/>
                <w:b w:val="0"/>
                <w:bCs/>
                <w:szCs w:val="22"/>
              </w:rPr>
            </w:pPr>
            <w:r w:rsidRPr="005E10F7">
              <w:rPr>
                <w:rFonts w:cs="Calibri"/>
                <w:b w:val="0"/>
                <w:bCs/>
                <w:szCs w:val="22"/>
              </w:rPr>
              <w:t>24 990</w:t>
            </w:r>
          </w:p>
        </w:tc>
      </w:tr>
      <w:tr w:rsidR="00C30A65" w:rsidRPr="005E10F7" w:rsidTr="003D3832">
        <w:trPr>
          <w:jc w:val="center"/>
        </w:trPr>
        <w:tc>
          <w:tcPr>
            <w:tcW w:w="1592" w:type="dxa"/>
            <w:tcBorders>
              <w:top w:val="single" w:sz="4" w:space="0" w:color="auto"/>
              <w:left w:val="single" w:sz="4" w:space="0" w:color="auto"/>
              <w:bottom w:val="single" w:sz="4" w:space="0" w:color="auto"/>
              <w:right w:val="single" w:sz="4" w:space="0" w:color="auto"/>
            </w:tcBorders>
            <w:shd w:val="clear" w:color="auto" w:fill="auto"/>
          </w:tcPr>
          <w:p w:rsidR="00C30A65" w:rsidRPr="005E10F7" w:rsidRDefault="00C30A65" w:rsidP="003D3832">
            <w:pPr>
              <w:pStyle w:val="Tablehead"/>
              <w:rPr>
                <w:rFonts w:cs="Calibri"/>
                <w:b w:val="0"/>
                <w:bCs/>
                <w:szCs w:val="22"/>
              </w:rPr>
            </w:pPr>
            <w:r w:rsidRPr="005E10F7">
              <w:rPr>
                <w:rFonts w:cs="Calibri"/>
                <w:b w:val="0"/>
                <w:bCs/>
                <w:szCs w:val="22"/>
              </w:rPr>
              <w:t>28 000</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30A65" w:rsidRPr="005E10F7" w:rsidRDefault="00C30A65" w:rsidP="003D3832">
            <w:pPr>
              <w:pStyle w:val="Tablehead"/>
              <w:rPr>
                <w:rFonts w:cs="Calibri"/>
                <w:b w:val="0"/>
                <w:bCs/>
                <w:szCs w:val="22"/>
              </w:rPr>
            </w:pPr>
            <w:r w:rsidRPr="005E10F7">
              <w:rPr>
                <w:rFonts w:cs="Calibri"/>
                <w:b w:val="0"/>
                <w:bCs/>
                <w:szCs w:val="22"/>
              </w:rPr>
              <w:t>29 700</w:t>
            </w:r>
          </w:p>
        </w:tc>
      </w:tr>
      <w:tr w:rsidR="00C30A65" w:rsidRPr="005E10F7" w:rsidTr="003D3832">
        <w:trPr>
          <w:jc w:val="center"/>
        </w:trPr>
        <w:tc>
          <w:tcPr>
            <w:tcW w:w="1592" w:type="dxa"/>
            <w:tcBorders>
              <w:top w:val="single" w:sz="4" w:space="0" w:color="auto"/>
              <w:left w:val="single" w:sz="4" w:space="0" w:color="auto"/>
              <w:bottom w:val="single" w:sz="4" w:space="0" w:color="auto"/>
              <w:right w:val="single" w:sz="4" w:space="0" w:color="auto"/>
            </w:tcBorders>
            <w:shd w:val="clear" w:color="auto" w:fill="auto"/>
          </w:tcPr>
          <w:p w:rsidR="00C30A65" w:rsidRPr="005E10F7" w:rsidRDefault="00C30A65" w:rsidP="003D3832">
            <w:pPr>
              <w:pStyle w:val="Tablehead"/>
              <w:rPr>
                <w:rFonts w:cs="Calibri"/>
                <w:b w:val="0"/>
                <w:bCs/>
                <w:szCs w:val="22"/>
              </w:rPr>
            </w:pPr>
            <w:r w:rsidRPr="005E10F7">
              <w:rPr>
                <w:rFonts w:cs="Calibri"/>
                <w:b w:val="0"/>
                <w:bCs/>
                <w:szCs w:val="22"/>
              </w:rPr>
              <w:t>50 000</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30A65" w:rsidRPr="005E10F7" w:rsidRDefault="00C30A65" w:rsidP="003D3832">
            <w:pPr>
              <w:pStyle w:val="Tablehead"/>
              <w:rPr>
                <w:rFonts w:cs="Calibri"/>
                <w:b w:val="0"/>
                <w:bCs/>
                <w:szCs w:val="22"/>
              </w:rPr>
            </w:pPr>
            <w:r w:rsidRPr="005E10F7">
              <w:rPr>
                <w:rFonts w:cs="Calibri"/>
                <w:b w:val="0"/>
                <w:bCs/>
                <w:szCs w:val="22"/>
              </w:rPr>
              <w:t>54 000</w:t>
            </w:r>
          </w:p>
        </w:tc>
      </w:tr>
      <w:tr w:rsidR="00C30A65" w:rsidRPr="005E10F7" w:rsidTr="003D3832">
        <w:trPr>
          <w:jc w:val="center"/>
        </w:trPr>
        <w:tc>
          <w:tcPr>
            <w:tcW w:w="1592" w:type="dxa"/>
            <w:tcBorders>
              <w:top w:val="single" w:sz="4" w:space="0" w:color="auto"/>
              <w:left w:val="single" w:sz="4" w:space="0" w:color="auto"/>
              <w:bottom w:val="single" w:sz="4" w:space="0" w:color="auto"/>
              <w:right w:val="single" w:sz="4" w:space="0" w:color="auto"/>
            </w:tcBorders>
            <w:shd w:val="clear" w:color="auto" w:fill="auto"/>
          </w:tcPr>
          <w:p w:rsidR="00C30A65" w:rsidRPr="005E10F7" w:rsidRDefault="00C30A65" w:rsidP="003D3832">
            <w:pPr>
              <w:pStyle w:val="Tablehead"/>
              <w:rPr>
                <w:rFonts w:cs="Calibri"/>
                <w:b w:val="0"/>
                <w:bCs/>
                <w:szCs w:val="22"/>
              </w:rPr>
            </w:pPr>
            <w:r w:rsidRPr="005E10F7">
              <w:rPr>
                <w:rFonts w:cs="Calibri"/>
                <w:b w:val="0"/>
                <w:bCs/>
                <w:szCs w:val="22"/>
              </w:rPr>
              <w:t>144 000</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30A65" w:rsidRPr="005E10F7" w:rsidRDefault="00C30A65" w:rsidP="003D3832">
            <w:pPr>
              <w:pStyle w:val="Tablehead"/>
              <w:rPr>
                <w:rFonts w:cs="Calibri"/>
                <w:b w:val="0"/>
                <w:bCs/>
                <w:szCs w:val="22"/>
              </w:rPr>
            </w:pPr>
            <w:r w:rsidRPr="005E10F7">
              <w:rPr>
                <w:rFonts w:cs="Calibri"/>
                <w:b w:val="0"/>
                <w:bCs/>
                <w:szCs w:val="22"/>
              </w:rPr>
              <w:t>148 000</w:t>
            </w:r>
          </w:p>
        </w:tc>
      </w:tr>
    </w:tbl>
    <w:p w:rsidR="00C30A65" w:rsidRPr="005E10F7" w:rsidRDefault="00C30A65" w:rsidP="00C30A65">
      <w:pPr>
        <w:pStyle w:val="AnnexNoTitle0"/>
      </w:pPr>
      <w:r>
        <w:rPr>
          <w:lang w:val="en-US"/>
        </w:rPr>
        <w:br w:type="page"/>
      </w:r>
      <w:r>
        <w:lastRenderedPageBreak/>
        <w:t>Appendix II</w:t>
      </w:r>
      <w:r w:rsidRPr="005E10F7">
        <w:br/>
      </w:r>
      <w:r w:rsidRPr="005E10F7">
        <w:br/>
      </w:r>
      <w:r>
        <w:t xml:space="preserve">Broadcast radio </w:t>
      </w:r>
      <w:r w:rsidRPr="005E10F7">
        <w:t>bands</w:t>
      </w:r>
    </w:p>
    <w:p w:rsidR="00C30A65" w:rsidRPr="005E10F7" w:rsidRDefault="00C30A65" w:rsidP="00C30A65">
      <w:pPr>
        <w:jc w:val="center"/>
      </w:pPr>
      <w:r w:rsidRPr="005E10F7">
        <w:t>(This annex forms an integral part of this Recommendation.)</w:t>
      </w:r>
    </w:p>
    <w:p w:rsidR="00C30A65" w:rsidRDefault="00C30A65" w:rsidP="00C30A65">
      <w:pPr>
        <w:pStyle w:val="TableNoTitle0"/>
      </w:pPr>
      <w:r>
        <w:t>Table II</w:t>
      </w:r>
      <w:r w:rsidRPr="005E10F7">
        <w:t xml:space="preserve">.1 – </w:t>
      </w:r>
      <w:r>
        <w:t xml:space="preserve">Broadcast radio </w:t>
      </w:r>
      <w:r w:rsidRPr="005E10F7">
        <w:t>bands in the frequency range 0-212 MHz</w:t>
      </w:r>
    </w:p>
    <w:p w:rsidR="007B0AAA" w:rsidRPr="007B0AAA" w:rsidRDefault="007B0AAA" w:rsidP="007B0AAA">
      <w:pPr>
        <w:pStyle w:val="Tablehead"/>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593"/>
        <w:gridCol w:w="1593"/>
      </w:tblGrid>
      <w:tr w:rsidR="00C30A65" w:rsidRPr="005E10F7" w:rsidTr="003D3832">
        <w:trPr>
          <w:jc w:val="center"/>
        </w:trPr>
        <w:tc>
          <w:tcPr>
            <w:tcW w:w="1592" w:type="dxa"/>
            <w:shd w:val="clear" w:color="auto" w:fill="auto"/>
          </w:tcPr>
          <w:p w:rsidR="00C30A65" w:rsidRPr="005E10F7" w:rsidRDefault="00C30A65" w:rsidP="003D3832">
            <w:pPr>
              <w:pStyle w:val="Tablehead"/>
              <w:rPr>
                <w:rFonts w:cs="Calibri"/>
                <w:szCs w:val="22"/>
              </w:rPr>
            </w:pPr>
            <w:r w:rsidRPr="005E10F7">
              <w:rPr>
                <w:rFonts w:cs="Calibri"/>
                <w:szCs w:val="22"/>
              </w:rPr>
              <w:t>Band start</w:t>
            </w:r>
            <w:r w:rsidRPr="005E10F7">
              <w:rPr>
                <w:rFonts w:cs="Calibri"/>
                <w:szCs w:val="22"/>
              </w:rPr>
              <w:br/>
              <w:t>(kHz)</w:t>
            </w:r>
          </w:p>
        </w:tc>
        <w:tc>
          <w:tcPr>
            <w:tcW w:w="1593" w:type="dxa"/>
            <w:shd w:val="clear" w:color="auto" w:fill="auto"/>
          </w:tcPr>
          <w:p w:rsidR="00C30A65" w:rsidRPr="005E10F7" w:rsidRDefault="00C30A65" w:rsidP="003D3832">
            <w:pPr>
              <w:pStyle w:val="Tablehead"/>
              <w:rPr>
                <w:rFonts w:cs="Calibri"/>
                <w:szCs w:val="22"/>
              </w:rPr>
            </w:pPr>
            <w:r w:rsidRPr="005E10F7">
              <w:rPr>
                <w:rFonts w:cs="Calibri"/>
                <w:szCs w:val="22"/>
              </w:rPr>
              <w:t>Band stop</w:t>
            </w:r>
            <w:r w:rsidRPr="005E10F7">
              <w:rPr>
                <w:rFonts w:cs="Calibri"/>
                <w:szCs w:val="22"/>
              </w:rPr>
              <w:br/>
              <w:t>(kHz)</w:t>
            </w:r>
          </w:p>
        </w:tc>
        <w:tc>
          <w:tcPr>
            <w:tcW w:w="1593" w:type="dxa"/>
          </w:tcPr>
          <w:p w:rsidR="00C30A65" w:rsidRPr="005E10F7" w:rsidRDefault="00C30A65" w:rsidP="003D3832">
            <w:pPr>
              <w:pStyle w:val="Tablehead"/>
              <w:rPr>
                <w:rFonts w:cs="Calibri"/>
                <w:szCs w:val="22"/>
              </w:rPr>
            </w:pPr>
            <w:r>
              <w:rPr>
                <w:rFonts w:cs="Calibri"/>
                <w:szCs w:val="22"/>
              </w:rPr>
              <w:t>Service</w:t>
            </w:r>
          </w:p>
        </w:tc>
      </w:tr>
      <w:tr w:rsidR="00C30A65" w:rsidRPr="005E10F7" w:rsidTr="003D3832">
        <w:trPr>
          <w:jc w:val="center"/>
        </w:trPr>
        <w:tc>
          <w:tcPr>
            <w:tcW w:w="1592" w:type="dxa"/>
            <w:shd w:val="clear" w:color="auto" w:fill="auto"/>
          </w:tcPr>
          <w:p w:rsidR="00C30A65" w:rsidRPr="005E10F7" w:rsidRDefault="00C30A65" w:rsidP="003D3832">
            <w:pPr>
              <w:pStyle w:val="Tablehead"/>
              <w:rPr>
                <w:rFonts w:cs="Calibri"/>
                <w:bCs/>
                <w:szCs w:val="22"/>
              </w:rPr>
            </w:pPr>
            <w:r>
              <w:rPr>
                <w:rFonts w:cs="Calibri"/>
                <w:b w:val="0"/>
                <w:bCs/>
                <w:szCs w:val="22"/>
              </w:rPr>
              <w:t>88 0</w:t>
            </w:r>
            <w:r w:rsidRPr="005E10F7">
              <w:rPr>
                <w:rFonts w:cs="Calibri"/>
                <w:b w:val="0"/>
                <w:bCs/>
                <w:szCs w:val="22"/>
              </w:rPr>
              <w:t>00</w:t>
            </w:r>
          </w:p>
        </w:tc>
        <w:tc>
          <w:tcPr>
            <w:tcW w:w="1593" w:type="dxa"/>
            <w:shd w:val="clear" w:color="auto" w:fill="auto"/>
          </w:tcPr>
          <w:p w:rsidR="00C30A65" w:rsidRPr="005E10F7" w:rsidRDefault="00C30A65" w:rsidP="003D3832">
            <w:pPr>
              <w:pStyle w:val="Tablehead"/>
              <w:rPr>
                <w:rFonts w:cs="Calibri"/>
                <w:bCs/>
                <w:szCs w:val="22"/>
              </w:rPr>
            </w:pPr>
            <w:r>
              <w:rPr>
                <w:rFonts w:cs="Calibri"/>
                <w:b w:val="0"/>
                <w:bCs/>
                <w:szCs w:val="22"/>
              </w:rPr>
              <w:t>108</w:t>
            </w:r>
            <w:r w:rsidRPr="005E10F7">
              <w:rPr>
                <w:rFonts w:cs="Calibri"/>
                <w:b w:val="0"/>
                <w:bCs/>
                <w:szCs w:val="22"/>
              </w:rPr>
              <w:t> 000</w:t>
            </w:r>
          </w:p>
        </w:tc>
        <w:tc>
          <w:tcPr>
            <w:tcW w:w="1593" w:type="dxa"/>
          </w:tcPr>
          <w:p w:rsidR="00C30A65" w:rsidRPr="005E10F7" w:rsidRDefault="00C30A65" w:rsidP="003D3832">
            <w:pPr>
              <w:pStyle w:val="Tablehead"/>
              <w:rPr>
                <w:rFonts w:cs="Calibri"/>
                <w:b w:val="0"/>
                <w:bCs/>
                <w:szCs w:val="22"/>
              </w:rPr>
            </w:pPr>
            <w:r>
              <w:rPr>
                <w:rFonts w:cs="Calibri"/>
                <w:b w:val="0"/>
                <w:bCs/>
                <w:szCs w:val="22"/>
              </w:rPr>
              <w:t>FM</w:t>
            </w:r>
          </w:p>
        </w:tc>
      </w:tr>
      <w:tr w:rsidR="00C30A65" w:rsidRPr="005E10F7" w:rsidTr="003D3832">
        <w:trPr>
          <w:jc w:val="center"/>
        </w:trPr>
        <w:tc>
          <w:tcPr>
            <w:tcW w:w="1592" w:type="dxa"/>
            <w:shd w:val="clear" w:color="auto" w:fill="auto"/>
          </w:tcPr>
          <w:p w:rsidR="00C30A65" w:rsidRPr="005E10F7" w:rsidRDefault="00C30A65" w:rsidP="003D3832">
            <w:pPr>
              <w:pStyle w:val="Tablehead"/>
              <w:rPr>
                <w:rFonts w:cs="Calibri"/>
                <w:bCs/>
                <w:szCs w:val="22"/>
              </w:rPr>
            </w:pPr>
            <w:r>
              <w:rPr>
                <w:rFonts w:cs="Calibri"/>
                <w:b w:val="0"/>
                <w:bCs/>
                <w:szCs w:val="22"/>
              </w:rPr>
              <w:t>174 0</w:t>
            </w:r>
            <w:r w:rsidRPr="005E10F7">
              <w:rPr>
                <w:rFonts w:cs="Calibri"/>
                <w:b w:val="0"/>
                <w:bCs/>
                <w:szCs w:val="22"/>
              </w:rPr>
              <w:t>00</w:t>
            </w:r>
          </w:p>
        </w:tc>
        <w:tc>
          <w:tcPr>
            <w:tcW w:w="1593" w:type="dxa"/>
            <w:shd w:val="clear" w:color="auto" w:fill="auto"/>
          </w:tcPr>
          <w:p w:rsidR="00C30A65" w:rsidRPr="005E10F7" w:rsidRDefault="00C30A65" w:rsidP="003D3832">
            <w:pPr>
              <w:pStyle w:val="Tablehead"/>
              <w:rPr>
                <w:rFonts w:cs="Calibri"/>
                <w:bCs/>
                <w:szCs w:val="22"/>
              </w:rPr>
            </w:pPr>
            <w:r>
              <w:rPr>
                <w:rFonts w:cs="Calibri"/>
                <w:b w:val="0"/>
                <w:bCs/>
                <w:szCs w:val="22"/>
              </w:rPr>
              <w:t>230</w:t>
            </w:r>
            <w:r w:rsidRPr="005E10F7">
              <w:rPr>
                <w:rFonts w:cs="Calibri"/>
                <w:b w:val="0"/>
                <w:bCs/>
                <w:szCs w:val="22"/>
              </w:rPr>
              <w:t xml:space="preserve"> 000</w:t>
            </w:r>
          </w:p>
        </w:tc>
        <w:tc>
          <w:tcPr>
            <w:tcW w:w="1593" w:type="dxa"/>
          </w:tcPr>
          <w:p w:rsidR="00C30A65" w:rsidRPr="005E10F7" w:rsidRDefault="00C30A65" w:rsidP="003D3832">
            <w:pPr>
              <w:pStyle w:val="Tablehead"/>
              <w:rPr>
                <w:rFonts w:cs="Calibri"/>
                <w:b w:val="0"/>
                <w:bCs/>
                <w:szCs w:val="22"/>
              </w:rPr>
            </w:pPr>
            <w:r>
              <w:rPr>
                <w:rFonts w:cs="Calibri"/>
                <w:b w:val="0"/>
                <w:bCs/>
                <w:szCs w:val="22"/>
              </w:rPr>
              <w:t>DAB</w:t>
            </w:r>
          </w:p>
        </w:tc>
      </w:tr>
    </w:tbl>
    <w:p w:rsidR="00FD67AA" w:rsidRDefault="00FD67AA" w:rsidP="00C30A65">
      <w:pPr>
        <w:jc w:val="center"/>
        <w:rPr>
          <w:lang w:val="fr-FR"/>
        </w:rPr>
      </w:pPr>
    </w:p>
    <w:p w:rsidR="00FD67AA" w:rsidRDefault="00FD67AA" w:rsidP="00C30A65">
      <w:pPr>
        <w:jc w:val="center"/>
        <w:rPr>
          <w:lang w:val="fr-FR"/>
        </w:rPr>
      </w:pPr>
    </w:p>
    <w:p w:rsidR="00827BB5" w:rsidRPr="008078D5" w:rsidRDefault="00C30A65" w:rsidP="007B0AAA">
      <w:pPr>
        <w:jc w:val="center"/>
        <w:rPr>
          <w:lang w:val="en-US" w:eastAsia="zh-CN"/>
        </w:rPr>
      </w:pPr>
      <w:r>
        <w:rPr>
          <w:lang w:val="fr-FR"/>
        </w:rPr>
        <w:t>_____________</w:t>
      </w:r>
    </w:p>
    <w:sectPr w:rsidR="00827BB5" w:rsidRPr="008078D5" w:rsidSect="00D02712">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363" w:rsidRDefault="00FA1363">
      <w:r>
        <w:separator/>
      </w:r>
    </w:p>
  </w:endnote>
  <w:endnote w:type="continuationSeparator" w:id="0">
    <w:p w:rsidR="00FA1363" w:rsidRDefault="00FA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irch">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2C" w:rsidRDefault="00C331C8" w:rsidP="00884A2C">
    <w:pPr>
      <w:pStyle w:val="Footer"/>
    </w:pPr>
    <w:fldSimple w:instr=" FILENAME \p  \* MERGEFORMAT ">
      <w:r w:rsidR="00884A2C">
        <w:t>M:\BRSGD\TEXT2013\SG05\WP5B\300\323e.docx</w:t>
      </w:r>
    </w:fldSimple>
    <w:r w:rsidR="00884A2C">
      <w:tab/>
    </w:r>
    <w:r w:rsidR="00884A2C">
      <w:fldChar w:fldCharType="begin"/>
    </w:r>
    <w:r w:rsidR="00884A2C">
      <w:instrText xml:space="preserve"> SAVEDATE \@ DD.MM.YY </w:instrText>
    </w:r>
    <w:r w:rsidR="00884A2C">
      <w:fldChar w:fldCharType="separate"/>
    </w:r>
    <w:r w:rsidR="00CC149F">
      <w:t>25.07.13</w:t>
    </w:r>
    <w:r w:rsidR="00884A2C">
      <w:fldChar w:fldCharType="end"/>
    </w:r>
    <w:r w:rsidR="00884A2C">
      <w:tab/>
    </w:r>
    <w:r w:rsidR="00884A2C">
      <w:fldChar w:fldCharType="begin"/>
    </w:r>
    <w:r w:rsidR="00884A2C">
      <w:instrText xml:space="preserve"> PRINTDATE \@ DD.MM.YY </w:instrText>
    </w:r>
    <w:r w:rsidR="00884A2C">
      <w:fldChar w:fldCharType="separate"/>
    </w:r>
    <w:r w:rsidR="00884A2C">
      <w:t>21.02.08</w:t>
    </w:r>
    <w:r w:rsidR="00884A2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2C" w:rsidRDefault="00C331C8" w:rsidP="00884A2C">
    <w:pPr>
      <w:pStyle w:val="Footer"/>
    </w:pPr>
    <w:fldSimple w:instr=" FILENAME \p  \* MERGEFORMAT ">
      <w:r w:rsidR="00884A2C">
        <w:t>M:\BRSGD\TEXT2013\SG05\WP5B\300\323e.docx</w:t>
      </w:r>
    </w:fldSimple>
    <w:r w:rsidR="00884A2C">
      <w:tab/>
    </w:r>
    <w:r w:rsidR="00884A2C">
      <w:fldChar w:fldCharType="begin"/>
    </w:r>
    <w:r w:rsidR="00884A2C">
      <w:instrText xml:space="preserve"> SAVEDATE \@ DD.MM.YY </w:instrText>
    </w:r>
    <w:r w:rsidR="00884A2C">
      <w:fldChar w:fldCharType="separate"/>
    </w:r>
    <w:r w:rsidR="00CC149F">
      <w:t>25.07.13</w:t>
    </w:r>
    <w:r w:rsidR="00884A2C">
      <w:fldChar w:fldCharType="end"/>
    </w:r>
    <w:r w:rsidR="00884A2C">
      <w:tab/>
    </w:r>
    <w:r w:rsidR="00884A2C">
      <w:fldChar w:fldCharType="begin"/>
    </w:r>
    <w:r w:rsidR="00884A2C">
      <w:instrText xml:space="preserve"> PRINTDATE \@ DD.MM.YY </w:instrText>
    </w:r>
    <w:r w:rsidR="00884A2C">
      <w:fldChar w:fldCharType="separate"/>
    </w:r>
    <w:r w:rsidR="00884A2C">
      <w:t>21.02.08</w:t>
    </w:r>
    <w:r w:rsidR="00884A2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65" w:rsidRDefault="00FA1363">
    <w:pPr>
      <w:pStyle w:val="Footer"/>
    </w:pPr>
    <w:r>
      <w:fldChar w:fldCharType="begin"/>
    </w:r>
    <w:r>
      <w:instrText xml:space="preserve"> FILENAME  \p  \* MERGEFORMAT </w:instrText>
    </w:r>
    <w:r>
      <w:fldChar w:fldCharType="separate"/>
    </w:r>
    <w:r w:rsidR="00FD67AA">
      <w:t>M:\BRSGD\TEXT2013\SG05\WP5B\300\323e.docx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3D76F6" w:rsidRDefault="00FA1363">
    <w:pPr>
      <w:pStyle w:val="Footer"/>
      <w:rPr>
        <w:lang w:val="en-US"/>
      </w:rPr>
    </w:pPr>
    <w:r>
      <w:fldChar w:fldCharType="begin"/>
    </w:r>
    <w:r>
      <w:instrText xml:space="preserve"> FILENAME \p \* MERGEFORMAT </w:instrText>
    </w:r>
    <w:r>
      <w:fldChar w:fldCharType="separate"/>
    </w:r>
    <w:r w:rsidR="003D76F6" w:rsidRPr="003D76F6">
      <w:rPr>
        <w:lang w:val="en-US"/>
      </w:rPr>
      <w:t>M</w:t>
    </w:r>
    <w:r w:rsidR="003D76F6">
      <w:t>:\BRSGD\TEXT2013\SG05\WP5B\300\323e.docx</w:t>
    </w:r>
    <w:r>
      <w:fldChar w:fldCharType="end"/>
    </w:r>
    <w:r w:rsidR="00FA124A">
      <w:t xml:space="preserve"> </w:t>
    </w:r>
    <w:r w:rsidR="00FA124A" w:rsidRPr="003D76F6">
      <w:rPr>
        <w:lang w:val="en-US"/>
      </w:rPr>
      <w:tab/>
    </w:r>
    <w:r w:rsidR="00D02712">
      <w:fldChar w:fldCharType="begin"/>
    </w:r>
    <w:r w:rsidR="00FA124A">
      <w:instrText xml:space="preserve"> savedate \@ dd.MM.yy </w:instrText>
    </w:r>
    <w:r w:rsidR="00D02712">
      <w:fldChar w:fldCharType="separate"/>
    </w:r>
    <w:r w:rsidR="00CC149F">
      <w:t>25.07.13</w:t>
    </w:r>
    <w:r w:rsidR="00D02712">
      <w:fldChar w:fldCharType="end"/>
    </w:r>
    <w:r w:rsidR="00FA124A" w:rsidRPr="003D76F6">
      <w:rPr>
        <w:lang w:val="en-US"/>
      </w:rPr>
      <w:tab/>
    </w:r>
    <w:r w:rsidR="00D02712">
      <w:fldChar w:fldCharType="begin"/>
    </w:r>
    <w:r w:rsidR="00FA124A">
      <w:instrText xml:space="preserve"> printdate \@ dd.MM.yy </w:instrText>
    </w:r>
    <w:r w:rsidR="00D02712">
      <w:fldChar w:fldCharType="separate"/>
    </w:r>
    <w:r w:rsidR="00515BE4">
      <w:t>21.02.08</w:t>
    </w:r>
    <w:r w:rsidR="00D02712">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982084" w:rsidRDefault="00FA1363" w:rsidP="00E6257C">
    <w:pPr>
      <w:pStyle w:val="Footer"/>
      <w:rPr>
        <w:lang w:val="es-ES_tradnl"/>
      </w:rPr>
    </w:pPr>
    <w:r>
      <w:fldChar w:fldCharType="begin"/>
    </w:r>
    <w:r>
      <w:instrText xml:space="preserve"> FILENAME \p \* MERGEFORMAT </w:instrText>
    </w:r>
    <w:r>
      <w:fldChar w:fldCharType="separate"/>
    </w:r>
    <w:r w:rsidR="00515BE4" w:rsidRPr="00515BE4">
      <w:rPr>
        <w:lang w:val="es-ES_tradnl"/>
      </w:rPr>
      <w:t>M</w:t>
    </w:r>
    <w:r w:rsidR="00515BE4">
      <w:t>:\BRSGD\TEXT2013\SG05\WP5B\300\323EE.docx</w:t>
    </w:r>
    <w:r>
      <w:fldChar w:fldCharType="end"/>
    </w:r>
    <w:r w:rsidR="00DC54D5">
      <w:t xml:space="preserve"> </w:t>
    </w:r>
    <w:r w:rsidR="00FA124A" w:rsidRPr="00982084">
      <w:rPr>
        <w:lang w:val="es-ES_tradnl"/>
      </w:rPr>
      <w:tab/>
    </w:r>
    <w:r w:rsidR="00D02712">
      <w:fldChar w:fldCharType="begin"/>
    </w:r>
    <w:r w:rsidR="00FA124A">
      <w:instrText xml:space="preserve"> savedate \@ dd.MM.yy </w:instrText>
    </w:r>
    <w:r w:rsidR="00D02712">
      <w:fldChar w:fldCharType="separate"/>
    </w:r>
    <w:r w:rsidR="00CC149F">
      <w:t>25.07.13</w:t>
    </w:r>
    <w:r w:rsidR="00D02712">
      <w:fldChar w:fldCharType="end"/>
    </w:r>
    <w:r w:rsidR="00FA124A" w:rsidRPr="00982084">
      <w:rPr>
        <w:lang w:val="es-ES_tradnl"/>
      </w:rPr>
      <w:tab/>
    </w:r>
    <w:r w:rsidR="00D02712">
      <w:fldChar w:fldCharType="begin"/>
    </w:r>
    <w:r w:rsidR="00FA124A">
      <w:instrText xml:space="preserve"> printdate \@ dd.MM.yy </w:instrText>
    </w:r>
    <w:r w:rsidR="00D02712">
      <w:fldChar w:fldCharType="separate"/>
    </w:r>
    <w:r w:rsidR="00515BE4">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363" w:rsidRDefault="00FA1363">
      <w:r>
        <w:t>____________________</w:t>
      </w:r>
    </w:p>
  </w:footnote>
  <w:footnote w:type="continuationSeparator" w:id="0">
    <w:p w:rsidR="00FA1363" w:rsidRDefault="00FA1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65" w:rsidRPr="00A031EF" w:rsidRDefault="00C30A65" w:rsidP="004D616A">
    <w:pPr>
      <w:pStyle w:val="Header"/>
    </w:pPr>
    <w:r w:rsidRPr="00A031EF">
      <w:t xml:space="preserve">- </w:t>
    </w:r>
    <w:r w:rsidRPr="00A031EF">
      <w:fldChar w:fldCharType="begin"/>
    </w:r>
    <w:r w:rsidRPr="00A031EF">
      <w:instrText xml:space="preserve"> PAGE  \* MERGEFORMAT </w:instrText>
    </w:r>
    <w:r w:rsidRPr="00A031EF">
      <w:fldChar w:fldCharType="separate"/>
    </w:r>
    <w:r w:rsidR="00CC149F">
      <w:rPr>
        <w:noProof/>
      </w:rPr>
      <w:t>5</w:t>
    </w:r>
    <w:r w:rsidRPr="00A031EF">
      <w:fldChar w:fldCharType="end"/>
    </w:r>
    <w:r w:rsidRPr="00A031EF">
      <w:t xml:space="preserve"> -</w:t>
    </w:r>
    <w:r w:rsidR="003143D0">
      <w:br/>
      <w:t>5</w:t>
    </w:r>
    <w:r w:rsidR="004D616A">
      <w:t>B</w:t>
    </w:r>
    <w:r w:rsidR="003143D0">
      <w:t>/323-E</w:t>
    </w:r>
    <w:r w:rsidR="003143D0">
      <w:b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515BE4">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C149F">
      <w:rPr>
        <w:rStyle w:val="PageNumber"/>
        <w:noProof/>
      </w:rPr>
      <w:t>16</w:t>
    </w:r>
    <w:r w:rsidR="00D02712">
      <w:rPr>
        <w:rStyle w:val="PageNumber"/>
      </w:rPr>
      <w:fldChar w:fldCharType="end"/>
    </w:r>
    <w:r>
      <w:rPr>
        <w:rStyle w:val="PageNumber"/>
      </w:rPr>
      <w:t xml:space="preserve"> -</w:t>
    </w:r>
    <w:r w:rsidR="00515BE4">
      <w:rPr>
        <w:rStyle w:val="PageNumber"/>
      </w:rPr>
      <w:br/>
    </w:r>
    <w:r w:rsidR="008078D5">
      <w:rPr>
        <w:lang w:val="en-US"/>
      </w:rPr>
      <w:t>5B/323-E</w:t>
    </w:r>
    <w:r w:rsidR="00515BE4">
      <w:rPr>
        <w:lang w:val="en-US"/>
      </w:rPr>
      <w:b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0000001"/>
    <w:multiLevelType w:val="multilevel"/>
    <w:tmpl w:val="864A5A44"/>
    <w:lvl w:ilvl="0">
      <w:start w:val="1"/>
      <w:numFmt w:val="decimal"/>
      <w:pStyle w:val="StyleHeading112ptNounderli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303773"/>
    <w:multiLevelType w:val="hybridMultilevel"/>
    <w:tmpl w:val="EAA8B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47E7F65"/>
    <w:multiLevelType w:val="hybridMultilevel"/>
    <w:tmpl w:val="E26A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0B369C"/>
    <w:multiLevelType w:val="hybridMultilevel"/>
    <w:tmpl w:val="8DC438EE"/>
    <w:lvl w:ilvl="0" w:tplc="10090001">
      <w:start w:val="1"/>
      <w:numFmt w:val="bullet"/>
      <w:lvlText w:val=""/>
      <w:lvlJc w:val="left"/>
      <w:pPr>
        <w:ind w:left="773" w:hanging="360"/>
      </w:pPr>
      <w:rPr>
        <w:rFonts w:ascii="Symbol" w:hAnsi="Symbol" w:hint="default"/>
      </w:rPr>
    </w:lvl>
    <w:lvl w:ilvl="1" w:tplc="10090003" w:tentative="1">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5">
    <w:nsid w:val="0DEE09B0"/>
    <w:multiLevelType w:val="hybridMultilevel"/>
    <w:tmpl w:val="79121110"/>
    <w:lvl w:ilvl="0" w:tplc="526EBB8C">
      <w:start w:val="106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612997"/>
    <w:multiLevelType w:val="hybridMultilevel"/>
    <w:tmpl w:val="6CDE0DC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
    <w:nsid w:val="18006C7A"/>
    <w:multiLevelType w:val="hybridMultilevel"/>
    <w:tmpl w:val="14EAA12C"/>
    <w:lvl w:ilvl="0" w:tplc="1E8E808C">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CC7ED7"/>
    <w:multiLevelType w:val="hybridMultilevel"/>
    <w:tmpl w:val="B9383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3910853"/>
    <w:multiLevelType w:val="hybridMultilevel"/>
    <w:tmpl w:val="CA6A0140"/>
    <w:lvl w:ilvl="0" w:tplc="315E2C82">
      <w:start w:val="1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AA51591"/>
    <w:multiLevelType w:val="hybridMultilevel"/>
    <w:tmpl w:val="9BFCA5E4"/>
    <w:lvl w:ilvl="0" w:tplc="1009000F">
      <w:start w:val="1"/>
      <w:numFmt w:val="bullet"/>
      <w:lvlText w:val=""/>
      <w:lvlJc w:val="left"/>
      <w:pPr>
        <w:ind w:left="720" w:hanging="360"/>
      </w:pPr>
      <w:rPr>
        <w:rFonts w:ascii="Symbol" w:hAnsi="Symbol" w:hint="default"/>
      </w:rPr>
    </w:lvl>
    <w:lvl w:ilvl="1" w:tplc="10090019">
      <w:start w:val="1"/>
      <w:numFmt w:val="bullet"/>
      <w:lvlText w:val="o"/>
      <w:lvlJc w:val="left"/>
      <w:pPr>
        <w:ind w:left="1440" w:hanging="360"/>
      </w:pPr>
      <w:rPr>
        <w:rFonts w:ascii="Courier New" w:hAnsi="Courier New" w:cs="Courier New" w:hint="default"/>
      </w:rPr>
    </w:lvl>
    <w:lvl w:ilvl="2" w:tplc="1009001B" w:tentative="1">
      <w:start w:val="1"/>
      <w:numFmt w:val="bullet"/>
      <w:lvlText w:val=""/>
      <w:lvlJc w:val="left"/>
      <w:pPr>
        <w:ind w:left="2160" w:hanging="360"/>
      </w:pPr>
      <w:rPr>
        <w:rFonts w:ascii="Wingdings" w:hAnsi="Wingdings" w:hint="default"/>
      </w:rPr>
    </w:lvl>
    <w:lvl w:ilvl="3" w:tplc="1009000F" w:tentative="1">
      <w:start w:val="1"/>
      <w:numFmt w:val="bullet"/>
      <w:lvlText w:val=""/>
      <w:lvlJc w:val="left"/>
      <w:pPr>
        <w:ind w:left="2880" w:hanging="360"/>
      </w:pPr>
      <w:rPr>
        <w:rFonts w:ascii="Symbol" w:hAnsi="Symbol" w:hint="default"/>
      </w:rPr>
    </w:lvl>
    <w:lvl w:ilvl="4" w:tplc="10090019" w:tentative="1">
      <w:start w:val="1"/>
      <w:numFmt w:val="bullet"/>
      <w:lvlText w:val="o"/>
      <w:lvlJc w:val="left"/>
      <w:pPr>
        <w:ind w:left="3600" w:hanging="360"/>
      </w:pPr>
      <w:rPr>
        <w:rFonts w:ascii="Courier New" w:hAnsi="Courier New" w:cs="Courier New" w:hint="default"/>
      </w:rPr>
    </w:lvl>
    <w:lvl w:ilvl="5" w:tplc="1009001B" w:tentative="1">
      <w:start w:val="1"/>
      <w:numFmt w:val="bullet"/>
      <w:lvlText w:val=""/>
      <w:lvlJc w:val="left"/>
      <w:pPr>
        <w:ind w:left="4320" w:hanging="360"/>
      </w:pPr>
      <w:rPr>
        <w:rFonts w:ascii="Wingdings" w:hAnsi="Wingdings" w:hint="default"/>
      </w:rPr>
    </w:lvl>
    <w:lvl w:ilvl="6" w:tplc="1009000F" w:tentative="1">
      <w:start w:val="1"/>
      <w:numFmt w:val="bullet"/>
      <w:lvlText w:val=""/>
      <w:lvlJc w:val="left"/>
      <w:pPr>
        <w:ind w:left="5040" w:hanging="360"/>
      </w:pPr>
      <w:rPr>
        <w:rFonts w:ascii="Symbol" w:hAnsi="Symbol" w:hint="default"/>
      </w:rPr>
    </w:lvl>
    <w:lvl w:ilvl="7" w:tplc="10090019" w:tentative="1">
      <w:start w:val="1"/>
      <w:numFmt w:val="bullet"/>
      <w:lvlText w:val="o"/>
      <w:lvlJc w:val="left"/>
      <w:pPr>
        <w:ind w:left="5760" w:hanging="360"/>
      </w:pPr>
      <w:rPr>
        <w:rFonts w:ascii="Courier New" w:hAnsi="Courier New" w:cs="Courier New" w:hint="default"/>
      </w:rPr>
    </w:lvl>
    <w:lvl w:ilvl="8" w:tplc="1009001B" w:tentative="1">
      <w:start w:val="1"/>
      <w:numFmt w:val="bullet"/>
      <w:lvlText w:val=""/>
      <w:lvlJc w:val="left"/>
      <w:pPr>
        <w:ind w:left="6480" w:hanging="360"/>
      </w:pPr>
      <w:rPr>
        <w:rFonts w:ascii="Wingdings" w:hAnsi="Wingdings" w:hint="default"/>
      </w:rPr>
    </w:lvl>
  </w:abstractNum>
  <w:abstractNum w:abstractNumId="12">
    <w:nsid w:val="3DC15D89"/>
    <w:multiLevelType w:val="hybridMultilevel"/>
    <w:tmpl w:val="C9A67670"/>
    <w:lvl w:ilvl="0" w:tplc="F0361234">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A13009A"/>
    <w:multiLevelType w:val="hybridMultilevel"/>
    <w:tmpl w:val="8E56FAC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4D0E61C1"/>
    <w:multiLevelType w:val="hybridMultilevel"/>
    <w:tmpl w:val="0374E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2821CF8"/>
    <w:multiLevelType w:val="hybridMultilevel"/>
    <w:tmpl w:val="BD1449DA"/>
    <w:lvl w:ilvl="0" w:tplc="6038AB30">
      <w:start w:val="3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60B2963"/>
    <w:multiLevelType w:val="hybridMultilevel"/>
    <w:tmpl w:val="D670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612AC"/>
    <w:multiLevelType w:val="hybridMultilevel"/>
    <w:tmpl w:val="1EC85E32"/>
    <w:lvl w:ilvl="0" w:tplc="04090001">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9A34B9"/>
    <w:multiLevelType w:val="hybridMultilevel"/>
    <w:tmpl w:val="8EC6AF22"/>
    <w:lvl w:ilvl="0" w:tplc="132865AA">
      <w:start w:val="106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7"/>
  </w:num>
  <w:num w:numId="4">
    <w:abstractNumId w:val="13"/>
  </w:num>
  <w:num w:numId="5">
    <w:abstractNumId w:val="1"/>
  </w:num>
  <w:num w:numId="6">
    <w:abstractNumId w:val="11"/>
  </w:num>
  <w:num w:numId="7">
    <w:abstractNumId w:val="10"/>
  </w:num>
  <w:num w:numId="8">
    <w:abstractNumId w:val="14"/>
  </w:num>
  <w:num w:numId="9">
    <w:abstractNumId w:val="15"/>
  </w:num>
  <w:num w:numId="10">
    <w:abstractNumId w:val="7"/>
  </w:num>
  <w:num w:numId="11">
    <w:abstractNumId w:val="12"/>
  </w:num>
  <w:num w:numId="12">
    <w:abstractNumId w:val="18"/>
  </w:num>
  <w:num w:numId="13">
    <w:abstractNumId w:val="5"/>
  </w:num>
  <w:num w:numId="14">
    <w:abstractNumId w:val="6"/>
  </w:num>
  <w:num w:numId="15">
    <w:abstractNumId w:val="2"/>
  </w:num>
  <w:num w:numId="16">
    <w:abstractNumId w:val="4"/>
  </w:num>
  <w:num w:numId="17">
    <w:abstractNumId w:val="9"/>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D5"/>
    <w:rsid w:val="000069D4"/>
    <w:rsid w:val="000174AD"/>
    <w:rsid w:val="000A7D55"/>
    <w:rsid w:val="000C2E8E"/>
    <w:rsid w:val="000E0E7C"/>
    <w:rsid w:val="000F1B4B"/>
    <w:rsid w:val="0012744F"/>
    <w:rsid w:val="00156F66"/>
    <w:rsid w:val="00182528"/>
    <w:rsid w:val="0018500B"/>
    <w:rsid w:val="00196A19"/>
    <w:rsid w:val="001E1A51"/>
    <w:rsid w:val="00202DC1"/>
    <w:rsid w:val="002116EE"/>
    <w:rsid w:val="002309D8"/>
    <w:rsid w:val="00283E83"/>
    <w:rsid w:val="002A76C1"/>
    <w:rsid w:val="002A7FE2"/>
    <w:rsid w:val="002E1B4F"/>
    <w:rsid w:val="002F2E67"/>
    <w:rsid w:val="003143D0"/>
    <w:rsid w:val="00315546"/>
    <w:rsid w:val="00330567"/>
    <w:rsid w:val="00386A9D"/>
    <w:rsid w:val="00391081"/>
    <w:rsid w:val="003B2789"/>
    <w:rsid w:val="003C13CE"/>
    <w:rsid w:val="003D76F6"/>
    <w:rsid w:val="003E2518"/>
    <w:rsid w:val="004B1EF7"/>
    <w:rsid w:val="004B3FAD"/>
    <w:rsid w:val="004D616A"/>
    <w:rsid w:val="00501DCA"/>
    <w:rsid w:val="00513A47"/>
    <w:rsid w:val="00515BE4"/>
    <w:rsid w:val="005408DF"/>
    <w:rsid w:val="00556CD9"/>
    <w:rsid w:val="00573344"/>
    <w:rsid w:val="00583F9B"/>
    <w:rsid w:val="005E5C10"/>
    <w:rsid w:val="005F2C78"/>
    <w:rsid w:val="006144E4"/>
    <w:rsid w:val="00650299"/>
    <w:rsid w:val="00655FC5"/>
    <w:rsid w:val="007B0AAA"/>
    <w:rsid w:val="008078D5"/>
    <w:rsid w:val="00822581"/>
    <w:rsid w:val="00827BB5"/>
    <w:rsid w:val="008309DD"/>
    <w:rsid w:val="0083227A"/>
    <w:rsid w:val="00866900"/>
    <w:rsid w:val="00881BA1"/>
    <w:rsid w:val="00884A2C"/>
    <w:rsid w:val="008C26B8"/>
    <w:rsid w:val="00930B47"/>
    <w:rsid w:val="00982084"/>
    <w:rsid w:val="00995963"/>
    <w:rsid w:val="009B61EB"/>
    <w:rsid w:val="009C2064"/>
    <w:rsid w:val="009D1697"/>
    <w:rsid w:val="00A014F8"/>
    <w:rsid w:val="00A23B08"/>
    <w:rsid w:val="00A5173C"/>
    <w:rsid w:val="00A61AEF"/>
    <w:rsid w:val="00AF173A"/>
    <w:rsid w:val="00B066A4"/>
    <w:rsid w:val="00B07A13"/>
    <w:rsid w:val="00B4279B"/>
    <w:rsid w:val="00B45FC9"/>
    <w:rsid w:val="00BC7CCF"/>
    <w:rsid w:val="00BE470B"/>
    <w:rsid w:val="00C30A65"/>
    <w:rsid w:val="00C331C8"/>
    <w:rsid w:val="00C57A91"/>
    <w:rsid w:val="00C8353F"/>
    <w:rsid w:val="00CC01C2"/>
    <w:rsid w:val="00CC149F"/>
    <w:rsid w:val="00CF21F2"/>
    <w:rsid w:val="00D02712"/>
    <w:rsid w:val="00D214D0"/>
    <w:rsid w:val="00D6546B"/>
    <w:rsid w:val="00DC54D5"/>
    <w:rsid w:val="00DD4BED"/>
    <w:rsid w:val="00DE39F0"/>
    <w:rsid w:val="00DF0AF3"/>
    <w:rsid w:val="00E27D7E"/>
    <w:rsid w:val="00E42E13"/>
    <w:rsid w:val="00E6257C"/>
    <w:rsid w:val="00E63C59"/>
    <w:rsid w:val="00FA124A"/>
    <w:rsid w:val="00FA1363"/>
    <w:rsid w:val="00FC08DD"/>
    <w:rsid w:val="00FC2316"/>
    <w:rsid w:val="00FC2CFD"/>
    <w:rsid w:val="00FD67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header" w:uiPriority="99"/>
    <w:lsdException w:name="caption" w:semiHidden="1" w:uiPriority="35" w:unhideWhenUsed="1"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table" w:styleId="TableGrid">
    <w:name w:val="Table Grid"/>
    <w:basedOn w:val="TableNormal"/>
    <w:rsid w:val="00515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15BE4"/>
    <w:rPr>
      <w:color w:val="0000FF"/>
      <w:u w:val="single"/>
    </w:rPr>
  </w:style>
  <w:style w:type="character" w:customStyle="1" w:styleId="Heading2Char">
    <w:name w:val="Heading 2 Char"/>
    <w:link w:val="Heading2"/>
    <w:rsid w:val="00C30A65"/>
    <w:rPr>
      <w:rFonts w:ascii="Times New Roman" w:hAnsi="Times New Roman"/>
      <w:b/>
      <w:sz w:val="24"/>
      <w:lang w:val="en-GB" w:eastAsia="en-US"/>
    </w:rPr>
  </w:style>
  <w:style w:type="character" w:customStyle="1" w:styleId="Heading3Char">
    <w:name w:val="Heading 3 Char"/>
    <w:link w:val="Heading3"/>
    <w:rsid w:val="00C30A65"/>
    <w:rPr>
      <w:rFonts w:ascii="Times New Roman" w:hAnsi="Times New Roman"/>
      <w:b/>
      <w:sz w:val="24"/>
      <w:lang w:val="en-GB" w:eastAsia="en-US"/>
    </w:rPr>
  </w:style>
  <w:style w:type="paragraph" w:customStyle="1" w:styleId="AnnexNotitle">
    <w:name w:val="Annex_No &amp; title"/>
    <w:basedOn w:val="Normal"/>
    <w:next w:val="Normal"/>
    <w:rsid w:val="00C30A65"/>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C30A65"/>
  </w:style>
  <w:style w:type="character" w:customStyle="1" w:styleId="EquationChar">
    <w:name w:val="Equation Char"/>
    <w:link w:val="Equation"/>
    <w:rsid w:val="00C30A65"/>
    <w:rPr>
      <w:rFonts w:ascii="Times New Roman" w:hAnsi="Times New Roman"/>
      <w:sz w:val="24"/>
      <w:lang w:val="en-GB" w:eastAsia="en-US"/>
    </w:rPr>
  </w:style>
  <w:style w:type="paragraph" w:customStyle="1" w:styleId="FigureNotitle">
    <w:name w:val="Figure_No &amp; title"/>
    <w:basedOn w:val="Normal"/>
    <w:next w:val="Normal"/>
    <w:link w:val="FigureNotitleChar"/>
    <w:rsid w:val="00C30A65"/>
    <w:pPr>
      <w:keepLines/>
      <w:tabs>
        <w:tab w:val="clear" w:pos="1134"/>
        <w:tab w:val="clear" w:pos="1871"/>
        <w:tab w:val="clear" w:pos="2268"/>
        <w:tab w:val="left" w:pos="794"/>
        <w:tab w:val="left" w:pos="1191"/>
        <w:tab w:val="left" w:pos="1588"/>
        <w:tab w:val="left" w:pos="1985"/>
      </w:tabs>
      <w:spacing w:before="240" w:after="120"/>
      <w:jc w:val="center"/>
    </w:pPr>
    <w:rPr>
      <w:b/>
    </w:rPr>
  </w:style>
  <w:style w:type="character" w:customStyle="1" w:styleId="FigureNotitleChar">
    <w:name w:val="Figure_No &amp; title Char"/>
    <w:link w:val="FigureNotitle"/>
    <w:rsid w:val="00C30A65"/>
    <w:rPr>
      <w:rFonts w:ascii="Times New Roman" w:hAnsi="Times New Roman"/>
      <w:b/>
      <w:sz w:val="24"/>
      <w:lang w:val="en-GB" w:eastAsia="en-US"/>
    </w:rPr>
  </w:style>
  <w:style w:type="paragraph" w:customStyle="1" w:styleId="FigureNoBR">
    <w:name w:val="Figure_No_BR"/>
    <w:basedOn w:val="Normal"/>
    <w:next w:val="Normal"/>
    <w:rsid w:val="00C30A65"/>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C30A65"/>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C30A65"/>
    <w:pPr>
      <w:keepNext w:val="0"/>
      <w:spacing w:after="480"/>
    </w:pPr>
  </w:style>
  <w:style w:type="paragraph" w:customStyle="1" w:styleId="FooterQP">
    <w:name w:val="Footer_QP"/>
    <w:basedOn w:val="Normal"/>
    <w:rsid w:val="00C30A65"/>
    <w:pPr>
      <w:tabs>
        <w:tab w:val="clear" w:pos="1134"/>
        <w:tab w:val="clear" w:pos="1871"/>
        <w:tab w:val="clear" w:pos="2268"/>
        <w:tab w:val="left" w:pos="907"/>
        <w:tab w:val="right" w:pos="8789"/>
        <w:tab w:val="right" w:pos="9639"/>
      </w:tabs>
      <w:spacing w:before="0"/>
    </w:pPr>
    <w:rPr>
      <w:b/>
      <w:sz w:val="22"/>
    </w:rPr>
  </w:style>
  <w:style w:type="character" w:customStyle="1" w:styleId="NoteChar">
    <w:name w:val="Note Char"/>
    <w:link w:val="Note"/>
    <w:rsid w:val="00C30A65"/>
    <w:rPr>
      <w:rFonts w:ascii="Times New Roman" w:hAnsi="Times New Roman"/>
      <w:sz w:val="24"/>
      <w:lang w:val="en-GB" w:eastAsia="en-US"/>
    </w:rPr>
  </w:style>
  <w:style w:type="character" w:customStyle="1" w:styleId="FootnoteTextChar">
    <w:name w:val="Footnote Text Char"/>
    <w:link w:val="FootnoteText"/>
    <w:rsid w:val="00C30A65"/>
    <w:rPr>
      <w:rFonts w:ascii="Times New Roman" w:hAnsi="Times New Roman"/>
      <w:sz w:val="24"/>
      <w:lang w:val="en-GB" w:eastAsia="en-US"/>
    </w:rPr>
  </w:style>
  <w:style w:type="character" w:customStyle="1" w:styleId="HeaderChar">
    <w:name w:val="Header Char"/>
    <w:basedOn w:val="DefaultParagraphFont"/>
    <w:link w:val="Header"/>
    <w:uiPriority w:val="99"/>
    <w:rsid w:val="00C30A65"/>
    <w:rPr>
      <w:rFonts w:ascii="Times New Roman" w:hAnsi="Times New Roman"/>
      <w:sz w:val="18"/>
      <w:lang w:val="en-GB" w:eastAsia="en-US"/>
    </w:rPr>
  </w:style>
  <w:style w:type="character" w:customStyle="1" w:styleId="NormalaftertitleChar">
    <w:name w:val="Normal_after_title Char"/>
    <w:link w:val="Normalaftertitle"/>
    <w:rsid w:val="00C30A65"/>
    <w:rPr>
      <w:rFonts w:ascii="Times New Roman" w:hAnsi="Times New Roman"/>
      <w:sz w:val="24"/>
      <w:lang w:val="en-GB" w:eastAsia="en-US"/>
    </w:rPr>
  </w:style>
  <w:style w:type="paragraph" w:customStyle="1" w:styleId="RecNoBR">
    <w:name w:val="Rec_No_BR"/>
    <w:basedOn w:val="Normal"/>
    <w:next w:val="Normal"/>
    <w:rsid w:val="00C30A65"/>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C30A65"/>
  </w:style>
  <w:style w:type="paragraph" w:customStyle="1" w:styleId="RepNoBR">
    <w:name w:val="Rep_No_BR"/>
    <w:basedOn w:val="RecNoBR"/>
    <w:next w:val="Normal"/>
    <w:rsid w:val="00C30A65"/>
  </w:style>
  <w:style w:type="paragraph" w:customStyle="1" w:styleId="ResNoBR">
    <w:name w:val="Res_No_BR"/>
    <w:basedOn w:val="RecNoBR"/>
    <w:next w:val="Normal"/>
    <w:rsid w:val="00C30A65"/>
  </w:style>
  <w:style w:type="paragraph" w:customStyle="1" w:styleId="TableNotitle">
    <w:name w:val="Table_No &amp; title"/>
    <w:basedOn w:val="Normal"/>
    <w:next w:val="Tablehead"/>
    <w:rsid w:val="00C30A65"/>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NoBR">
    <w:name w:val="Table_No_BR"/>
    <w:basedOn w:val="Normal"/>
    <w:next w:val="TabletitleBR"/>
    <w:rsid w:val="00C30A65"/>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FigureNoTitle0">
    <w:name w:val="Figure_NoTitle"/>
    <w:basedOn w:val="Normal"/>
    <w:next w:val="Normalaftertitle"/>
    <w:link w:val="FigureNoTitleChar0"/>
    <w:rsid w:val="00C30A65"/>
    <w:pPr>
      <w:keepLines/>
      <w:tabs>
        <w:tab w:val="clear" w:pos="1134"/>
        <w:tab w:val="clear" w:pos="1871"/>
        <w:tab w:val="clear" w:pos="2268"/>
        <w:tab w:val="left" w:pos="794"/>
        <w:tab w:val="left" w:pos="1191"/>
        <w:tab w:val="left" w:pos="1588"/>
        <w:tab w:val="left" w:pos="1985"/>
      </w:tabs>
      <w:spacing w:before="240" w:after="120" w:line="360" w:lineRule="auto"/>
      <w:jc w:val="center"/>
    </w:pPr>
    <w:rPr>
      <w:rFonts w:eastAsia="SimSun"/>
      <w:b/>
    </w:rPr>
  </w:style>
  <w:style w:type="character" w:customStyle="1" w:styleId="FigureNoTitleChar0">
    <w:name w:val="Figure_NoTitle Char"/>
    <w:link w:val="FigureNoTitle0"/>
    <w:rsid w:val="00C30A65"/>
    <w:rPr>
      <w:rFonts w:ascii="Times New Roman" w:eastAsia="SimSun" w:hAnsi="Times New Roman"/>
      <w:b/>
      <w:sz w:val="24"/>
      <w:lang w:val="en-GB" w:eastAsia="en-US"/>
    </w:rPr>
  </w:style>
  <w:style w:type="paragraph" w:styleId="Caption">
    <w:name w:val="caption"/>
    <w:aliases w:val="use for figure and table titles"/>
    <w:basedOn w:val="Normal"/>
    <w:next w:val="Normal"/>
    <w:uiPriority w:val="35"/>
    <w:qFormat/>
    <w:rsid w:val="00C30A65"/>
    <w:pPr>
      <w:tabs>
        <w:tab w:val="clear" w:pos="1134"/>
        <w:tab w:val="clear" w:pos="1871"/>
        <w:tab w:val="clear" w:pos="2268"/>
      </w:tabs>
      <w:overflowPunct/>
      <w:autoSpaceDE/>
      <w:autoSpaceDN/>
      <w:adjustRightInd/>
      <w:spacing w:line="260" w:lineRule="atLeast"/>
      <w:jc w:val="center"/>
      <w:textAlignment w:val="auto"/>
    </w:pPr>
    <w:rPr>
      <w:rFonts w:ascii="Calibri" w:hAnsi="Calibri"/>
      <w:b/>
      <w:lang w:val="en-US"/>
    </w:rPr>
  </w:style>
  <w:style w:type="character" w:customStyle="1" w:styleId="TableNoTitleChar">
    <w:name w:val="Table_NoTitle Char"/>
    <w:link w:val="TableNoTitle0"/>
    <w:locked/>
    <w:rsid w:val="00C30A65"/>
    <w:rPr>
      <w:b/>
      <w:sz w:val="24"/>
      <w:lang w:val="en-GB"/>
    </w:rPr>
  </w:style>
  <w:style w:type="paragraph" w:customStyle="1" w:styleId="TableNoTitle0">
    <w:name w:val="Table_NoTitle"/>
    <w:basedOn w:val="Normal"/>
    <w:next w:val="Tablehead"/>
    <w:link w:val="TableNoTitleChar"/>
    <w:rsid w:val="00C30A65"/>
    <w:pPr>
      <w:keepNext/>
      <w:keepLines/>
      <w:tabs>
        <w:tab w:val="clear" w:pos="1134"/>
        <w:tab w:val="clear" w:pos="1871"/>
        <w:tab w:val="clear" w:pos="2268"/>
        <w:tab w:val="left" w:pos="794"/>
        <w:tab w:val="left" w:pos="1191"/>
        <w:tab w:val="left" w:pos="1588"/>
        <w:tab w:val="left" w:pos="1985"/>
      </w:tabs>
      <w:spacing w:before="360" w:after="120"/>
      <w:jc w:val="center"/>
      <w:textAlignment w:val="auto"/>
    </w:pPr>
    <w:rPr>
      <w:rFonts w:ascii="CG Times" w:hAnsi="CG Times"/>
      <w:b/>
      <w:lang w:eastAsia="zh-CN"/>
    </w:rPr>
  </w:style>
  <w:style w:type="character" w:styleId="Strong">
    <w:name w:val="Strong"/>
    <w:basedOn w:val="DefaultParagraphFont"/>
    <w:qFormat/>
    <w:rsid w:val="00C30A65"/>
    <w:rPr>
      <w:b/>
      <w:bCs/>
    </w:rPr>
  </w:style>
  <w:style w:type="paragraph" w:customStyle="1" w:styleId="LoopName">
    <w:name w:val="LoopName"/>
    <w:basedOn w:val="Normal"/>
    <w:link w:val="LoopNameChar"/>
    <w:rsid w:val="00C30A65"/>
    <w:pPr>
      <w:tabs>
        <w:tab w:val="clear" w:pos="1134"/>
        <w:tab w:val="clear" w:pos="1871"/>
        <w:tab w:val="clear" w:pos="2268"/>
      </w:tabs>
      <w:overflowPunct/>
      <w:autoSpaceDE/>
      <w:autoSpaceDN/>
      <w:adjustRightInd/>
      <w:spacing w:before="0"/>
      <w:textAlignment w:val="auto"/>
    </w:pPr>
    <w:rPr>
      <w:rFonts w:ascii="Arial" w:hAnsi="Arial"/>
      <w:b/>
      <w:sz w:val="16"/>
      <w:szCs w:val="16"/>
      <w:lang w:val="en-US"/>
    </w:rPr>
  </w:style>
  <w:style w:type="character" w:customStyle="1" w:styleId="LoopNameChar">
    <w:name w:val="LoopName Char"/>
    <w:basedOn w:val="DefaultParagraphFont"/>
    <w:link w:val="LoopName"/>
    <w:rsid w:val="00C30A65"/>
    <w:rPr>
      <w:rFonts w:ascii="Arial" w:hAnsi="Arial"/>
      <w:b/>
      <w:sz w:val="16"/>
      <w:szCs w:val="16"/>
      <w:lang w:eastAsia="en-US"/>
    </w:rPr>
  </w:style>
  <w:style w:type="paragraph" w:customStyle="1" w:styleId="LoopParms">
    <w:name w:val="LoopParms"/>
    <w:basedOn w:val="Normal"/>
    <w:rsid w:val="00C30A65"/>
    <w:pPr>
      <w:tabs>
        <w:tab w:val="clear" w:pos="1134"/>
        <w:tab w:val="clear" w:pos="1871"/>
        <w:tab w:val="clear" w:pos="2268"/>
      </w:tabs>
      <w:overflowPunct/>
      <w:autoSpaceDE/>
      <w:autoSpaceDN/>
      <w:adjustRightInd/>
      <w:spacing w:before="0"/>
      <w:textAlignment w:val="auto"/>
    </w:pPr>
    <w:rPr>
      <w:rFonts w:ascii="Courier New" w:hAnsi="Courier New" w:cs="Courier New"/>
      <w:sz w:val="16"/>
      <w:szCs w:val="16"/>
      <w:lang w:val="en-US"/>
    </w:rPr>
  </w:style>
  <w:style w:type="paragraph" w:customStyle="1" w:styleId="LoopModel">
    <w:name w:val="LoopModel"/>
    <w:basedOn w:val="LoopName"/>
    <w:rsid w:val="00C30A65"/>
    <w:pPr>
      <w:jc w:val="both"/>
    </w:pPr>
    <w:rPr>
      <w:b w:val="0"/>
    </w:rPr>
  </w:style>
  <w:style w:type="paragraph" w:customStyle="1" w:styleId="LoopMeasure">
    <w:name w:val="LoopMeasure"/>
    <w:basedOn w:val="Normal"/>
    <w:rsid w:val="00C30A65"/>
    <w:pPr>
      <w:tabs>
        <w:tab w:val="clear" w:pos="1134"/>
        <w:tab w:val="clear" w:pos="1871"/>
        <w:tab w:val="clear" w:pos="2268"/>
      </w:tabs>
      <w:overflowPunct/>
      <w:autoSpaceDE/>
      <w:autoSpaceDN/>
      <w:adjustRightInd/>
      <w:spacing w:before="0"/>
      <w:textAlignment w:val="auto"/>
    </w:pPr>
    <w:rPr>
      <w:rFonts w:ascii="Arial" w:hAnsi="Arial" w:cs="Arial"/>
      <w:b/>
      <w:sz w:val="16"/>
      <w:szCs w:val="16"/>
      <w:lang w:val="en-US"/>
    </w:rPr>
  </w:style>
  <w:style w:type="paragraph" w:styleId="BodyText">
    <w:name w:val="Body Text"/>
    <w:basedOn w:val="Normal"/>
    <w:link w:val="BodyTextChar"/>
    <w:qFormat/>
    <w:rsid w:val="00C30A65"/>
    <w:pPr>
      <w:tabs>
        <w:tab w:val="clear" w:pos="1134"/>
        <w:tab w:val="clear" w:pos="1871"/>
        <w:tab w:val="clear" w:pos="2268"/>
      </w:tabs>
      <w:overflowPunct/>
      <w:autoSpaceDE/>
      <w:autoSpaceDN/>
      <w:adjustRightInd/>
      <w:spacing w:before="0" w:after="120" w:line="260" w:lineRule="atLeast"/>
      <w:textAlignment w:val="auto"/>
    </w:pPr>
    <w:rPr>
      <w:lang w:val="en-US"/>
    </w:rPr>
  </w:style>
  <w:style w:type="character" w:customStyle="1" w:styleId="BodyTextChar">
    <w:name w:val="Body Text Char"/>
    <w:basedOn w:val="DefaultParagraphFont"/>
    <w:link w:val="BodyText"/>
    <w:rsid w:val="00C30A65"/>
    <w:rPr>
      <w:rFonts w:ascii="Times New Roman" w:hAnsi="Times New Roman"/>
      <w:sz w:val="24"/>
      <w:lang w:eastAsia="en-US"/>
    </w:rPr>
  </w:style>
  <w:style w:type="paragraph" w:customStyle="1" w:styleId="Head">
    <w:name w:val="Head"/>
    <w:basedOn w:val="Normal"/>
    <w:rsid w:val="00C30A65"/>
    <w:pPr>
      <w:tabs>
        <w:tab w:val="clear" w:pos="1134"/>
        <w:tab w:val="clear" w:pos="1871"/>
        <w:tab w:val="clear" w:pos="2268"/>
        <w:tab w:val="left" w:pos="6663"/>
      </w:tabs>
      <w:overflowPunct/>
      <w:autoSpaceDE/>
      <w:autoSpaceDN/>
      <w:adjustRightInd/>
      <w:spacing w:before="0"/>
      <w:textAlignment w:val="auto"/>
    </w:pPr>
  </w:style>
  <w:style w:type="paragraph" w:customStyle="1" w:styleId="Infodoc">
    <w:name w:val="Infodoc"/>
    <w:basedOn w:val="Normal"/>
    <w:rsid w:val="00C30A65"/>
    <w:pPr>
      <w:tabs>
        <w:tab w:val="clear" w:pos="1134"/>
        <w:tab w:val="clear" w:pos="1871"/>
        <w:tab w:val="clear" w:pos="2268"/>
        <w:tab w:val="left" w:pos="1418"/>
      </w:tabs>
      <w:overflowPunct/>
      <w:autoSpaceDE/>
      <w:autoSpaceDN/>
      <w:adjustRightInd/>
      <w:spacing w:before="0"/>
      <w:ind w:left="1418" w:hanging="1418"/>
      <w:textAlignment w:val="auto"/>
    </w:pPr>
  </w:style>
  <w:style w:type="paragraph" w:customStyle="1" w:styleId="StyleHeading112ptNounderline">
    <w:name w:val="Style Heading 1 + 12 pt No underline"/>
    <w:basedOn w:val="Heading1"/>
    <w:rsid w:val="00C30A65"/>
    <w:pPr>
      <w:keepNext w:val="0"/>
      <w:keepLines w:val="0"/>
      <w:numPr>
        <w:numId w:val="5"/>
      </w:numPr>
      <w:tabs>
        <w:tab w:val="clear" w:pos="1134"/>
        <w:tab w:val="clear" w:pos="1871"/>
        <w:tab w:val="clear" w:pos="2268"/>
      </w:tabs>
      <w:suppressAutoHyphens/>
      <w:overflowPunct/>
      <w:autoSpaceDE/>
      <w:autoSpaceDN/>
      <w:adjustRightInd/>
      <w:spacing w:before="240"/>
      <w:textAlignment w:val="auto"/>
    </w:pPr>
    <w:rPr>
      <w:rFonts w:cs="Birch"/>
      <w:bCs/>
      <w:sz w:val="24"/>
      <w:lang w:val="en-US" w:eastAsia="ar-SA"/>
    </w:rPr>
  </w:style>
  <w:style w:type="paragraph" w:customStyle="1" w:styleId="Tabletext0">
    <w:name w:val="Table text"/>
    <w:basedOn w:val="Normal"/>
    <w:link w:val="TabletextChar"/>
    <w:rsid w:val="00C30A65"/>
    <w:pPr>
      <w:tabs>
        <w:tab w:val="clear" w:pos="1134"/>
        <w:tab w:val="clear" w:pos="1871"/>
        <w:tab w:val="clear" w:pos="2268"/>
        <w:tab w:val="left" w:pos="794"/>
        <w:tab w:val="left" w:pos="1191"/>
        <w:tab w:val="left" w:pos="1588"/>
        <w:tab w:val="left" w:pos="1985"/>
      </w:tabs>
      <w:spacing w:before="40" w:after="40"/>
    </w:pPr>
    <w:rPr>
      <w:rFonts w:ascii="CG Times" w:hAnsi="CG Times"/>
      <w:sz w:val="20"/>
    </w:rPr>
  </w:style>
  <w:style w:type="character" w:customStyle="1" w:styleId="TabletextChar">
    <w:name w:val="Table text Char"/>
    <w:link w:val="Tabletext0"/>
    <w:rsid w:val="00C30A65"/>
    <w:rPr>
      <w:lang w:val="en-GB" w:eastAsia="en-US"/>
    </w:rPr>
  </w:style>
  <w:style w:type="paragraph" w:styleId="ListParagraph">
    <w:name w:val="List Paragraph"/>
    <w:basedOn w:val="Normal"/>
    <w:uiPriority w:val="34"/>
    <w:qFormat/>
    <w:rsid w:val="00C30A65"/>
    <w:pPr>
      <w:tabs>
        <w:tab w:val="clear" w:pos="1134"/>
        <w:tab w:val="clear" w:pos="1871"/>
        <w:tab w:val="clear" w:pos="2268"/>
        <w:tab w:val="left" w:pos="794"/>
        <w:tab w:val="left" w:pos="1191"/>
        <w:tab w:val="left" w:pos="1588"/>
        <w:tab w:val="left" w:pos="1985"/>
      </w:tabs>
      <w:ind w:left="720"/>
      <w:contextualSpacing/>
    </w:pPr>
  </w:style>
  <w:style w:type="paragraph" w:customStyle="1" w:styleId="AnnexNoTitle0">
    <w:name w:val="Annex_NoTitle"/>
    <w:basedOn w:val="Normal"/>
    <w:next w:val="Normalaftertitle"/>
    <w:rsid w:val="00C30A65"/>
    <w:pPr>
      <w:keepNext/>
      <w:keepLines/>
      <w:tabs>
        <w:tab w:val="clear" w:pos="1134"/>
        <w:tab w:val="clear" w:pos="1871"/>
        <w:tab w:val="clear" w:pos="2268"/>
        <w:tab w:val="left" w:pos="794"/>
        <w:tab w:val="left" w:pos="1191"/>
        <w:tab w:val="left" w:pos="1588"/>
        <w:tab w:val="left" w:pos="1985"/>
      </w:tabs>
      <w:spacing w:before="720"/>
      <w:jc w:val="center"/>
    </w:pPr>
    <w:rPr>
      <w:b/>
      <w:sz w:val="28"/>
    </w:rPr>
  </w:style>
  <w:style w:type="paragraph" w:customStyle="1" w:styleId="Docnumber">
    <w:name w:val="Docnumber"/>
    <w:basedOn w:val="Normal"/>
    <w:link w:val="DocnumberChar"/>
    <w:rsid w:val="00C30A65"/>
    <w:pPr>
      <w:tabs>
        <w:tab w:val="clear" w:pos="1134"/>
        <w:tab w:val="clear" w:pos="1871"/>
        <w:tab w:val="clear" w:pos="2268"/>
        <w:tab w:val="left" w:pos="794"/>
        <w:tab w:val="left" w:pos="1191"/>
        <w:tab w:val="left" w:pos="1588"/>
        <w:tab w:val="left" w:pos="1985"/>
      </w:tabs>
      <w:jc w:val="right"/>
    </w:pPr>
    <w:rPr>
      <w:b/>
      <w:bCs/>
      <w:sz w:val="40"/>
    </w:rPr>
  </w:style>
  <w:style w:type="character" w:customStyle="1" w:styleId="DocnumberChar">
    <w:name w:val="Docnumber Char"/>
    <w:basedOn w:val="DefaultParagraphFont"/>
    <w:link w:val="Docnumber"/>
    <w:rsid w:val="00C30A65"/>
    <w:rPr>
      <w:rFonts w:ascii="Times New Roman" w:hAnsi="Times New Roman"/>
      <w:b/>
      <w:bCs/>
      <w:sz w:val="40"/>
      <w:lang w:val="en-GB" w:eastAsia="en-US"/>
    </w:rPr>
  </w:style>
  <w:style w:type="paragraph" w:styleId="BalloonText">
    <w:name w:val="Balloon Text"/>
    <w:basedOn w:val="Normal"/>
    <w:link w:val="BalloonTextChar"/>
    <w:rsid w:val="00CC149F"/>
    <w:pPr>
      <w:spacing w:before="0"/>
    </w:pPr>
    <w:rPr>
      <w:rFonts w:ascii="Tahoma" w:hAnsi="Tahoma" w:cs="Tahoma"/>
      <w:sz w:val="16"/>
      <w:szCs w:val="16"/>
    </w:rPr>
  </w:style>
  <w:style w:type="character" w:customStyle="1" w:styleId="BalloonTextChar">
    <w:name w:val="Balloon Text Char"/>
    <w:basedOn w:val="DefaultParagraphFont"/>
    <w:link w:val="BalloonText"/>
    <w:rsid w:val="00CC149F"/>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header" w:uiPriority="99"/>
    <w:lsdException w:name="caption" w:semiHidden="1" w:uiPriority="35" w:unhideWhenUsed="1"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table" w:styleId="TableGrid">
    <w:name w:val="Table Grid"/>
    <w:basedOn w:val="TableNormal"/>
    <w:rsid w:val="00515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15BE4"/>
    <w:rPr>
      <w:color w:val="0000FF"/>
      <w:u w:val="single"/>
    </w:rPr>
  </w:style>
  <w:style w:type="character" w:customStyle="1" w:styleId="Heading2Char">
    <w:name w:val="Heading 2 Char"/>
    <w:link w:val="Heading2"/>
    <w:rsid w:val="00C30A65"/>
    <w:rPr>
      <w:rFonts w:ascii="Times New Roman" w:hAnsi="Times New Roman"/>
      <w:b/>
      <w:sz w:val="24"/>
      <w:lang w:val="en-GB" w:eastAsia="en-US"/>
    </w:rPr>
  </w:style>
  <w:style w:type="character" w:customStyle="1" w:styleId="Heading3Char">
    <w:name w:val="Heading 3 Char"/>
    <w:link w:val="Heading3"/>
    <w:rsid w:val="00C30A65"/>
    <w:rPr>
      <w:rFonts w:ascii="Times New Roman" w:hAnsi="Times New Roman"/>
      <w:b/>
      <w:sz w:val="24"/>
      <w:lang w:val="en-GB" w:eastAsia="en-US"/>
    </w:rPr>
  </w:style>
  <w:style w:type="paragraph" w:customStyle="1" w:styleId="AnnexNotitle">
    <w:name w:val="Annex_No &amp; title"/>
    <w:basedOn w:val="Normal"/>
    <w:next w:val="Normal"/>
    <w:rsid w:val="00C30A65"/>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C30A65"/>
  </w:style>
  <w:style w:type="character" w:customStyle="1" w:styleId="EquationChar">
    <w:name w:val="Equation Char"/>
    <w:link w:val="Equation"/>
    <w:rsid w:val="00C30A65"/>
    <w:rPr>
      <w:rFonts w:ascii="Times New Roman" w:hAnsi="Times New Roman"/>
      <w:sz w:val="24"/>
      <w:lang w:val="en-GB" w:eastAsia="en-US"/>
    </w:rPr>
  </w:style>
  <w:style w:type="paragraph" w:customStyle="1" w:styleId="FigureNotitle">
    <w:name w:val="Figure_No &amp; title"/>
    <w:basedOn w:val="Normal"/>
    <w:next w:val="Normal"/>
    <w:link w:val="FigureNotitleChar"/>
    <w:rsid w:val="00C30A65"/>
    <w:pPr>
      <w:keepLines/>
      <w:tabs>
        <w:tab w:val="clear" w:pos="1134"/>
        <w:tab w:val="clear" w:pos="1871"/>
        <w:tab w:val="clear" w:pos="2268"/>
        <w:tab w:val="left" w:pos="794"/>
        <w:tab w:val="left" w:pos="1191"/>
        <w:tab w:val="left" w:pos="1588"/>
        <w:tab w:val="left" w:pos="1985"/>
      </w:tabs>
      <w:spacing w:before="240" w:after="120"/>
      <w:jc w:val="center"/>
    </w:pPr>
    <w:rPr>
      <w:b/>
    </w:rPr>
  </w:style>
  <w:style w:type="character" w:customStyle="1" w:styleId="FigureNotitleChar">
    <w:name w:val="Figure_No &amp; title Char"/>
    <w:link w:val="FigureNotitle"/>
    <w:rsid w:val="00C30A65"/>
    <w:rPr>
      <w:rFonts w:ascii="Times New Roman" w:hAnsi="Times New Roman"/>
      <w:b/>
      <w:sz w:val="24"/>
      <w:lang w:val="en-GB" w:eastAsia="en-US"/>
    </w:rPr>
  </w:style>
  <w:style w:type="paragraph" w:customStyle="1" w:styleId="FigureNoBR">
    <w:name w:val="Figure_No_BR"/>
    <w:basedOn w:val="Normal"/>
    <w:next w:val="Normal"/>
    <w:rsid w:val="00C30A65"/>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C30A65"/>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C30A65"/>
    <w:pPr>
      <w:keepNext w:val="0"/>
      <w:spacing w:after="480"/>
    </w:pPr>
  </w:style>
  <w:style w:type="paragraph" w:customStyle="1" w:styleId="FooterQP">
    <w:name w:val="Footer_QP"/>
    <w:basedOn w:val="Normal"/>
    <w:rsid w:val="00C30A65"/>
    <w:pPr>
      <w:tabs>
        <w:tab w:val="clear" w:pos="1134"/>
        <w:tab w:val="clear" w:pos="1871"/>
        <w:tab w:val="clear" w:pos="2268"/>
        <w:tab w:val="left" w:pos="907"/>
        <w:tab w:val="right" w:pos="8789"/>
        <w:tab w:val="right" w:pos="9639"/>
      </w:tabs>
      <w:spacing w:before="0"/>
    </w:pPr>
    <w:rPr>
      <w:b/>
      <w:sz w:val="22"/>
    </w:rPr>
  </w:style>
  <w:style w:type="character" w:customStyle="1" w:styleId="NoteChar">
    <w:name w:val="Note Char"/>
    <w:link w:val="Note"/>
    <w:rsid w:val="00C30A65"/>
    <w:rPr>
      <w:rFonts w:ascii="Times New Roman" w:hAnsi="Times New Roman"/>
      <w:sz w:val="24"/>
      <w:lang w:val="en-GB" w:eastAsia="en-US"/>
    </w:rPr>
  </w:style>
  <w:style w:type="character" w:customStyle="1" w:styleId="FootnoteTextChar">
    <w:name w:val="Footnote Text Char"/>
    <w:link w:val="FootnoteText"/>
    <w:rsid w:val="00C30A65"/>
    <w:rPr>
      <w:rFonts w:ascii="Times New Roman" w:hAnsi="Times New Roman"/>
      <w:sz w:val="24"/>
      <w:lang w:val="en-GB" w:eastAsia="en-US"/>
    </w:rPr>
  </w:style>
  <w:style w:type="character" w:customStyle="1" w:styleId="HeaderChar">
    <w:name w:val="Header Char"/>
    <w:basedOn w:val="DefaultParagraphFont"/>
    <w:link w:val="Header"/>
    <w:uiPriority w:val="99"/>
    <w:rsid w:val="00C30A65"/>
    <w:rPr>
      <w:rFonts w:ascii="Times New Roman" w:hAnsi="Times New Roman"/>
      <w:sz w:val="18"/>
      <w:lang w:val="en-GB" w:eastAsia="en-US"/>
    </w:rPr>
  </w:style>
  <w:style w:type="character" w:customStyle="1" w:styleId="NormalaftertitleChar">
    <w:name w:val="Normal_after_title Char"/>
    <w:link w:val="Normalaftertitle"/>
    <w:rsid w:val="00C30A65"/>
    <w:rPr>
      <w:rFonts w:ascii="Times New Roman" w:hAnsi="Times New Roman"/>
      <w:sz w:val="24"/>
      <w:lang w:val="en-GB" w:eastAsia="en-US"/>
    </w:rPr>
  </w:style>
  <w:style w:type="paragraph" w:customStyle="1" w:styleId="RecNoBR">
    <w:name w:val="Rec_No_BR"/>
    <w:basedOn w:val="Normal"/>
    <w:next w:val="Normal"/>
    <w:rsid w:val="00C30A65"/>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C30A65"/>
  </w:style>
  <w:style w:type="paragraph" w:customStyle="1" w:styleId="RepNoBR">
    <w:name w:val="Rep_No_BR"/>
    <w:basedOn w:val="RecNoBR"/>
    <w:next w:val="Normal"/>
    <w:rsid w:val="00C30A65"/>
  </w:style>
  <w:style w:type="paragraph" w:customStyle="1" w:styleId="ResNoBR">
    <w:name w:val="Res_No_BR"/>
    <w:basedOn w:val="RecNoBR"/>
    <w:next w:val="Normal"/>
    <w:rsid w:val="00C30A65"/>
  </w:style>
  <w:style w:type="paragraph" w:customStyle="1" w:styleId="TableNotitle">
    <w:name w:val="Table_No &amp; title"/>
    <w:basedOn w:val="Normal"/>
    <w:next w:val="Tablehead"/>
    <w:rsid w:val="00C30A65"/>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NoBR">
    <w:name w:val="Table_No_BR"/>
    <w:basedOn w:val="Normal"/>
    <w:next w:val="TabletitleBR"/>
    <w:rsid w:val="00C30A65"/>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FigureNoTitle0">
    <w:name w:val="Figure_NoTitle"/>
    <w:basedOn w:val="Normal"/>
    <w:next w:val="Normalaftertitle"/>
    <w:link w:val="FigureNoTitleChar0"/>
    <w:rsid w:val="00C30A65"/>
    <w:pPr>
      <w:keepLines/>
      <w:tabs>
        <w:tab w:val="clear" w:pos="1134"/>
        <w:tab w:val="clear" w:pos="1871"/>
        <w:tab w:val="clear" w:pos="2268"/>
        <w:tab w:val="left" w:pos="794"/>
        <w:tab w:val="left" w:pos="1191"/>
        <w:tab w:val="left" w:pos="1588"/>
        <w:tab w:val="left" w:pos="1985"/>
      </w:tabs>
      <w:spacing w:before="240" w:after="120" w:line="360" w:lineRule="auto"/>
      <w:jc w:val="center"/>
    </w:pPr>
    <w:rPr>
      <w:rFonts w:eastAsia="SimSun"/>
      <w:b/>
    </w:rPr>
  </w:style>
  <w:style w:type="character" w:customStyle="1" w:styleId="FigureNoTitleChar0">
    <w:name w:val="Figure_NoTitle Char"/>
    <w:link w:val="FigureNoTitle0"/>
    <w:rsid w:val="00C30A65"/>
    <w:rPr>
      <w:rFonts w:ascii="Times New Roman" w:eastAsia="SimSun" w:hAnsi="Times New Roman"/>
      <w:b/>
      <w:sz w:val="24"/>
      <w:lang w:val="en-GB" w:eastAsia="en-US"/>
    </w:rPr>
  </w:style>
  <w:style w:type="paragraph" w:styleId="Caption">
    <w:name w:val="caption"/>
    <w:aliases w:val="use for figure and table titles"/>
    <w:basedOn w:val="Normal"/>
    <w:next w:val="Normal"/>
    <w:uiPriority w:val="35"/>
    <w:qFormat/>
    <w:rsid w:val="00C30A65"/>
    <w:pPr>
      <w:tabs>
        <w:tab w:val="clear" w:pos="1134"/>
        <w:tab w:val="clear" w:pos="1871"/>
        <w:tab w:val="clear" w:pos="2268"/>
      </w:tabs>
      <w:overflowPunct/>
      <w:autoSpaceDE/>
      <w:autoSpaceDN/>
      <w:adjustRightInd/>
      <w:spacing w:line="260" w:lineRule="atLeast"/>
      <w:jc w:val="center"/>
      <w:textAlignment w:val="auto"/>
    </w:pPr>
    <w:rPr>
      <w:rFonts w:ascii="Calibri" w:hAnsi="Calibri"/>
      <w:b/>
      <w:lang w:val="en-US"/>
    </w:rPr>
  </w:style>
  <w:style w:type="character" w:customStyle="1" w:styleId="TableNoTitleChar">
    <w:name w:val="Table_NoTitle Char"/>
    <w:link w:val="TableNoTitle0"/>
    <w:locked/>
    <w:rsid w:val="00C30A65"/>
    <w:rPr>
      <w:b/>
      <w:sz w:val="24"/>
      <w:lang w:val="en-GB"/>
    </w:rPr>
  </w:style>
  <w:style w:type="paragraph" w:customStyle="1" w:styleId="TableNoTitle0">
    <w:name w:val="Table_NoTitle"/>
    <w:basedOn w:val="Normal"/>
    <w:next w:val="Tablehead"/>
    <w:link w:val="TableNoTitleChar"/>
    <w:rsid w:val="00C30A65"/>
    <w:pPr>
      <w:keepNext/>
      <w:keepLines/>
      <w:tabs>
        <w:tab w:val="clear" w:pos="1134"/>
        <w:tab w:val="clear" w:pos="1871"/>
        <w:tab w:val="clear" w:pos="2268"/>
        <w:tab w:val="left" w:pos="794"/>
        <w:tab w:val="left" w:pos="1191"/>
        <w:tab w:val="left" w:pos="1588"/>
        <w:tab w:val="left" w:pos="1985"/>
      </w:tabs>
      <w:spacing w:before="360" w:after="120"/>
      <w:jc w:val="center"/>
      <w:textAlignment w:val="auto"/>
    </w:pPr>
    <w:rPr>
      <w:rFonts w:ascii="CG Times" w:hAnsi="CG Times"/>
      <w:b/>
      <w:lang w:eastAsia="zh-CN"/>
    </w:rPr>
  </w:style>
  <w:style w:type="character" w:styleId="Strong">
    <w:name w:val="Strong"/>
    <w:basedOn w:val="DefaultParagraphFont"/>
    <w:qFormat/>
    <w:rsid w:val="00C30A65"/>
    <w:rPr>
      <w:b/>
      <w:bCs/>
    </w:rPr>
  </w:style>
  <w:style w:type="paragraph" w:customStyle="1" w:styleId="LoopName">
    <w:name w:val="LoopName"/>
    <w:basedOn w:val="Normal"/>
    <w:link w:val="LoopNameChar"/>
    <w:rsid w:val="00C30A65"/>
    <w:pPr>
      <w:tabs>
        <w:tab w:val="clear" w:pos="1134"/>
        <w:tab w:val="clear" w:pos="1871"/>
        <w:tab w:val="clear" w:pos="2268"/>
      </w:tabs>
      <w:overflowPunct/>
      <w:autoSpaceDE/>
      <w:autoSpaceDN/>
      <w:adjustRightInd/>
      <w:spacing w:before="0"/>
      <w:textAlignment w:val="auto"/>
    </w:pPr>
    <w:rPr>
      <w:rFonts w:ascii="Arial" w:hAnsi="Arial"/>
      <w:b/>
      <w:sz w:val="16"/>
      <w:szCs w:val="16"/>
      <w:lang w:val="en-US"/>
    </w:rPr>
  </w:style>
  <w:style w:type="character" w:customStyle="1" w:styleId="LoopNameChar">
    <w:name w:val="LoopName Char"/>
    <w:basedOn w:val="DefaultParagraphFont"/>
    <w:link w:val="LoopName"/>
    <w:rsid w:val="00C30A65"/>
    <w:rPr>
      <w:rFonts w:ascii="Arial" w:hAnsi="Arial"/>
      <w:b/>
      <w:sz w:val="16"/>
      <w:szCs w:val="16"/>
      <w:lang w:eastAsia="en-US"/>
    </w:rPr>
  </w:style>
  <w:style w:type="paragraph" w:customStyle="1" w:styleId="LoopParms">
    <w:name w:val="LoopParms"/>
    <w:basedOn w:val="Normal"/>
    <w:rsid w:val="00C30A65"/>
    <w:pPr>
      <w:tabs>
        <w:tab w:val="clear" w:pos="1134"/>
        <w:tab w:val="clear" w:pos="1871"/>
        <w:tab w:val="clear" w:pos="2268"/>
      </w:tabs>
      <w:overflowPunct/>
      <w:autoSpaceDE/>
      <w:autoSpaceDN/>
      <w:adjustRightInd/>
      <w:spacing w:before="0"/>
      <w:textAlignment w:val="auto"/>
    </w:pPr>
    <w:rPr>
      <w:rFonts w:ascii="Courier New" w:hAnsi="Courier New" w:cs="Courier New"/>
      <w:sz w:val="16"/>
      <w:szCs w:val="16"/>
      <w:lang w:val="en-US"/>
    </w:rPr>
  </w:style>
  <w:style w:type="paragraph" w:customStyle="1" w:styleId="LoopModel">
    <w:name w:val="LoopModel"/>
    <w:basedOn w:val="LoopName"/>
    <w:rsid w:val="00C30A65"/>
    <w:pPr>
      <w:jc w:val="both"/>
    </w:pPr>
    <w:rPr>
      <w:b w:val="0"/>
    </w:rPr>
  </w:style>
  <w:style w:type="paragraph" w:customStyle="1" w:styleId="LoopMeasure">
    <w:name w:val="LoopMeasure"/>
    <w:basedOn w:val="Normal"/>
    <w:rsid w:val="00C30A65"/>
    <w:pPr>
      <w:tabs>
        <w:tab w:val="clear" w:pos="1134"/>
        <w:tab w:val="clear" w:pos="1871"/>
        <w:tab w:val="clear" w:pos="2268"/>
      </w:tabs>
      <w:overflowPunct/>
      <w:autoSpaceDE/>
      <w:autoSpaceDN/>
      <w:adjustRightInd/>
      <w:spacing w:before="0"/>
      <w:textAlignment w:val="auto"/>
    </w:pPr>
    <w:rPr>
      <w:rFonts w:ascii="Arial" w:hAnsi="Arial" w:cs="Arial"/>
      <w:b/>
      <w:sz w:val="16"/>
      <w:szCs w:val="16"/>
      <w:lang w:val="en-US"/>
    </w:rPr>
  </w:style>
  <w:style w:type="paragraph" w:styleId="BodyText">
    <w:name w:val="Body Text"/>
    <w:basedOn w:val="Normal"/>
    <w:link w:val="BodyTextChar"/>
    <w:qFormat/>
    <w:rsid w:val="00C30A65"/>
    <w:pPr>
      <w:tabs>
        <w:tab w:val="clear" w:pos="1134"/>
        <w:tab w:val="clear" w:pos="1871"/>
        <w:tab w:val="clear" w:pos="2268"/>
      </w:tabs>
      <w:overflowPunct/>
      <w:autoSpaceDE/>
      <w:autoSpaceDN/>
      <w:adjustRightInd/>
      <w:spacing w:before="0" w:after="120" w:line="260" w:lineRule="atLeast"/>
      <w:textAlignment w:val="auto"/>
    </w:pPr>
    <w:rPr>
      <w:lang w:val="en-US"/>
    </w:rPr>
  </w:style>
  <w:style w:type="character" w:customStyle="1" w:styleId="BodyTextChar">
    <w:name w:val="Body Text Char"/>
    <w:basedOn w:val="DefaultParagraphFont"/>
    <w:link w:val="BodyText"/>
    <w:rsid w:val="00C30A65"/>
    <w:rPr>
      <w:rFonts w:ascii="Times New Roman" w:hAnsi="Times New Roman"/>
      <w:sz w:val="24"/>
      <w:lang w:eastAsia="en-US"/>
    </w:rPr>
  </w:style>
  <w:style w:type="paragraph" w:customStyle="1" w:styleId="Head">
    <w:name w:val="Head"/>
    <w:basedOn w:val="Normal"/>
    <w:rsid w:val="00C30A65"/>
    <w:pPr>
      <w:tabs>
        <w:tab w:val="clear" w:pos="1134"/>
        <w:tab w:val="clear" w:pos="1871"/>
        <w:tab w:val="clear" w:pos="2268"/>
        <w:tab w:val="left" w:pos="6663"/>
      </w:tabs>
      <w:overflowPunct/>
      <w:autoSpaceDE/>
      <w:autoSpaceDN/>
      <w:adjustRightInd/>
      <w:spacing w:before="0"/>
      <w:textAlignment w:val="auto"/>
    </w:pPr>
  </w:style>
  <w:style w:type="paragraph" w:customStyle="1" w:styleId="Infodoc">
    <w:name w:val="Infodoc"/>
    <w:basedOn w:val="Normal"/>
    <w:rsid w:val="00C30A65"/>
    <w:pPr>
      <w:tabs>
        <w:tab w:val="clear" w:pos="1134"/>
        <w:tab w:val="clear" w:pos="1871"/>
        <w:tab w:val="clear" w:pos="2268"/>
        <w:tab w:val="left" w:pos="1418"/>
      </w:tabs>
      <w:overflowPunct/>
      <w:autoSpaceDE/>
      <w:autoSpaceDN/>
      <w:adjustRightInd/>
      <w:spacing w:before="0"/>
      <w:ind w:left="1418" w:hanging="1418"/>
      <w:textAlignment w:val="auto"/>
    </w:pPr>
  </w:style>
  <w:style w:type="paragraph" w:customStyle="1" w:styleId="StyleHeading112ptNounderline">
    <w:name w:val="Style Heading 1 + 12 pt No underline"/>
    <w:basedOn w:val="Heading1"/>
    <w:rsid w:val="00C30A65"/>
    <w:pPr>
      <w:keepNext w:val="0"/>
      <w:keepLines w:val="0"/>
      <w:numPr>
        <w:numId w:val="5"/>
      </w:numPr>
      <w:tabs>
        <w:tab w:val="clear" w:pos="1134"/>
        <w:tab w:val="clear" w:pos="1871"/>
        <w:tab w:val="clear" w:pos="2268"/>
      </w:tabs>
      <w:suppressAutoHyphens/>
      <w:overflowPunct/>
      <w:autoSpaceDE/>
      <w:autoSpaceDN/>
      <w:adjustRightInd/>
      <w:spacing w:before="240"/>
      <w:textAlignment w:val="auto"/>
    </w:pPr>
    <w:rPr>
      <w:rFonts w:cs="Birch"/>
      <w:bCs/>
      <w:sz w:val="24"/>
      <w:lang w:val="en-US" w:eastAsia="ar-SA"/>
    </w:rPr>
  </w:style>
  <w:style w:type="paragraph" w:customStyle="1" w:styleId="Tabletext0">
    <w:name w:val="Table text"/>
    <w:basedOn w:val="Normal"/>
    <w:link w:val="TabletextChar"/>
    <w:rsid w:val="00C30A65"/>
    <w:pPr>
      <w:tabs>
        <w:tab w:val="clear" w:pos="1134"/>
        <w:tab w:val="clear" w:pos="1871"/>
        <w:tab w:val="clear" w:pos="2268"/>
        <w:tab w:val="left" w:pos="794"/>
        <w:tab w:val="left" w:pos="1191"/>
        <w:tab w:val="left" w:pos="1588"/>
        <w:tab w:val="left" w:pos="1985"/>
      </w:tabs>
      <w:spacing w:before="40" w:after="40"/>
    </w:pPr>
    <w:rPr>
      <w:rFonts w:ascii="CG Times" w:hAnsi="CG Times"/>
      <w:sz w:val="20"/>
    </w:rPr>
  </w:style>
  <w:style w:type="character" w:customStyle="1" w:styleId="TabletextChar">
    <w:name w:val="Table text Char"/>
    <w:link w:val="Tabletext0"/>
    <w:rsid w:val="00C30A65"/>
    <w:rPr>
      <w:lang w:val="en-GB" w:eastAsia="en-US"/>
    </w:rPr>
  </w:style>
  <w:style w:type="paragraph" w:styleId="ListParagraph">
    <w:name w:val="List Paragraph"/>
    <w:basedOn w:val="Normal"/>
    <w:uiPriority w:val="34"/>
    <w:qFormat/>
    <w:rsid w:val="00C30A65"/>
    <w:pPr>
      <w:tabs>
        <w:tab w:val="clear" w:pos="1134"/>
        <w:tab w:val="clear" w:pos="1871"/>
        <w:tab w:val="clear" w:pos="2268"/>
        <w:tab w:val="left" w:pos="794"/>
        <w:tab w:val="left" w:pos="1191"/>
        <w:tab w:val="left" w:pos="1588"/>
        <w:tab w:val="left" w:pos="1985"/>
      </w:tabs>
      <w:ind w:left="720"/>
      <w:contextualSpacing/>
    </w:pPr>
  </w:style>
  <w:style w:type="paragraph" w:customStyle="1" w:styleId="AnnexNoTitle0">
    <w:name w:val="Annex_NoTitle"/>
    <w:basedOn w:val="Normal"/>
    <w:next w:val="Normalaftertitle"/>
    <w:rsid w:val="00C30A65"/>
    <w:pPr>
      <w:keepNext/>
      <w:keepLines/>
      <w:tabs>
        <w:tab w:val="clear" w:pos="1134"/>
        <w:tab w:val="clear" w:pos="1871"/>
        <w:tab w:val="clear" w:pos="2268"/>
        <w:tab w:val="left" w:pos="794"/>
        <w:tab w:val="left" w:pos="1191"/>
        <w:tab w:val="left" w:pos="1588"/>
        <w:tab w:val="left" w:pos="1985"/>
      </w:tabs>
      <w:spacing w:before="720"/>
      <w:jc w:val="center"/>
    </w:pPr>
    <w:rPr>
      <w:b/>
      <w:sz w:val="28"/>
    </w:rPr>
  </w:style>
  <w:style w:type="paragraph" w:customStyle="1" w:styleId="Docnumber">
    <w:name w:val="Docnumber"/>
    <w:basedOn w:val="Normal"/>
    <w:link w:val="DocnumberChar"/>
    <w:rsid w:val="00C30A65"/>
    <w:pPr>
      <w:tabs>
        <w:tab w:val="clear" w:pos="1134"/>
        <w:tab w:val="clear" w:pos="1871"/>
        <w:tab w:val="clear" w:pos="2268"/>
        <w:tab w:val="left" w:pos="794"/>
        <w:tab w:val="left" w:pos="1191"/>
        <w:tab w:val="left" w:pos="1588"/>
        <w:tab w:val="left" w:pos="1985"/>
      </w:tabs>
      <w:jc w:val="right"/>
    </w:pPr>
    <w:rPr>
      <w:b/>
      <w:bCs/>
      <w:sz w:val="40"/>
    </w:rPr>
  </w:style>
  <w:style w:type="character" w:customStyle="1" w:styleId="DocnumberChar">
    <w:name w:val="Docnumber Char"/>
    <w:basedOn w:val="DefaultParagraphFont"/>
    <w:link w:val="Docnumber"/>
    <w:rsid w:val="00C30A65"/>
    <w:rPr>
      <w:rFonts w:ascii="Times New Roman" w:hAnsi="Times New Roman"/>
      <w:b/>
      <w:bCs/>
      <w:sz w:val="40"/>
      <w:lang w:val="en-GB" w:eastAsia="en-US"/>
    </w:rPr>
  </w:style>
  <w:style w:type="paragraph" w:styleId="BalloonText">
    <w:name w:val="Balloon Text"/>
    <w:basedOn w:val="Normal"/>
    <w:link w:val="BalloonTextChar"/>
    <w:rsid w:val="00CC149F"/>
    <w:pPr>
      <w:spacing w:before="0"/>
    </w:pPr>
    <w:rPr>
      <w:rFonts w:ascii="Tahoma" w:hAnsi="Tahoma" w:cs="Tahoma"/>
      <w:sz w:val="16"/>
      <w:szCs w:val="16"/>
    </w:rPr>
  </w:style>
  <w:style w:type="character" w:customStyle="1" w:styleId="BalloonTextChar">
    <w:name w:val="Balloon Text Char"/>
    <w:basedOn w:val="DefaultParagraphFont"/>
    <w:link w:val="BalloonText"/>
    <w:rsid w:val="00CC149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footer" Target="footer4.xml"/><Relationship Id="rId10" Type="http://schemas.openxmlformats.org/officeDocument/2006/relationships/hyperlink" Target="mailto:lesbrown@sympatico.ca" TargetMode="Externa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rank.van_der_putten@alcatel-lucent.com" TargetMode="Externa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0</TotalTime>
  <Pages>19</Pages>
  <Words>3780</Words>
  <Characters>21548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MJ Lynch</cp:lastModifiedBy>
  <cp:revision>2</cp:revision>
  <cp:lastPrinted>2008-02-21T14:04:00Z</cp:lastPrinted>
  <dcterms:created xsi:type="dcterms:W3CDTF">2013-11-12T20:12:00Z</dcterms:created>
  <dcterms:modified xsi:type="dcterms:W3CDTF">2013-11-12T20:12:00Z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