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17" w:rsidRDefault="00FF3717">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FF3717" w:rsidRDefault="00840552" w:rsidP="00DF2E91">
            <w:pPr>
              <w:shd w:val="solid" w:color="FFFFFF" w:fill="FFFFFF"/>
              <w:spacing w:before="0" w:line="240" w:lineRule="atLeast"/>
            </w:pPr>
            <w:bookmarkStart w:id="1" w:name="ditulogo"/>
            <w:bookmarkEnd w:id="1"/>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4" w:name="ddate" w:colFirst="1" w:colLast="1"/>
            <w:bookmarkEnd w:id="3"/>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5" w:name="dorlang" w:colFirst="1" w:colLast="1"/>
            <w:bookmarkEnd w:id="4"/>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6" w:name="dsource" w:colFirst="0" w:colLast="0"/>
            <w:bookmarkEnd w:id="5"/>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7" w:name="drec" w:colFirst="0" w:colLast="0"/>
            <w:bookmarkEnd w:id="6"/>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8" w:name="dtitle1" w:colFirst="0" w:colLast="0"/>
            <w:bookmarkEnd w:id="7"/>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9" w:name="dbreak"/>
      <w:bookmarkEnd w:id="8"/>
      <w:bookmarkEnd w:id="9"/>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9" w:history="1">
        <w:r>
          <w:rPr>
            <w:color w:val="0000FF"/>
            <w:u w:val="single"/>
            <w:lang w:val="en-US"/>
          </w:rPr>
          <w:t>1A/92</w:t>
        </w:r>
      </w:hyperlink>
      <w:r>
        <w:rPr>
          <w:color w:val="0000FF"/>
          <w:u w:val="single"/>
        </w:rPr>
        <w:t>)</w:t>
      </w:r>
      <w:r>
        <w:rPr>
          <w:lang w:val="en-US"/>
        </w:rPr>
        <w:t> </w:t>
      </w:r>
      <w:r w:rsidRPr="005404F3">
        <w:rPr>
          <w:rFonts w:eastAsia="Batang"/>
          <w:lang w:eastAsia="zh-CN"/>
        </w:rPr>
        <w:t xml:space="preserve">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r>
        <w:rPr>
          <w:rFonts w:eastAsia="Batang"/>
          <w:lang w:val="en-US"/>
        </w:rPr>
        <w:t>and</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FF3717" w:rsidRDefault="00FF3717" w:rsidP="00DF2E91">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In ITU, the implementation of smart grid has become intrinsically linked to various wired and wireless technologies developed for a range of home networking purposes.  Smart grid services outside the home include Advanced Metering (AMI), Automated Meter Management (AMM), and Automated Meter reading (AMR).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10" w:name="_Toc214427373"/>
      <w:r w:rsidRPr="00C20ECE">
        <w:rPr>
          <w:rFonts w:eastAsia="Batang"/>
        </w:rPr>
        <w:lastRenderedPageBreak/>
        <w:t>2</w:t>
      </w:r>
      <w:r w:rsidRPr="00C20ECE">
        <w:rPr>
          <w:rFonts w:eastAsia="Batang"/>
        </w:rPr>
        <w:tab/>
        <w:t>Smart Grid features</w:t>
      </w:r>
      <w:bookmarkEnd w:id="10"/>
      <w:r w:rsidRPr="00C20ECE">
        <w:rPr>
          <w:rFonts w:eastAsia="Batang"/>
        </w:rPr>
        <w:t xml:space="preserve"> and characteristic</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10"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2"/>
      </w:r>
      <w:r w:rsidRPr="005404F3">
        <w:rPr>
          <w:rFonts w:eastAsia="Batang"/>
          <w:sz w:val="20"/>
          <w:vertAlign w:val="superscript"/>
        </w:rPr>
        <w: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3"/>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4"/>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5"/>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6"/>
      </w:r>
    </w:p>
    <w:p w:rsidR="00FF3717" w:rsidRPr="00C20ECE" w:rsidRDefault="00FF3717" w:rsidP="00C20ECE">
      <w:pPr>
        <w:pStyle w:val="Heading1"/>
        <w:rPr>
          <w:rFonts w:eastAsia="Batang"/>
        </w:rPr>
      </w:pPr>
      <w:bookmarkStart w:id="11" w:name="M441"/>
      <w:bookmarkStart w:id="12" w:name="MoU"/>
      <w:bookmarkStart w:id="13" w:name="_Toc214427374"/>
      <w:bookmarkEnd w:id="11"/>
      <w:bookmarkEnd w:id="12"/>
      <w:r w:rsidRPr="00C20ECE">
        <w:rPr>
          <w:rFonts w:eastAsia="Batang"/>
        </w:rPr>
        <w:t>3</w:t>
      </w:r>
      <w:r w:rsidRPr="00C20ECE">
        <w:rPr>
          <w:rFonts w:eastAsia="Batang"/>
        </w:rPr>
        <w:tab/>
        <w:t>Smart grid</w:t>
      </w:r>
      <w:bookmarkEnd w:id="13"/>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sz w:val="28"/>
          <w:lang w:val="en-US"/>
        </w:rPr>
      </w:pPr>
      <w:bookmarkStart w:id="14" w:name="M2MHyperlink"/>
      <w:bookmarkStart w:id="15" w:name="M2MFRA"/>
      <w:bookmarkStart w:id="16" w:name="M2MUseCases"/>
      <w:bookmarkStart w:id="17" w:name="M2MTR"/>
      <w:bookmarkStart w:id="18" w:name="_Toc214427375"/>
      <w:bookmarkEnd w:id="14"/>
      <w:bookmarkEnd w:id="15"/>
      <w:bookmarkEnd w:id="16"/>
      <w:bookmarkEnd w:id="17"/>
      <w:r>
        <w:rPr>
          <w:rFonts w:eastAsia="Batang"/>
          <w:lang w:val="en-US"/>
        </w:rPr>
        <w:br w:type="page"/>
      </w:r>
    </w:p>
    <w:p w:rsidR="00FF3717" w:rsidRPr="005404F3" w:rsidRDefault="00FF3717" w:rsidP="00DF2E91">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18"/>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7"/>
      </w:r>
      <w:r w:rsidRPr="005404F3">
        <w:rPr>
          <w:rFonts w:eastAsia="Batang"/>
          <w:lang w:val="en-US"/>
        </w:rPr>
        <w:t>, the International Energy Administration</w:t>
      </w:r>
      <w:r w:rsidRPr="005404F3">
        <w:rPr>
          <w:rFonts w:eastAsia="Batang"/>
          <w:position w:val="6"/>
          <w:sz w:val="18"/>
          <w:lang w:val="en-US"/>
        </w:rPr>
        <w:footnoteReference w:id="8"/>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9"/>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FF3717" w:rsidRPr="005404F3" w:rsidRDefault="00FF3717" w:rsidP="00DF2E91">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9" w:name="OLE_LINK3"/>
      <w:bookmarkStart w:id="20"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19"/>
      <w:bookmarkEnd w:id="20"/>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0"/>
      </w:r>
      <w:r w:rsidRPr="005404F3">
        <w:rPr>
          <w:rFonts w:eastAsia="MS Mincho"/>
          <w:color w:val="000000"/>
          <w:lang w:val="en-US" w:eastAsia="ja-JP"/>
        </w:rPr>
        <w:t>.</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FF3717" w:rsidRPr="005404F3" w:rsidRDefault="00FF3717" w:rsidP="00C20ECE">
      <w:pPr>
        <w:pStyle w:val="Heading2"/>
        <w:rPr>
          <w:rFonts w:eastAsia="Batang"/>
          <w:lang w:val="en-US"/>
        </w:rPr>
      </w:pPr>
      <w:r w:rsidRPr="005404F3">
        <w:rPr>
          <w:rFonts w:eastAsia="Batang"/>
          <w:lang w:val="en-US"/>
        </w:rPr>
        <w:lastRenderedPageBreak/>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analyse data from sensors distributed throughout the electric distribution network to indicate where performance is suffering. Distribution companies can maximize their maintenance programmes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1"/>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1" w:history="1">
        <w:r w:rsidRPr="005404F3">
          <w:rPr>
            <w:b/>
            <w:color w:val="0000FF"/>
            <w:szCs w:val="24"/>
            <w:u w:val="single"/>
          </w:rPr>
          <w:t>G.9955</w:t>
        </w:r>
      </w:hyperlink>
      <w:r w:rsidRPr="005404F3">
        <w:t xml:space="preserve"> designed specifically to support smart grid connectivity and communications. </w:t>
      </w:r>
    </w:p>
    <w:p w:rsidR="00FF3717" w:rsidRPr="005404F3" w:rsidRDefault="00FF3717" w:rsidP="00DF2E91">
      <w:r w:rsidRPr="005404F3">
        <w:t xml:space="preserve">The frequency ranges defined for NB-PLC in Recommendation ITU-T </w:t>
      </w:r>
      <w:hyperlink r:id="rId12"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2"/>
      </w:r>
      <w:r w:rsidRPr="005404F3">
        <w:t xml:space="preserve"> and CEPT</w:t>
      </w:r>
      <w:r w:rsidRPr="005404F3">
        <w:rPr>
          <w:position w:val="6"/>
          <w:sz w:val="18"/>
        </w:rPr>
        <w:footnoteReference w:id="13"/>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r>
        <w:br w:type="page"/>
      </w:r>
    </w:p>
    <w:p w:rsidR="00FF3717" w:rsidRPr="005404F3" w:rsidRDefault="00FF3717" w:rsidP="00A0782E">
      <w:pPr>
        <w:rPr>
          <w:color w:val="0000FF"/>
          <w:u w:val="single"/>
          <w:lang w:val="en-US"/>
        </w:rPr>
      </w:pPr>
      <w:r w:rsidRPr="005404F3">
        <w:lastRenderedPageBreak/>
        <w:t xml:space="preserve">The new frequency ranges used in the </w:t>
      </w:r>
      <w:r w:rsidRPr="00C20ECE">
        <w:rPr>
          <w:bCs/>
        </w:rPr>
        <w:t>G.9955</w:t>
      </w:r>
      <w:r w:rsidRPr="005404F3">
        <w:t xml:space="preserve"> standard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3"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4"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5404F3" w:rsidRDefault="00FF3717" w:rsidP="00DF2E91">
      <w:pPr>
        <w:rPr>
          <w:rFonts w:eastAsia="MS PGothic"/>
          <w:lang w:val="en-US" w:eastAsia="ja-JP"/>
        </w:rPr>
      </w:pPr>
      <w:r w:rsidRPr="005404F3">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5404F3" w:rsidRDefault="00FF3717" w:rsidP="00DF2E91">
      <w:r w:rsidRPr="005404F3">
        <w:rPr>
          <w:rFonts w:eastAsia="MS PGothic"/>
          <w:lang w:val="en-US" w:eastAsia="ja-JP"/>
        </w:rPr>
        <w:t>Recently, ITU-T has a</w:t>
      </w:r>
      <w:r w:rsidRPr="005404F3">
        <w:t xml:space="preserve">pproved Recommendation ITU-T </w:t>
      </w:r>
      <w:hyperlink r:id="rId15" w:history="1">
        <w:r w:rsidRPr="005404F3">
          <w:rPr>
            <w:b/>
            <w:color w:val="0000FF"/>
            <w:szCs w:val="24"/>
            <w:u w:val="single"/>
          </w:rPr>
          <w:t>G.9959</w:t>
        </w:r>
      </w:hyperlink>
      <w:r w:rsidRPr="005404F3">
        <w:t xml:space="preserve"> on narrow band Wireless LANs. The frequency bands for these are still the subject of discussion between ITU-R and ITU-T. </w:t>
      </w:r>
      <w:r>
        <w:br/>
      </w:r>
      <w:r w:rsidRPr="005404F3">
        <w:t xml:space="preserve">The original proposal was to make use of spot frequencies in the bands allocated for ISM applications (i.e., unlicensed bands), which requires careful consideration because these bands are freely available for a number of deregulated uses. </w:t>
      </w:r>
    </w:p>
    <w:p w:rsidR="00FF3717" w:rsidRPr="005404F3" w:rsidRDefault="00FF3717" w:rsidP="00DF2E91">
      <w:r w:rsidRPr="005404F3">
        <w:t>In addition to the spectrum management and compatibility considerations within the remit of ITU</w:t>
      </w:r>
      <w:r>
        <w:noBreakHyphen/>
      </w:r>
      <w:r w:rsidRPr="005404F3">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hyperlink r:id="rId16" w:history="1">
        <w:r w:rsidRPr="005404F3">
          <w:rPr>
            <w:color w:val="0000FF"/>
            <w:u w:val="single"/>
          </w:rPr>
          <w:t>Department of Energy and Climate Change</w:t>
        </w:r>
      </w:hyperlink>
      <w:r w:rsidRPr="005404F3">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p>
    <w:p w:rsidR="00FF3717" w:rsidRPr="005404F3" w:rsidRDefault="00FF3717" w:rsidP="00DF2E91">
      <w:r w:rsidRPr="005404F3">
        <w:t>Other wireless communication technologies that can contribute to smart grid requir</w:t>
      </w:r>
      <w:r>
        <w:t>e</w:t>
      </w:r>
      <w:r w:rsidRPr="005404F3">
        <w:t>ments are cellular telephone technologies and sound broadcasting.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w:t>
      </w:r>
      <w:r>
        <w:t>s</w:t>
      </w:r>
      <w:r w:rsidRPr="005404F3">
        <w:t>ting service in the United Kingdom.</w:t>
      </w:r>
    </w:p>
    <w:p w:rsidR="00FF3717" w:rsidRPr="00E84CF9" w:rsidRDefault="00FF3717" w:rsidP="00DF2E91">
      <w:pPr>
        <w:rPr>
          <w:rFonts w:eastAsia="Batang"/>
        </w:rPr>
      </w:pPr>
      <w:r w:rsidRPr="005404F3">
        <w:rPr>
          <w:rFonts w:eastAsia="MS PGothic"/>
          <w:lang w:val="en-US" w:eastAsia="ja-JP"/>
        </w:rPr>
        <w:t>The parallel activities on smart grid communication technologies in the ITU-R Sector come under the new ITU-R Study Group</w:t>
      </w:r>
      <w:r w:rsidRPr="005404F3">
        <w:rPr>
          <w:lang w:val="en-US"/>
        </w:rPr>
        <w:t> </w:t>
      </w:r>
      <w:r w:rsidRPr="005404F3">
        <w:rPr>
          <w:rFonts w:eastAsia="MS PGothic"/>
          <w:lang w:val="en-US" w:eastAsia="ja-JP"/>
        </w:rPr>
        <w:t>1 Que</w:t>
      </w:r>
      <w:r w:rsidRPr="005404F3">
        <w:t xml:space="preserve">stion ITU-R </w:t>
      </w:r>
      <w:r w:rsidRPr="005404F3">
        <w:rPr>
          <w:b/>
        </w:rPr>
        <w:t>236/1</w:t>
      </w:r>
      <w:r w:rsidRPr="005404F3">
        <w:t xml:space="preserve">, </w:t>
      </w:r>
      <w:r w:rsidRPr="005404F3">
        <w:rPr>
          <w:i/>
        </w:rPr>
        <w:t>“Impact on radiocommunication systems from wireless and wired data transmission technologies used for the support of power grid management systems”</w:t>
      </w:r>
      <w:r w:rsidRPr="005404F3">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lastRenderedPageBreak/>
        <w:t>6</w:t>
      </w:r>
      <w:r w:rsidRPr="005404F3">
        <w:rPr>
          <w:rFonts w:eastAsia="Batang"/>
          <w:lang w:val="en-US"/>
        </w:rPr>
        <w:tab/>
        <w:t>Data rates, bandwidths, frequency bands and spectrum requirements needed to support the needs of power grid management systems</w:t>
      </w:r>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t xml:space="preserve">Frequencies for smart metering </w:t>
      </w:r>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The following is an example list of bands used for AMR/AMI in some parts of the world.</w:t>
      </w:r>
    </w:p>
    <w:p w:rsidR="00FF3717" w:rsidRPr="005404F3" w:rsidRDefault="00FF3717" w:rsidP="00C20ECE">
      <w:pPr>
        <w:pStyle w:val="TableNo"/>
        <w:rPr>
          <w:rFonts w:eastAsia="Batang"/>
          <w:lang w:val="en-US"/>
        </w:rPr>
      </w:pPr>
      <w:r w:rsidRPr="005404F3">
        <w:rPr>
          <w:rFonts w:eastAsia="Batang"/>
          <w:lang w:val="en-US"/>
        </w:rPr>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{869}</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sidR="008544FF">
              <w:rPr>
                <w:rFonts w:eastAsia="Batang"/>
                <w:sz w:val="20"/>
                <w:lang w:val="en-US"/>
              </w:rPr>
              <w:tab/>
            </w:r>
            <w:r>
              <w:rPr>
                <w:rFonts w:eastAsia="Batang"/>
                <w:sz w:val="20"/>
                <w:lang w:val="en-US"/>
              </w:rPr>
              <w:t>The range 1452-1479.2 MHz is planned for use by terrestrial broadcasting according to the Ma02revCO07 agreement (registered in ITU as regional agreement) and by the Mobile service for supplemental downlink only according to relevant EC decision.</w:t>
            </w:r>
          </w:p>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sidR="008544FF">
              <w:rPr>
                <w:rFonts w:eastAsia="Batang"/>
                <w:sz w:val="20"/>
                <w:lang w:val="en-US"/>
              </w:rPr>
              <w:tab/>
            </w:r>
            <w:r>
              <w:rPr>
                <w:rFonts w:eastAsia="Batang"/>
                <w:sz w:val="20"/>
                <w:lang w:val="en-US"/>
              </w:rPr>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FF3717" w:rsidRPr="005A2F3E"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sidR="008544FF">
              <w:rPr>
                <w:rFonts w:eastAsia="Batang"/>
                <w:sz w:val="20"/>
                <w:lang w:val="en-US"/>
              </w:rPr>
              <w:tab/>
            </w:r>
            <w:r>
              <w:rPr>
                <w:rFonts w:eastAsia="Batang"/>
                <w:sz w:val="20"/>
                <w:lang w:val="en-US"/>
              </w:rPr>
              <w:t>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FF3717"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FF3717"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5 470-5 725</w:t>
            </w:r>
          </w:p>
        </w:tc>
        <w:tc>
          <w:tcPr>
            <w:tcW w:w="2281" w:type="dxa"/>
          </w:tcPr>
          <w:p w:rsidR="00FF3717"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bl>
    <w:p w:rsidR="00FF3717" w:rsidRDefault="00FF3717" w:rsidP="00DF2E91">
      <w:pPr>
        <w:pStyle w:val="Heading2"/>
        <w:rPr>
          <w:rFonts w:eastAsia="Batang"/>
          <w:lang w:val="en-US"/>
        </w:rPr>
      </w:pPr>
      <w:r w:rsidRPr="005404F3">
        <w:rPr>
          <w:rFonts w:eastAsia="Batang"/>
          <w:lang w:val="en-US" w:eastAsia="ko-KR"/>
        </w:rPr>
        <w:lastRenderedPageBreak/>
        <w:t>6</w:t>
      </w:r>
      <w:r>
        <w:rPr>
          <w:rFonts w:eastAsia="Batang"/>
          <w:lang w:val="en-US"/>
        </w:rPr>
        <w:t>.2</w:t>
      </w:r>
      <w:r w:rsidRPr="005404F3">
        <w:rPr>
          <w:rFonts w:eastAsia="Batang"/>
          <w:lang w:val="en-US"/>
        </w:rPr>
        <w:tab/>
      </w:r>
      <w:r>
        <w:rPr>
          <w:rFonts w:eastAsia="Batang"/>
          <w:lang w:val="en-US"/>
        </w:rPr>
        <w:t>First</w:t>
      </w:r>
      <w:r w:rsidRPr="005404F3">
        <w:rPr>
          <w:rFonts w:eastAsia="Batang"/>
          <w:lang w:val="en-US"/>
        </w:rPr>
        <w:t xml:space="preserve"> mile</w:t>
      </w:r>
    </w:p>
    <w:p w:rsidR="00FF3717" w:rsidRDefault="00FF3717" w:rsidP="00DF2E91">
      <w:pPr>
        <w:rPr>
          <w:rFonts w:eastAsia="Batang"/>
          <w:lang w:val="en-US"/>
        </w:rPr>
      </w:pPr>
      <w:r>
        <w:rPr>
          <w:rFonts w:eastAsia="Batang"/>
          <w:lang w:val="en-US"/>
        </w:rPr>
        <w:t>TBD</w:t>
      </w:r>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t>Middle mile</w:t>
      </w:r>
    </w:p>
    <w:p w:rsidR="00FF3717" w:rsidRPr="005404F3" w:rsidRDefault="00FF3717" w:rsidP="00DF2E91">
      <w:pPr>
        <w:rPr>
          <w:rFonts w:eastAsia="Batang"/>
          <w:lang w:val="en-US"/>
        </w:rPr>
      </w:pPr>
      <w:r w:rsidRPr="005404F3">
        <w:rPr>
          <w:rFonts w:eastAsia="Batang"/>
          <w:lang w:val="en-US"/>
        </w:rPr>
        <w:t>Where there are numerous collector points, it may be more efficient to use a point-to-multipoint architecture to link them to the backhaul network. This can be referred to as the middle mile. Some example characteristics of middle mile are as shown in Table 2.</w:t>
      </w:r>
    </w:p>
    <w:p w:rsidR="00FF3717" w:rsidRPr="005404F3" w:rsidRDefault="00FF3717" w:rsidP="00C20ECE">
      <w:pPr>
        <w:pStyle w:val="TableNo"/>
        <w:rPr>
          <w:rFonts w:eastAsia="Batang"/>
          <w:lang w:val="en-US"/>
        </w:rPr>
      </w:pPr>
      <w:r w:rsidRPr="005404F3">
        <w:rPr>
          <w:rFonts w:eastAsia="Batang"/>
          <w:lang w:val="en-US"/>
        </w:rPr>
        <w:t>Table 2</w:t>
      </w:r>
    </w:p>
    <w:p w:rsidR="00FF3717" w:rsidRPr="005404F3" w:rsidRDefault="00FF3717" w:rsidP="00C20ECE">
      <w:pPr>
        <w:pStyle w:val="Tabletitle"/>
        <w:rPr>
          <w:rFonts w:eastAsia="Batang"/>
          <w:lang w:val="en-US"/>
        </w:rPr>
      </w:pPr>
      <w:r w:rsidRPr="005404F3">
        <w:rPr>
          <w:rFonts w:eastAsia="Batang"/>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FF3717" w:rsidRPr="005404F3" w:rsidTr="008544FF">
        <w:trPr>
          <w:jc w:val="center"/>
        </w:trPr>
        <w:tc>
          <w:tcPr>
            <w:tcW w:w="4098" w:type="dxa"/>
            <w:vAlign w:val="center"/>
          </w:tcPr>
          <w:p w:rsidR="00FF3717" w:rsidRPr="005404F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band</w:t>
            </w:r>
            <w:r w:rsidRPr="005404F3">
              <w:rPr>
                <w:rFonts w:ascii="Times New Roman Bold" w:eastAsia="Batang" w:hAnsi="Times New Roman Bold"/>
                <w:b/>
                <w:sz w:val="20"/>
                <w:lang w:val="en-US"/>
              </w:rPr>
              <w:br/>
              <w:t>(MHz)</w:t>
            </w:r>
          </w:p>
        </w:tc>
        <w:tc>
          <w:tcPr>
            <w:tcW w:w="3246" w:type="dxa"/>
            <w:vAlign w:val="center"/>
          </w:tcPr>
          <w:p w:rsidR="00FF3717" w:rsidRPr="005404F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bCs/>
                <w:sz w:val="20"/>
                <w:lang w:val="en-US" w:eastAsia="ja-JP"/>
              </w:rPr>
            </w:pPr>
            <w:r w:rsidRPr="005404F3">
              <w:rPr>
                <w:rFonts w:ascii="Times New Roman Bold" w:eastAsia="Batang" w:hAnsi="Times New Roman Bold"/>
                <w:b/>
                <w:bCs/>
                <w:sz w:val="20"/>
                <w:lang w:val="en-US" w:eastAsia="ja-JP"/>
              </w:rPr>
              <w:t>1 800-1 830</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Architecture</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Point-to-point/point-to-multipoint</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Modulation</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QPSK/16-QAM/64 QAM</w:t>
            </w:r>
            <w:r w:rsidRPr="005404F3">
              <w:rPr>
                <w:rFonts w:eastAsia="Batang"/>
                <w:sz w:val="20"/>
                <w:vertAlign w:val="superscript"/>
                <w:lang w:val="en-US"/>
              </w:rPr>
              <w:t>[1]</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Channel spacing (MHz)</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3.5 MHz/5 MHz</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rFonts w:eastAsia="Batang"/>
                <w:sz w:val="20"/>
                <w:lang w:val="en-US"/>
              </w:rPr>
            </w:pPr>
            <w:r w:rsidRPr="005404F3">
              <w:rPr>
                <w:rFonts w:eastAsia="Batang"/>
                <w:sz w:val="20"/>
                <w:lang w:val="en-US"/>
              </w:rPr>
              <w:t>Maximum Rx antenna gain (dBi)</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11 dBi</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Feeder/multiplexer loss (minimum) (dB)</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dB</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Antenna type (Tx and Rx)</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Omni/sectoral</w:t>
            </w:r>
            <w:r w:rsidRPr="005404F3">
              <w:rPr>
                <w:rFonts w:eastAsia="Batang"/>
                <w:sz w:val="20"/>
                <w:lang w:val="en-US"/>
              </w:rPr>
              <w:br/>
              <w:t>Terminal: flat panel</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eastAsia="ja-JP"/>
              </w:rPr>
            </w:pPr>
            <w:r w:rsidRPr="005404F3">
              <w:rPr>
                <w:rFonts w:eastAsia="Batang"/>
                <w:sz w:val="20"/>
                <w:lang w:val="en-US"/>
              </w:rPr>
              <w:t>Maximum Tx output power (</w:t>
            </w:r>
            <w:r w:rsidRPr="005404F3">
              <w:rPr>
                <w:rFonts w:eastAsia="Batang"/>
                <w:sz w:val="20"/>
                <w:lang w:val="en-US" w:eastAsia="ja-JP"/>
              </w:rPr>
              <w:t>dBW)</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Watts in any 1 MHz</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vertAlign w:val="superscript"/>
                <w:lang w:val="en-US" w:eastAsia="ja-JP"/>
              </w:rPr>
            </w:pPr>
            <w:r w:rsidRPr="005404F3">
              <w:rPr>
                <w:rFonts w:eastAsia="Batang"/>
                <w:sz w:val="20"/>
                <w:lang w:val="en-US"/>
              </w:rPr>
              <w:t>e.i.r.p. (maximum) (dBW)</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+55 dBW per RF channel</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Receiver noise figure (dB)</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w:t>
            </w:r>
          </w:p>
        </w:tc>
      </w:tr>
      <w:tr w:rsidR="00FF3717" w:rsidRPr="005404F3" w:rsidTr="00C20ECE">
        <w:trPr>
          <w:jc w:val="center"/>
        </w:trPr>
        <w:tc>
          <w:tcPr>
            <w:tcW w:w="7344" w:type="dxa"/>
            <w:gridSpan w:val="2"/>
            <w:tcBorders>
              <w:left w:val="nil"/>
              <w:bottom w:val="nil"/>
              <w:right w:val="nil"/>
            </w:tcBorders>
          </w:tcPr>
          <w:p w:rsidR="00FF3717" w:rsidRPr="005404F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Batang"/>
                <w:sz w:val="20"/>
                <w:lang w:val="en-US"/>
              </w:rPr>
            </w:pPr>
            <w:r w:rsidRPr="005404F3">
              <w:rPr>
                <w:rFonts w:eastAsia="Batang"/>
                <w:sz w:val="20"/>
                <w:lang w:val="en-US"/>
              </w:rPr>
              <w:t>Note [1]: Adaptive</w:t>
            </w:r>
          </w:p>
        </w:tc>
      </w:tr>
    </w:tbl>
    <w:p w:rsidR="00FF3717" w:rsidRPr="005404F3" w:rsidRDefault="00FF3717" w:rsidP="00C20ECE">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t>Backhaul</w:t>
      </w:r>
    </w:p>
    <w:p w:rsidR="00FF3717" w:rsidRPr="005404F3" w:rsidRDefault="00FF3717" w:rsidP="00DF2E91">
      <w:pPr>
        <w:rPr>
          <w:rFonts w:eastAsia="Batang"/>
          <w:b/>
          <w:bCs/>
          <w:lang w:val="en-US"/>
        </w:rPr>
      </w:pPr>
      <w:r w:rsidRPr="005404F3">
        <w:rPr>
          <w:rFonts w:eastAsia="Batang"/>
          <w:lang w:val="en-US"/>
        </w:rPr>
        <w:t>Wireless backhaul can make use of any fixed point-to-point frequency band.</w:t>
      </w:r>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Interference considerations associated with the implementation of wired and wireless data transmission technologies used for the support of 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Regulators such as the Federal Communications Commission and UK OfCom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b/>
          <w:bCs/>
        </w:rPr>
      </w:pPr>
      <w:r>
        <w:rPr>
          <w:lang w:eastAsia="ja-JP"/>
        </w:rPr>
        <w:lastRenderedPageBreak/>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Existing regulations by regulators such as the Federal Communications Commission and UK OfCom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Technical and operating features of IEEE Std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1103"/>
        <w:gridCol w:w="2019"/>
        <w:gridCol w:w="2019"/>
        <w:gridCol w:w="1103"/>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4"/>
            </w:r>
          </w:p>
        </w:tc>
        <w:tc>
          <w:tcPr>
            <w:tcW w:w="0" w:type="auto"/>
            <w:vAlign w:val="center"/>
          </w:tcPr>
          <w:p w:rsidR="00FF3717" w:rsidRDefault="00FF3717" w:rsidP="008544FF">
            <w:pPr>
              <w:pStyle w:val="Tablehead"/>
            </w:pPr>
            <w:r>
              <w:t>Model 2</w:t>
            </w:r>
            <w:r>
              <w:rPr>
                <w:rStyle w:val="FootnoteReference"/>
              </w:rPr>
              <w:footnoteReference w:id="15"/>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w:t>
      </w:r>
      <w:r w:rsidR="00C718F4">
        <w:t xml:space="preserve"> </w:t>
      </w:r>
      <w:r>
        <w:t>2</w:t>
      </w:r>
    </w:p>
    <w:p w:rsidR="00FF3717" w:rsidRDefault="00FF3717" w:rsidP="00D146F4">
      <w:pPr>
        <w:pStyle w:val="Tabletitle"/>
      </w:pPr>
      <w:r>
        <w:t>Technical and operating features of IEEE Std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6"/>
        <w:gridCol w:w="6059"/>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w:t>
      </w:r>
      <w:r w:rsidR="00412D09">
        <w:t xml:space="preserve"> </w:t>
      </w:r>
      <w:r>
        <w:t>3</w:t>
      </w:r>
    </w:p>
    <w:p w:rsidR="00FF3717" w:rsidRDefault="00FF3717" w:rsidP="00D146F4">
      <w:pPr>
        <w:pStyle w:val="Tabletitle"/>
      </w:pPr>
      <w:r>
        <w:t>Characteristics of IEEE Std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5"/>
        <w:gridCol w:w="6720"/>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w:t>
            </w:r>
            <w:r w:rsidR="008544FF">
              <w:rPr>
                <w:sz w:val="20"/>
              </w:rPr>
              <w:t xml:space="preserve"> </w:t>
            </w:r>
            <w:r w:rsidRPr="00D146F4">
              <w:rPr>
                <w:sz w:val="20"/>
              </w:rPr>
              <w:t>MHz and 6</w:t>
            </w:r>
            <w:r w:rsidR="008544FF">
              <w:rPr>
                <w:sz w:val="20"/>
              </w:rPr>
              <w:t xml:space="preserve"> </w:t>
            </w:r>
            <w:r w:rsidRPr="00D146F4">
              <w:rPr>
                <w:sz w:val="20"/>
              </w:rPr>
              <w:t>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Tx BS Antenna (10 MHz BW). </w:t>
            </w:r>
            <w:r w:rsidR="008544FF">
              <w:rPr>
                <w:sz w:val="20"/>
              </w:rPr>
              <w:br/>
            </w:r>
            <w:r w:rsidRPr="00D146F4">
              <w:rPr>
                <w:sz w:val="20"/>
              </w:rPr>
              <w:t>69.2 UL / 120DL Mbps with 2 Tx BS Antennas (10 MHz BW)</w:t>
            </w:r>
            <w:r w:rsidRPr="00D146F4">
              <w:rPr>
                <w:sz w:val="20"/>
              </w:rPr>
              <w:br/>
            </w:r>
          </w:p>
          <w:p w:rsidR="00FF3717" w:rsidRPr="00D146F4" w:rsidRDefault="00FF3717" w:rsidP="008544FF">
            <w:pPr>
              <w:pStyle w:val="CellBody"/>
              <w:rPr>
                <w:sz w:val="20"/>
              </w:rPr>
            </w:pPr>
            <w:r w:rsidRPr="00D146F4">
              <w:rPr>
                <w:sz w:val="20"/>
              </w:rPr>
              <w:t>802.16.1-2012: 66.7UL / 120DL Mbps with 2 Tx BS Antenna (10 MHz BW), 137UL / 240DL Mbps with 4 Tx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w:t>
            </w:r>
            <w:r w:rsidR="008544FF">
              <w:rPr>
                <w:sz w:val="20"/>
              </w:rPr>
              <w:t xml:space="preserve"> </w:t>
            </w:r>
            <w:r w:rsidRPr="00D146F4">
              <w:rPr>
                <w:sz w:val="20"/>
              </w:rPr>
              <w:t>M</w:t>
            </w:r>
            <w:r w:rsidR="008544FF" w:rsidRPr="00D146F4">
              <w:rPr>
                <w:sz w:val="20"/>
              </w:rPr>
              <w:t>H</w:t>
            </w:r>
            <w:r w:rsidRPr="00D146F4">
              <w:rPr>
                <w:sz w:val="20"/>
              </w:rPr>
              <w:t>z to 10</w:t>
            </w:r>
            <w:r w:rsidR="008544FF">
              <w:rPr>
                <w:sz w:val="20"/>
              </w:rPr>
              <w:t xml:space="preserve"> </w:t>
            </w:r>
            <w:r w:rsidRPr="00D146F4">
              <w:rPr>
                <w:sz w:val="20"/>
              </w:rPr>
              <w:t>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 Point to Point, Multihop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Coordinated contention followed by connection oriented QoS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Technical and operating features of IEEE Std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7102"/>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 xml:space="preserve">The 625k-MC mode defines the three QoS classes. that implement IETF’s Diffserv model: Expedited Forwarding (EF), Assured Forwarding (AF) and Best effort (BE) Per Hop Behaviors based on the DiffServ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Technical and operating features of IEEE Std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5"/>
        <w:gridCol w:w="6420"/>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Geolocation</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48 bit unique device identifier, X.509 certificate</w:t>
            </w:r>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 xml:space="preserve">In the United States and Canada, government agencies have recognized the real-time,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16"/>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7"/>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18"/>
      </w:r>
    </w:p>
    <w:p w:rsidR="00FF3717" w:rsidRPr="005404F3" w:rsidRDefault="00FF3717" w:rsidP="00DF2E91">
      <w:pPr>
        <w:rPr>
          <w:rFonts w:eastAsia="Batang"/>
          <w:lang w:val="en-US"/>
        </w:rPr>
      </w:pPr>
      <w:r w:rsidRPr="005404F3">
        <w:rPr>
          <w:rFonts w:eastAsia="Batang"/>
          <w:lang w:val="en-US"/>
        </w:rPr>
        <w:t>The Department goes on to say that “[h]igh-speed, fully integrated, two-way communications technologies will allow much-needed real-time information and power exchange”</w:t>
      </w:r>
      <w:r w:rsidRPr="005404F3">
        <w:rPr>
          <w:rFonts w:eastAsia="Batang"/>
          <w:position w:val="6"/>
          <w:sz w:val="18"/>
          <w:lang w:val="en-US"/>
        </w:rPr>
        <w:footnoteReference w:id="19"/>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t>Similar emphasis on advanced communications functionality has been put forth by state authorities</w:t>
      </w:r>
      <w:r w:rsidRPr="005404F3">
        <w:rPr>
          <w:rFonts w:eastAsia="Batang"/>
          <w:position w:val="6"/>
          <w:sz w:val="18"/>
          <w:lang w:val="en-US"/>
        </w:rPr>
        <w:footnoteReference w:id="20"/>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1"/>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2"/>
      </w:r>
      <w:r w:rsidR="008544FF">
        <w:rPr>
          <w:rFonts w:eastAsia="Batang"/>
          <w:b/>
          <w:lang w:val="en-US"/>
        </w:rPr>
        <w:t xml:space="preserve"> </w:t>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3"/>
      </w:r>
      <w:r w:rsidRPr="005404F3">
        <w:rPr>
          <w:rFonts w:eastAsia="Batang"/>
          <w:lang w:val="en-US"/>
        </w:rPr>
        <w:t>advocates that</w:t>
      </w:r>
      <w:r>
        <w:rPr>
          <w:rFonts w:eastAsia="Batang"/>
          <w:lang w:val="en-US"/>
        </w:rPr>
        <w:t xml:space="preserve"> </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smart metres and grids</w:t>
      </w:r>
      <w:r w:rsidRPr="005404F3">
        <w:rPr>
          <w:rFonts w:eastAsia="Batang"/>
          <w:i/>
          <w:iCs/>
          <w:lang w:val="en-US"/>
        </w:rPr>
        <w:t>, shall promote energy efficiency behaviour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4"/>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25"/>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6"/>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27"/>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28"/>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rsidR="00FF3717" w:rsidRPr="005404F3" w:rsidRDefault="00FF3717" w:rsidP="00DF2E91">
      <w:pPr>
        <w:rPr>
          <w:rFonts w:eastAsia="Batang"/>
          <w:lang w:val="en-US"/>
        </w:rPr>
      </w:pPr>
      <w:r w:rsidRPr="005404F3">
        <w:rPr>
          <w:rFonts w:eastAsia="Batang"/>
          <w:lang w:val="en-US"/>
        </w:rPr>
        <w:t>The average annual budget dedicated to energy research (EC and Euratom) will be €886 million, compared to €574 million in the previous programmes</w:t>
      </w:r>
      <w:r w:rsidRPr="005404F3">
        <w:rPr>
          <w:rFonts w:eastAsia="Batang"/>
          <w:position w:val="6"/>
          <w:sz w:val="18"/>
          <w:lang w:val="en-US"/>
        </w:rPr>
        <w:footnoteReference w:id="29"/>
      </w:r>
      <w:r w:rsidRPr="005404F3">
        <w:rPr>
          <w:rFonts w:eastAsia="Batang"/>
          <w:lang w:val="en-US"/>
        </w:rPr>
        <w:t>. The average annual budget dedicated to the Intelligent Energy Europe Programme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t>The EII on electricity grids is expected to focus on the development of the smart electricity system, including storage, and on the creation of a European Centre to implement a research programme for the European transmission network</w:t>
      </w:r>
      <w:r w:rsidRPr="005404F3">
        <w:rPr>
          <w:rFonts w:eastAsia="Batang"/>
          <w:position w:val="6"/>
          <w:sz w:val="18"/>
          <w:lang w:val="en-US"/>
        </w:rPr>
        <w:footnoteReference w:id="30"/>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1"/>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2"/>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To force the pace on the innovative development needed and to broaden the impact of the results, the E-Energy programme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t>The programme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eTelligence,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MeRegio</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Model city of Mannheim in the model region of Rhein-Neckar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RegModHarz</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3"/>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r w:rsidRPr="005404F3">
        <w:rPr>
          <w:rFonts w:eastAsia="Batang"/>
          <w:lang w:eastAsia="ko-KR"/>
        </w:rPr>
        <w:t>Jeju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FC115F">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FB" w:rsidRDefault="00746BFB">
      <w:r>
        <w:separator/>
      </w:r>
    </w:p>
  </w:endnote>
  <w:endnote w:type="continuationSeparator" w:id="0">
    <w:p w:rsidR="00746BFB" w:rsidRDefault="0074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Hindi">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9F" w:rsidRPr="0011589F" w:rsidRDefault="00746BFB" w:rsidP="0011589F">
    <w:pPr>
      <w:pStyle w:val="Footer"/>
    </w:pPr>
    <w:r>
      <w:fldChar w:fldCharType="begin"/>
    </w:r>
    <w:r>
      <w:instrText xml:space="preserve"> FILENAME  \p  \* MERGEFORMAT </w:instrText>
    </w:r>
    <w:r>
      <w:fldChar w:fldCharType="separate"/>
    </w:r>
    <w:r w:rsidR="00BD39EA">
      <w:t>M:\BRSGD\TEXT2013\SG01\WP1A\100\105\105N01e.docx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9F" w:rsidRPr="0011589F" w:rsidRDefault="00746BFB" w:rsidP="0011589F">
    <w:pPr>
      <w:pStyle w:val="Footer"/>
    </w:pPr>
    <w:r>
      <w:fldChar w:fldCharType="begin"/>
    </w:r>
    <w:r>
      <w:instrText xml:space="preserve"> FILENAME  \p  \* MERGEFORMAT </w:instrText>
    </w:r>
    <w:r>
      <w:fldChar w:fldCharType="separate"/>
    </w:r>
    <w:r w:rsidR="00BD39EA">
      <w:t>M:\BRSGD\TEXT2013\SG01\WP1A\100\105\105N01e.docx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FB" w:rsidRDefault="00746BFB">
      <w:r>
        <w:t>____________________</w:t>
      </w:r>
    </w:p>
  </w:footnote>
  <w:footnote w:type="continuationSeparator" w:id="0">
    <w:p w:rsidR="00746BFB" w:rsidRDefault="00746BFB">
      <w:r>
        <w:continuationSeparator/>
      </w:r>
    </w:p>
  </w:footnote>
  <w:footnote w:id="1">
    <w:p w:rsidR="0011589F" w:rsidRDefault="0011589F" w:rsidP="00DF2E91">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rsidR="0011589F" w:rsidRDefault="0011589F"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3">
    <w:p w:rsidR="0011589F" w:rsidRDefault="0011589F" w:rsidP="00DF2E91">
      <w:pPr>
        <w:pStyle w:val="FootnoteText"/>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4">
    <w:p w:rsidR="0011589F" w:rsidRDefault="0011589F"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5">
    <w:p w:rsidR="0011589F" w:rsidRDefault="0011589F"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6">
    <w:p w:rsidR="0011589F" w:rsidRDefault="0011589F" w:rsidP="00DF2E91">
      <w:pPr>
        <w:pStyle w:val="FootnoteText"/>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7">
    <w:p w:rsidR="0011589F" w:rsidRDefault="0011589F"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8">
    <w:p w:rsidR="0011589F" w:rsidRDefault="0011589F" w:rsidP="00DF2E91">
      <w:pPr>
        <w:pStyle w:val="FootnoteText"/>
        <w:spacing w:before="80"/>
      </w:pPr>
      <w:r>
        <w:rPr>
          <w:rStyle w:val="FootnoteReference"/>
        </w:rPr>
        <w:footnoteRef/>
      </w:r>
      <w:r>
        <w:tab/>
      </w:r>
      <w:r w:rsidRPr="00625514">
        <w:rPr>
          <w:szCs w:val="24"/>
        </w:rPr>
        <w:t>International Energy Agency, Energy Technology Prospectives, 2008 at 179.</w:t>
      </w:r>
    </w:p>
  </w:footnote>
  <w:footnote w:id="9">
    <w:p w:rsidR="0011589F" w:rsidRDefault="0011589F"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0">
    <w:p w:rsidR="0011589F" w:rsidRDefault="0011589F" w:rsidP="00DF2E91">
      <w:pPr>
        <w:pStyle w:val="FootnoteText"/>
        <w:tabs>
          <w:tab w:val="left" w:pos="3000"/>
        </w:tabs>
      </w:pPr>
      <w:r>
        <w:rPr>
          <w:rStyle w:val="FootnoteReference"/>
        </w:rPr>
        <w:footnoteRef/>
      </w:r>
      <w:r>
        <w:tab/>
      </w:r>
      <w:r w:rsidRPr="00625514">
        <w:rPr>
          <w:rFonts w:eastAsia="MS Mincho"/>
          <w:szCs w:val="24"/>
        </w:rPr>
        <w:t>California Energy Commission on the Value of Distribution Automation, California Energy Commission Public Interest Energy Research Final Project Report at 95 (Apr. 2007) (CEC Report).</w:t>
      </w:r>
    </w:p>
  </w:footnote>
  <w:footnote w:id="11">
    <w:p w:rsidR="0011589F" w:rsidRDefault="0011589F" w:rsidP="00DF2E91">
      <w:pPr>
        <w:pStyle w:val="FootnoteText"/>
      </w:pPr>
      <w:r>
        <w:rPr>
          <w:rStyle w:val="FootnoteReference"/>
        </w:rPr>
        <w:footnoteRef/>
      </w:r>
      <w:r w:rsidR="00412D09">
        <w:rPr>
          <w:szCs w:val="24"/>
        </w:rPr>
        <w:tab/>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2">
    <w:p w:rsidR="0011589F" w:rsidRDefault="0011589F" w:rsidP="00DF2E91">
      <w:pPr>
        <w:pStyle w:val="FootnoteText"/>
      </w:pPr>
      <w:r>
        <w:rPr>
          <w:rStyle w:val="FootnoteReference"/>
        </w:rPr>
        <w:footnoteRef/>
      </w:r>
      <w:r>
        <w:tab/>
      </w:r>
      <w:hyperlink r:id="rId9" w:history="1">
        <w:r w:rsidRPr="00625514">
          <w:rPr>
            <w:rStyle w:val="Hyperlink"/>
            <w:szCs w:val="24"/>
          </w:rPr>
          <w:t>European Committee for Electrotechnical Standardization</w:t>
        </w:r>
      </w:hyperlink>
      <w:r w:rsidRPr="00625514">
        <w:rPr>
          <w:rStyle w:val="Hyperlink"/>
          <w:szCs w:val="24"/>
          <w:u w:val="none"/>
        </w:rPr>
        <w:t>.</w:t>
      </w:r>
    </w:p>
  </w:footnote>
  <w:footnote w:id="13">
    <w:p w:rsidR="0011589F" w:rsidRDefault="0011589F" w:rsidP="00DF2E91">
      <w:pPr>
        <w:pStyle w:val="FootnoteText"/>
      </w:pPr>
      <w:r>
        <w:rPr>
          <w:rStyle w:val="FootnoteReference"/>
        </w:rPr>
        <w:footnoteRef/>
      </w:r>
      <w:r>
        <w:tab/>
      </w:r>
      <w:hyperlink r:id="rId10" w:history="1">
        <w:r w:rsidRPr="00625514">
          <w:rPr>
            <w:rStyle w:val="Hyperlink"/>
            <w:szCs w:val="24"/>
          </w:rPr>
          <w:t>European Conference of Postal and Telecommunications Administrations</w:t>
        </w:r>
      </w:hyperlink>
      <w:r w:rsidRPr="00625514">
        <w:rPr>
          <w:rStyle w:val="Hyperlink"/>
          <w:szCs w:val="24"/>
          <w:u w:val="none"/>
        </w:rPr>
        <w:t>.</w:t>
      </w:r>
    </w:p>
  </w:footnote>
  <w:footnote w:id="14">
    <w:p w:rsidR="0011589F" w:rsidRDefault="0011589F" w:rsidP="00DF2E91">
      <w:pPr>
        <w:pStyle w:val="FootnoteText"/>
      </w:pPr>
      <w:r>
        <w:rPr>
          <w:rStyle w:val="FootnoteReference"/>
        </w:rPr>
        <w:footnoteRef/>
      </w:r>
      <w:r>
        <w:t xml:space="preserve"> </w:t>
      </w:r>
      <w:r>
        <w:rPr>
          <w:lang w:val="en-US"/>
        </w:rPr>
        <w:t>Model 1 is family description + indoor model</w:t>
      </w:r>
      <w:r w:rsidR="008544FF">
        <w:rPr>
          <w:lang w:val="en-US"/>
        </w:rPr>
        <w:t>.</w:t>
      </w:r>
    </w:p>
  </w:footnote>
  <w:footnote w:id="15">
    <w:p w:rsidR="0011589F" w:rsidRDefault="0011589F" w:rsidP="00DF2E91">
      <w:pPr>
        <w:pStyle w:val="FootnoteText"/>
      </w:pPr>
      <w:r>
        <w:rPr>
          <w:rStyle w:val="FootnoteReference"/>
        </w:rPr>
        <w:footnoteRef/>
      </w:r>
      <w:r>
        <w:t xml:space="preserve"> </w:t>
      </w:r>
      <w:r>
        <w:rPr>
          <w:lang w:val="en-US"/>
        </w:rPr>
        <w:t>Model 2 is specific operating model + outdoor model</w:t>
      </w:r>
      <w:r w:rsidR="008544FF">
        <w:rPr>
          <w:lang w:val="en-US"/>
        </w:rPr>
        <w:t>.</w:t>
      </w:r>
    </w:p>
  </w:footnote>
  <w:footnote w:id="16">
    <w:p w:rsidR="0011589F" w:rsidRDefault="0011589F"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17">
    <w:p w:rsidR="0011589F" w:rsidRDefault="0011589F"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18">
    <w:p w:rsidR="0011589F" w:rsidRDefault="0011589F"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19">
    <w:p w:rsidR="0011589F" w:rsidRDefault="0011589F" w:rsidP="00DF2E91">
      <w:pPr>
        <w:pStyle w:val="FootnoteText"/>
      </w:pPr>
      <w:r w:rsidRPr="001622E8">
        <w:rPr>
          <w:rStyle w:val="FootnoteReference"/>
          <w:szCs w:val="18"/>
        </w:rPr>
        <w:footnoteRef/>
      </w:r>
      <w:r>
        <w:tab/>
      </w:r>
      <w:r w:rsidRPr="00D3185E">
        <w:rPr>
          <w:rFonts w:ascii="Times" w:hAnsi="Times"/>
          <w:i/>
        </w:rPr>
        <w:t>Id.</w:t>
      </w:r>
    </w:p>
  </w:footnote>
  <w:footnote w:id="20">
    <w:p w:rsidR="0011589F" w:rsidRDefault="0011589F" w:rsidP="00DF2E91">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 xml:space="preserve">California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1">
    <w:p w:rsidR="0011589F" w:rsidRDefault="0011589F" w:rsidP="00DF2E91">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r w:rsidRPr="00D3185E">
        <w:rPr>
          <w:i/>
        </w:rPr>
        <w:t>Id</w:t>
      </w:r>
      <w:r w:rsidRPr="00D3185E">
        <w:t>. at 35.</w:t>
      </w:r>
    </w:p>
  </w:footnote>
  <w:footnote w:id="22">
    <w:p w:rsidR="0011589F" w:rsidRDefault="0011589F" w:rsidP="00DF2E91">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3">
    <w:p w:rsidR="0011589F" w:rsidRDefault="0011589F" w:rsidP="00DF2E91">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4">
    <w:p w:rsidR="0011589F" w:rsidRDefault="0011589F" w:rsidP="00DF2E91">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5">
    <w:p w:rsidR="0011589F" w:rsidRDefault="0011589F" w:rsidP="00DF2E91">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6">
    <w:p w:rsidR="0011589F" w:rsidRDefault="0011589F" w:rsidP="00DF2E91">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27">
    <w:p w:rsidR="0011589F" w:rsidRDefault="0011589F"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008544FF">
        <w:t xml:space="preserve"> </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28">
    <w:p w:rsidR="0011589F" w:rsidRDefault="0011589F"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29">
    <w:p w:rsidR="0011589F" w:rsidRDefault="0011589F"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0">
    <w:p w:rsidR="0011589F" w:rsidRDefault="0011589F"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1">
    <w:p w:rsidR="0011589F" w:rsidRDefault="0011589F"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2">
    <w:p w:rsidR="0011589F" w:rsidRDefault="0011589F"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3">
    <w:p w:rsidR="0011589F" w:rsidRDefault="0011589F" w:rsidP="00DF2E91">
      <w:pPr>
        <w:pStyle w:val="FootnoteText"/>
      </w:pPr>
      <w:r w:rsidRPr="00F85624">
        <w:rPr>
          <w:rStyle w:val="FootnoteReference"/>
        </w:rPr>
        <w:footnoteRef/>
      </w:r>
      <w:r w:rsidRPr="00F85624">
        <w:t xml:space="preserve"> </w:t>
      </w:r>
      <w:hyperlink r:id="rId19"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9F" w:rsidRDefault="0011589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64E5C">
      <w:rPr>
        <w:rStyle w:val="PageNumber"/>
        <w:noProof/>
      </w:rPr>
      <w:t>13</w:t>
    </w:r>
    <w:r>
      <w:rPr>
        <w:rStyle w:val="PageNumber"/>
      </w:rPr>
      <w:fldChar w:fldCharType="end"/>
    </w:r>
    <w:r>
      <w:rPr>
        <w:rStyle w:val="PageNumber"/>
      </w:rPr>
      <w:t xml:space="preserve"> -</w:t>
    </w:r>
  </w:p>
  <w:p w:rsidR="0011589F" w:rsidRDefault="0011589F" w:rsidP="00FC052B">
    <w:pPr>
      <w:pStyle w:val="Header"/>
      <w:rPr>
        <w:lang w:val="en-US"/>
      </w:rPr>
    </w:pPr>
    <w:r>
      <w:rPr>
        <w:lang w:val="en-US"/>
      </w:rPr>
      <w:t>1A/105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0">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1">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8">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39">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0">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9"/>
  </w:num>
  <w:num w:numId="3">
    <w:abstractNumId w:val="36"/>
  </w:num>
  <w:num w:numId="4">
    <w:abstractNumId w:val="31"/>
  </w:num>
  <w:num w:numId="5">
    <w:abstractNumId w:val="41"/>
  </w:num>
  <w:num w:numId="6">
    <w:abstractNumId w:val="14"/>
  </w:num>
  <w:num w:numId="7">
    <w:abstractNumId w:val="2"/>
  </w:num>
  <w:num w:numId="8">
    <w:abstractNumId w:val="21"/>
  </w:num>
  <w:num w:numId="9">
    <w:abstractNumId w:val="7"/>
  </w:num>
  <w:num w:numId="10">
    <w:abstractNumId w:val="30"/>
  </w:num>
  <w:num w:numId="11">
    <w:abstractNumId w:val="3"/>
  </w:num>
  <w:num w:numId="12">
    <w:abstractNumId w:val="18"/>
  </w:num>
  <w:num w:numId="13">
    <w:abstractNumId w:val="16"/>
  </w:num>
  <w:num w:numId="14">
    <w:abstractNumId w:val="37"/>
  </w:num>
  <w:num w:numId="15">
    <w:abstractNumId w:val="11"/>
  </w:num>
  <w:num w:numId="16">
    <w:abstractNumId w:val="35"/>
  </w:num>
  <w:num w:numId="17">
    <w:abstractNumId w:val="19"/>
  </w:num>
  <w:num w:numId="18">
    <w:abstractNumId w:val="22"/>
  </w:num>
  <w:num w:numId="19">
    <w:abstractNumId w:val="10"/>
  </w:num>
  <w:num w:numId="20">
    <w:abstractNumId w:val="38"/>
  </w:num>
  <w:num w:numId="21">
    <w:abstractNumId w:val="29"/>
  </w:num>
  <w:num w:numId="22">
    <w:abstractNumId w:val="33"/>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0"/>
  </w:num>
  <w:num w:numId="30">
    <w:abstractNumId w:val="8"/>
  </w:num>
  <w:num w:numId="31">
    <w:abstractNumId w:val="34"/>
  </w:num>
  <w:num w:numId="32">
    <w:abstractNumId w:val="26"/>
  </w:num>
  <w:num w:numId="33">
    <w:abstractNumId w:val="28"/>
  </w:num>
  <w:num w:numId="34">
    <w:abstractNumId w:val="24"/>
  </w:num>
  <w:num w:numId="35">
    <w:abstractNumId w:val="5"/>
  </w:num>
  <w:num w:numId="36">
    <w:abstractNumId w:val="9"/>
  </w:num>
  <w:num w:numId="37">
    <w:abstractNumId w:val="15"/>
  </w:num>
  <w:num w:numId="38">
    <w:abstractNumId w:val="13"/>
  </w:num>
  <w:num w:numId="39">
    <w:abstractNumId w:val="32"/>
  </w:num>
  <w:num w:numId="40">
    <w:abstractNumId w:val="25"/>
  </w:num>
  <w:num w:numId="41">
    <w:abstractNumId w:val="2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91"/>
    <w:rsid w:val="000069D4"/>
    <w:rsid w:val="000174AD"/>
    <w:rsid w:val="00090EF1"/>
    <w:rsid w:val="000A7D55"/>
    <w:rsid w:val="000C2E8E"/>
    <w:rsid w:val="000E0E7C"/>
    <w:rsid w:val="000E27A3"/>
    <w:rsid w:val="000F1B4B"/>
    <w:rsid w:val="0011589F"/>
    <w:rsid w:val="0012744F"/>
    <w:rsid w:val="00156F66"/>
    <w:rsid w:val="001622E8"/>
    <w:rsid w:val="00182528"/>
    <w:rsid w:val="0018500B"/>
    <w:rsid w:val="00196A19"/>
    <w:rsid w:val="001B26D7"/>
    <w:rsid w:val="001B6402"/>
    <w:rsid w:val="00202DC1"/>
    <w:rsid w:val="002116EE"/>
    <w:rsid w:val="002309D8"/>
    <w:rsid w:val="00252C9A"/>
    <w:rsid w:val="002A6D8F"/>
    <w:rsid w:val="002A7FE2"/>
    <w:rsid w:val="002E0EBB"/>
    <w:rsid w:val="002E1B4F"/>
    <w:rsid w:val="002F2E67"/>
    <w:rsid w:val="00311327"/>
    <w:rsid w:val="00315546"/>
    <w:rsid w:val="0032202E"/>
    <w:rsid w:val="00330567"/>
    <w:rsid w:val="0034246E"/>
    <w:rsid w:val="00386A9D"/>
    <w:rsid w:val="00391081"/>
    <w:rsid w:val="003B2789"/>
    <w:rsid w:val="003C13CE"/>
    <w:rsid w:val="003C38BC"/>
    <w:rsid w:val="003E2518"/>
    <w:rsid w:val="00412D09"/>
    <w:rsid w:val="004768B2"/>
    <w:rsid w:val="004B1EF7"/>
    <w:rsid w:val="004B3FAD"/>
    <w:rsid w:val="004E1F8F"/>
    <w:rsid w:val="00501DCA"/>
    <w:rsid w:val="00513A47"/>
    <w:rsid w:val="0051782D"/>
    <w:rsid w:val="00537667"/>
    <w:rsid w:val="005404F3"/>
    <w:rsid w:val="005408DF"/>
    <w:rsid w:val="00573344"/>
    <w:rsid w:val="00583F9B"/>
    <w:rsid w:val="005A2F3E"/>
    <w:rsid w:val="005C6453"/>
    <w:rsid w:val="005E332D"/>
    <w:rsid w:val="005E5C10"/>
    <w:rsid w:val="005F2C78"/>
    <w:rsid w:val="006144E4"/>
    <w:rsid w:val="00617327"/>
    <w:rsid w:val="00625514"/>
    <w:rsid w:val="00650299"/>
    <w:rsid w:val="00655FC5"/>
    <w:rsid w:val="006630ED"/>
    <w:rsid w:val="00710D66"/>
    <w:rsid w:val="00711938"/>
    <w:rsid w:val="00746BFB"/>
    <w:rsid w:val="007D3802"/>
    <w:rsid w:val="00822581"/>
    <w:rsid w:val="008309DD"/>
    <w:rsid w:val="0083227A"/>
    <w:rsid w:val="00840552"/>
    <w:rsid w:val="008544FF"/>
    <w:rsid w:val="00864B69"/>
    <w:rsid w:val="00866900"/>
    <w:rsid w:val="00881BA1"/>
    <w:rsid w:val="008C26B8"/>
    <w:rsid w:val="008E6424"/>
    <w:rsid w:val="00982084"/>
    <w:rsid w:val="00995963"/>
    <w:rsid w:val="009B61EB"/>
    <w:rsid w:val="009C2064"/>
    <w:rsid w:val="009D1697"/>
    <w:rsid w:val="00A014F8"/>
    <w:rsid w:val="00A0782E"/>
    <w:rsid w:val="00A3700D"/>
    <w:rsid w:val="00A5173C"/>
    <w:rsid w:val="00A61AEF"/>
    <w:rsid w:val="00AB4EED"/>
    <w:rsid w:val="00AD5AD9"/>
    <w:rsid w:val="00AF173A"/>
    <w:rsid w:val="00B057CD"/>
    <w:rsid w:val="00B066A4"/>
    <w:rsid w:val="00B07A13"/>
    <w:rsid w:val="00B15075"/>
    <w:rsid w:val="00B4279B"/>
    <w:rsid w:val="00B45FC9"/>
    <w:rsid w:val="00BC7CCF"/>
    <w:rsid w:val="00BD39EA"/>
    <w:rsid w:val="00BE470B"/>
    <w:rsid w:val="00C11F04"/>
    <w:rsid w:val="00C20ECE"/>
    <w:rsid w:val="00C56C22"/>
    <w:rsid w:val="00C57A91"/>
    <w:rsid w:val="00C718F4"/>
    <w:rsid w:val="00CC01C2"/>
    <w:rsid w:val="00CF21F2"/>
    <w:rsid w:val="00D02712"/>
    <w:rsid w:val="00D146F4"/>
    <w:rsid w:val="00D214D0"/>
    <w:rsid w:val="00D3185E"/>
    <w:rsid w:val="00D64E5C"/>
    <w:rsid w:val="00D6546B"/>
    <w:rsid w:val="00D8032B"/>
    <w:rsid w:val="00DD4BED"/>
    <w:rsid w:val="00DE39F0"/>
    <w:rsid w:val="00DF0AF3"/>
    <w:rsid w:val="00DF2E91"/>
    <w:rsid w:val="00E239BC"/>
    <w:rsid w:val="00E27D7E"/>
    <w:rsid w:val="00E42E13"/>
    <w:rsid w:val="00E6257C"/>
    <w:rsid w:val="00E63C59"/>
    <w:rsid w:val="00E84CF9"/>
    <w:rsid w:val="00E95062"/>
    <w:rsid w:val="00EB5A69"/>
    <w:rsid w:val="00F85624"/>
    <w:rsid w:val="00FA124A"/>
    <w:rsid w:val="00FC052B"/>
    <w:rsid w:val="00FC08DD"/>
    <w:rsid w:val="00FC115F"/>
    <w:rsid w:val="00FC2316"/>
    <w:rsid w:val="00FC2CFD"/>
    <w:rsid w:val="00FF3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GHN/Pages/default.aspx"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rec/T-REC-G.9955"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www.decc.gov.uk/en/content/cms/consultations/smart_mtr_imp/smart_mtr_imp.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c/T-REC-G.9955" TargetMode="External"/><Relationship Id="rId5" Type="http://schemas.openxmlformats.org/officeDocument/2006/relationships/webSettings" Target="webSettings.xml"/><Relationship Id="rId15" Type="http://schemas.openxmlformats.org/officeDocument/2006/relationships/hyperlink" Target="http://www.itu.int/rec/T-REC-G.9959" TargetMode="External"/><Relationship Id="rId23" Type="http://schemas.openxmlformats.org/officeDocument/2006/relationships/theme" Target="theme/theme1.xml"/><Relationship Id="rId10" Type="http://schemas.openxmlformats.org/officeDocument/2006/relationships/hyperlink" Target="http://www.itu.int/publ/T-TUT-HOME-201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WP1A-C-0092/en" TargetMode="External"/><Relationship Id="rId14" Type="http://schemas.openxmlformats.org/officeDocument/2006/relationships/hyperlink" Target="http://www.itu.int/en/ITU-T/focusgroups/smart/Pages/Default.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TotalTime>
  <Pages>14</Pages>
  <Words>7395</Words>
  <Characters>42155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49452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MJ Lynch</cp:lastModifiedBy>
  <cp:revision>2</cp:revision>
  <cp:lastPrinted>2013-06-17T09:43:00Z</cp:lastPrinted>
  <dcterms:created xsi:type="dcterms:W3CDTF">2013-06-22T06:48:00Z</dcterms:created>
  <dcterms:modified xsi:type="dcterms:W3CDTF">2013-06-22T06:48:00Z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