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EE3" w:rsidRDefault="004C2EE3">
      <w:pPr>
        <w:jc w:val="center"/>
        <w:rPr>
          <w:b/>
        </w:rPr>
      </w:pPr>
      <w:bookmarkStart w:id="0" w:name="_GoBack"/>
      <w:bookmarkEnd w:id="0"/>
      <w:r w:rsidRPr="0070224F">
        <w:rPr>
          <w:rFonts w:ascii="Times New Roman Bold" w:hAnsi="Times New Roman Bold"/>
          <w:b/>
          <w:kern w:val="0"/>
          <w:szCs w:val="22"/>
        </w:rPr>
        <w:t>Before</w:t>
      </w:r>
      <w:r>
        <w:rPr>
          <w:b/>
        </w:rPr>
        <w:t xml:space="preserve"> the</w:t>
      </w:r>
    </w:p>
    <w:p w:rsidR="00921803" w:rsidRDefault="00921803" w:rsidP="00921803">
      <w:pPr>
        <w:pStyle w:val="StyleBoldCentered"/>
      </w:pPr>
      <w:r>
        <w:t>F</w:t>
      </w:r>
      <w:r>
        <w:rPr>
          <w:caps w:val="0"/>
        </w:rPr>
        <w:t>ederal Communications Commission</w:t>
      </w:r>
    </w:p>
    <w:p w:rsidR="004C2EE3" w:rsidRDefault="004C2EE3" w:rsidP="00096D8C">
      <w:pPr>
        <w:pStyle w:val="StyleBoldCentered"/>
      </w:pPr>
      <w:r>
        <w:t>W</w:t>
      </w:r>
      <w:r w:rsidR="00250B95">
        <w:rPr>
          <w:caps w:val="0"/>
        </w:rPr>
        <w:t>ashington</w:t>
      </w:r>
      <w:r>
        <w:t>, D.C. 20554</w:t>
      </w:r>
    </w:p>
    <w:p w:rsidR="004C2EE3" w:rsidRDefault="004C2EE3" w:rsidP="0070224F"/>
    <w:tbl>
      <w:tblPr>
        <w:tblW w:w="0" w:type="auto"/>
        <w:tblLayout w:type="fixed"/>
        <w:tblLook w:val="0000" w:firstRow="0" w:lastRow="0" w:firstColumn="0" w:lastColumn="0" w:noHBand="0" w:noVBand="0"/>
      </w:tblPr>
      <w:tblGrid>
        <w:gridCol w:w="4698"/>
        <w:gridCol w:w="630"/>
        <w:gridCol w:w="4248"/>
      </w:tblGrid>
      <w:tr w:rsidR="004C2EE3" w:rsidRPr="00984A20">
        <w:tc>
          <w:tcPr>
            <w:tcW w:w="4698" w:type="dxa"/>
          </w:tcPr>
          <w:p w:rsidR="004C2EE3" w:rsidRDefault="004C2EE3">
            <w:pPr>
              <w:tabs>
                <w:tab w:val="center" w:pos="4680"/>
              </w:tabs>
              <w:suppressAutoHyphens/>
              <w:rPr>
                <w:spacing w:val="-2"/>
              </w:rPr>
            </w:pPr>
            <w:r>
              <w:rPr>
                <w:spacing w:val="-2"/>
              </w:rPr>
              <w:t>In the Matter of</w:t>
            </w:r>
          </w:p>
          <w:p w:rsidR="004C2EE3" w:rsidRDefault="004C2EE3">
            <w:pPr>
              <w:tabs>
                <w:tab w:val="center" w:pos="4680"/>
              </w:tabs>
              <w:suppressAutoHyphens/>
              <w:rPr>
                <w:spacing w:val="-2"/>
              </w:rPr>
            </w:pPr>
          </w:p>
          <w:p w:rsidR="00EE5BD7" w:rsidRDefault="00EE5BD7" w:rsidP="00EE5BD7">
            <w:pPr>
              <w:ind w:right="-18"/>
              <w:rPr>
                <w:szCs w:val="22"/>
              </w:rPr>
            </w:pPr>
            <w:r w:rsidRPr="00BD6C60">
              <w:rPr>
                <w:szCs w:val="22"/>
              </w:rPr>
              <w:t>Amendment of Part</w:t>
            </w:r>
            <w:r>
              <w:rPr>
                <w:szCs w:val="22"/>
              </w:rPr>
              <w:t>s</w:t>
            </w:r>
            <w:r w:rsidRPr="00BD6C60">
              <w:rPr>
                <w:szCs w:val="22"/>
              </w:rPr>
              <w:t xml:space="preserve"> </w:t>
            </w:r>
            <w:r>
              <w:rPr>
                <w:szCs w:val="22"/>
              </w:rPr>
              <w:t xml:space="preserve">0, </w:t>
            </w:r>
            <w:r w:rsidRPr="00BD6C60">
              <w:rPr>
                <w:szCs w:val="22"/>
              </w:rPr>
              <w:t>1, 2</w:t>
            </w:r>
            <w:r>
              <w:rPr>
                <w:szCs w:val="22"/>
              </w:rPr>
              <w:t>, and 15</w:t>
            </w:r>
            <w:r w:rsidRPr="00BD6C60">
              <w:rPr>
                <w:szCs w:val="22"/>
              </w:rPr>
              <w:t xml:space="preserve"> of the Commission’s Rules </w:t>
            </w:r>
            <w:r>
              <w:rPr>
                <w:szCs w:val="22"/>
              </w:rPr>
              <w:t xml:space="preserve">regarding </w:t>
            </w:r>
            <w:r w:rsidRPr="00BD6C60">
              <w:rPr>
                <w:szCs w:val="22"/>
              </w:rPr>
              <w:t>Authorization</w:t>
            </w:r>
            <w:r>
              <w:rPr>
                <w:szCs w:val="22"/>
              </w:rPr>
              <w:t xml:space="preserve"> of Radiofrequency </w:t>
            </w:r>
            <w:r w:rsidRPr="00BD6C60">
              <w:rPr>
                <w:szCs w:val="22"/>
              </w:rPr>
              <w:t xml:space="preserve">Equipment </w:t>
            </w:r>
          </w:p>
          <w:p w:rsidR="00EE5BD7" w:rsidRDefault="00EE5BD7" w:rsidP="00EE5BD7">
            <w:pPr>
              <w:ind w:right="-18"/>
              <w:rPr>
                <w:szCs w:val="22"/>
              </w:rPr>
            </w:pPr>
          </w:p>
          <w:p w:rsidR="00EE5BD7" w:rsidRPr="00BD6C60" w:rsidRDefault="00EE5BD7" w:rsidP="00EE5BD7">
            <w:pPr>
              <w:ind w:right="-18"/>
              <w:rPr>
                <w:szCs w:val="22"/>
              </w:rPr>
            </w:pPr>
            <w:r>
              <w:rPr>
                <w:szCs w:val="22"/>
              </w:rPr>
              <w:t>Amendment of Part 68 regarding Approval of Terminal Equipment by Telecommunications Certification Bodies</w:t>
            </w:r>
          </w:p>
          <w:p w:rsidR="004C2EE3" w:rsidRPr="007115F7" w:rsidRDefault="004C2EE3" w:rsidP="007115F7">
            <w:pPr>
              <w:tabs>
                <w:tab w:val="center" w:pos="4680"/>
              </w:tabs>
              <w:suppressAutoHyphens/>
              <w:rPr>
                <w:spacing w:val="-2"/>
              </w:rPr>
            </w:pPr>
          </w:p>
        </w:tc>
        <w:tc>
          <w:tcPr>
            <w:tcW w:w="630" w:type="dxa"/>
          </w:tcPr>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4C2EE3" w:rsidRDefault="004C2EE3">
            <w:pPr>
              <w:tabs>
                <w:tab w:val="center" w:pos="4680"/>
              </w:tabs>
              <w:suppressAutoHyphens/>
              <w:rPr>
                <w:b/>
                <w:spacing w:val="-2"/>
              </w:rPr>
            </w:pPr>
            <w:r>
              <w:rPr>
                <w:b/>
                <w:spacing w:val="-2"/>
              </w:rPr>
              <w:t>)</w:t>
            </w:r>
          </w:p>
          <w:p w:rsidR="00B766FC" w:rsidRDefault="00B766FC">
            <w:pPr>
              <w:tabs>
                <w:tab w:val="center" w:pos="4680"/>
              </w:tabs>
              <w:suppressAutoHyphens/>
              <w:rPr>
                <w:b/>
                <w:spacing w:val="-2"/>
              </w:rPr>
            </w:pPr>
            <w:r>
              <w:rPr>
                <w:b/>
                <w:spacing w:val="-2"/>
              </w:rPr>
              <w:t>)</w:t>
            </w:r>
          </w:p>
          <w:p w:rsidR="00B766FC" w:rsidRDefault="00B766FC">
            <w:pPr>
              <w:tabs>
                <w:tab w:val="center" w:pos="4680"/>
              </w:tabs>
              <w:suppressAutoHyphens/>
              <w:rPr>
                <w:b/>
                <w:spacing w:val="-2"/>
              </w:rPr>
            </w:pPr>
            <w:r>
              <w:rPr>
                <w:b/>
                <w:spacing w:val="-2"/>
              </w:rPr>
              <w:t>)</w:t>
            </w:r>
          </w:p>
          <w:p w:rsidR="00B766FC" w:rsidRPr="00B64C67" w:rsidRDefault="00B766FC">
            <w:pPr>
              <w:tabs>
                <w:tab w:val="center" w:pos="4680"/>
              </w:tabs>
              <w:suppressAutoHyphens/>
              <w:rPr>
                <w:b/>
                <w:spacing w:val="-2"/>
              </w:rPr>
            </w:pPr>
            <w:r>
              <w:rPr>
                <w:b/>
                <w:spacing w:val="-2"/>
              </w:rPr>
              <w:t>)</w:t>
            </w:r>
          </w:p>
        </w:tc>
        <w:tc>
          <w:tcPr>
            <w:tcW w:w="4248" w:type="dxa"/>
          </w:tcPr>
          <w:p w:rsidR="004C2EE3" w:rsidRDefault="004C2EE3">
            <w:pPr>
              <w:tabs>
                <w:tab w:val="center" w:pos="4680"/>
              </w:tabs>
              <w:suppressAutoHyphens/>
              <w:rPr>
                <w:spacing w:val="-2"/>
              </w:rPr>
            </w:pPr>
          </w:p>
          <w:p w:rsidR="00ED038A" w:rsidRPr="00984A20" w:rsidRDefault="00ED038A" w:rsidP="00200B49">
            <w:pPr>
              <w:rPr>
                <w:spacing w:val="-2"/>
              </w:rPr>
            </w:pPr>
          </w:p>
          <w:p w:rsidR="00ED038A" w:rsidRPr="00984A20" w:rsidRDefault="00ED038A" w:rsidP="00200B49">
            <w:pPr>
              <w:rPr>
                <w:spacing w:val="-2"/>
                <w:szCs w:val="22"/>
              </w:rPr>
            </w:pPr>
          </w:p>
          <w:p w:rsidR="00200B49" w:rsidRPr="00984A20" w:rsidRDefault="00200B49" w:rsidP="00200B49">
            <w:pPr>
              <w:rPr>
                <w:spacing w:val="-2"/>
                <w:szCs w:val="22"/>
              </w:rPr>
            </w:pPr>
            <w:r w:rsidRPr="00984A20">
              <w:rPr>
                <w:spacing w:val="-2"/>
                <w:szCs w:val="22"/>
              </w:rPr>
              <w:t>ET Docket No. 1</w:t>
            </w:r>
            <w:r w:rsidR="00665160">
              <w:rPr>
                <w:spacing w:val="-2"/>
                <w:szCs w:val="22"/>
              </w:rPr>
              <w:t>3</w:t>
            </w:r>
            <w:r w:rsidRPr="00984A20">
              <w:rPr>
                <w:spacing w:val="-2"/>
                <w:szCs w:val="22"/>
              </w:rPr>
              <w:t>-</w:t>
            </w:r>
            <w:r w:rsidR="00665160">
              <w:rPr>
                <w:spacing w:val="-2"/>
                <w:szCs w:val="22"/>
              </w:rPr>
              <w:t>44</w:t>
            </w:r>
          </w:p>
          <w:p w:rsidR="00D02FA8" w:rsidRPr="00984A20" w:rsidRDefault="00D02FA8" w:rsidP="00D02FA8">
            <w:pPr>
              <w:rPr>
                <w:spacing w:val="-2"/>
              </w:rPr>
            </w:pPr>
            <w:r w:rsidRPr="00984A20">
              <w:rPr>
                <w:spacing w:val="-2"/>
              </w:rPr>
              <w:t>RM-11652</w:t>
            </w:r>
          </w:p>
          <w:p w:rsidR="00200B49" w:rsidRPr="00984A20" w:rsidRDefault="00200B49" w:rsidP="00200B49">
            <w:pPr>
              <w:rPr>
                <w:spacing w:val="-2"/>
              </w:rPr>
            </w:pPr>
          </w:p>
        </w:tc>
      </w:tr>
    </w:tbl>
    <w:p w:rsidR="004C2EE3" w:rsidRPr="00984A20" w:rsidRDefault="004C2EE3" w:rsidP="0070224F"/>
    <w:p w:rsidR="00841AB1" w:rsidRDefault="00B64C67" w:rsidP="00F021FA">
      <w:pPr>
        <w:pStyle w:val="StyleBoldCentered"/>
      </w:pPr>
      <w:r>
        <w:t>NOTICE OF PROPOSED RULEMAKING</w:t>
      </w:r>
    </w:p>
    <w:p w:rsidR="004C2EE3" w:rsidRDefault="004C2EE3">
      <w:pPr>
        <w:tabs>
          <w:tab w:val="left" w:pos="-720"/>
        </w:tabs>
        <w:suppressAutoHyphens/>
        <w:spacing w:line="227" w:lineRule="auto"/>
        <w:rPr>
          <w:spacing w:val="-2"/>
        </w:rPr>
      </w:pPr>
    </w:p>
    <w:p w:rsidR="004C2EE3" w:rsidRDefault="004C2EE3">
      <w:pPr>
        <w:tabs>
          <w:tab w:val="left" w:pos="720"/>
          <w:tab w:val="left" w:pos="5760"/>
        </w:tabs>
        <w:suppressAutoHyphens/>
        <w:spacing w:line="227" w:lineRule="auto"/>
        <w:rPr>
          <w:spacing w:val="-2"/>
        </w:rPr>
      </w:pPr>
      <w:r>
        <w:rPr>
          <w:b/>
          <w:spacing w:val="-2"/>
        </w:rPr>
        <w:t xml:space="preserve">Adopted:  </w:t>
      </w:r>
      <w:r w:rsidR="00665160">
        <w:rPr>
          <w:b/>
          <w:spacing w:val="-2"/>
        </w:rPr>
        <w:t>February 12, 2013</w:t>
      </w:r>
      <w:r>
        <w:rPr>
          <w:b/>
          <w:spacing w:val="-2"/>
        </w:rPr>
        <w:tab/>
      </w:r>
      <w:r w:rsidR="00C35E20">
        <w:rPr>
          <w:b/>
          <w:spacing w:val="-2"/>
        </w:rPr>
        <w:t xml:space="preserve">            </w:t>
      </w:r>
      <w:r w:rsidR="00C62412">
        <w:rPr>
          <w:b/>
          <w:spacing w:val="-2"/>
        </w:rPr>
        <w:t xml:space="preserve">  </w:t>
      </w:r>
      <w:r w:rsidR="004D6468">
        <w:rPr>
          <w:b/>
          <w:spacing w:val="-2"/>
        </w:rPr>
        <w:t xml:space="preserve"> </w:t>
      </w:r>
      <w:r w:rsidR="00822CE0">
        <w:rPr>
          <w:b/>
          <w:spacing w:val="-2"/>
        </w:rPr>
        <w:t>Released</w:t>
      </w:r>
      <w:r>
        <w:rPr>
          <w:b/>
          <w:spacing w:val="-2"/>
        </w:rPr>
        <w:t>:</w:t>
      </w:r>
      <w:r w:rsidR="00822CE0">
        <w:rPr>
          <w:b/>
          <w:spacing w:val="-2"/>
        </w:rPr>
        <w:t xml:space="preserve"> </w:t>
      </w:r>
      <w:r>
        <w:rPr>
          <w:b/>
          <w:spacing w:val="-2"/>
        </w:rPr>
        <w:t xml:space="preserve"> </w:t>
      </w:r>
      <w:r w:rsidR="00665160">
        <w:rPr>
          <w:b/>
          <w:spacing w:val="-2"/>
        </w:rPr>
        <w:t xml:space="preserve">February </w:t>
      </w:r>
      <w:r w:rsidR="00C35E20">
        <w:rPr>
          <w:b/>
          <w:spacing w:val="-2"/>
        </w:rPr>
        <w:t>15</w:t>
      </w:r>
      <w:r w:rsidR="00665160">
        <w:rPr>
          <w:b/>
          <w:spacing w:val="-2"/>
        </w:rPr>
        <w:t>, 2013</w:t>
      </w:r>
    </w:p>
    <w:p w:rsidR="00655175" w:rsidRDefault="00655175" w:rsidP="00655175">
      <w:pPr>
        <w:rPr>
          <w:b/>
        </w:rPr>
      </w:pPr>
    </w:p>
    <w:p w:rsidR="00655175" w:rsidRDefault="00655175" w:rsidP="00655175">
      <w:r>
        <w:rPr>
          <w:b/>
        </w:rPr>
        <w:t>Comment Date:</w:t>
      </w:r>
      <w:r>
        <w:rPr>
          <w:b/>
        </w:rPr>
        <w:tab/>
        <w:t xml:space="preserve">   </w:t>
      </w:r>
      <w:r w:rsidR="003202AA" w:rsidRPr="00DF422B">
        <w:t>(</w:t>
      </w:r>
      <w:r>
        <w:t xml:space="preserve">45 days after </w:t>
      </w:r>
      <w:r w:rsidR="003202AA">
        <w:t xml:space="preserve">date of </w:t>
      </w:r>
      <w:r>
        <w:t>publication in the Federal Register</w:t>
      </w:r>
      <w:r w:rsidR="003202AA">
        <w:t>)</w:t>
      </w:r>
    </w:p>
    <w:p w:rsidR="00655175" w:rsidRDefault="00655175" w:rsidP="00655175">
      <w:r>
        <w:rPr>
          <w:b/>
        </w:rPr>
        <w:t>Reply Comment Date:</w:t>
      </w:r>
      <w:r>
        <w:rPr>
          <w:b/>
        </w:rPr>
        <w:tab/>
        <w:t xml:space="preserve">   </w:t>
      </w:r>
      <w:r w:rsidR="003202AA" w:rsidRPr="00DF422B">
        <w:t>(</w:t>
      </w:r>
      <w:r>
        <w:t xml:space="preserve">75 days after </w:t>
      </w:r>
      <w:r w:rsidR="003202AA">
        <w:t xml:space="preserve">date of </w:t>
      </w:r>
      <w:r>
        <w:t>publication in the Federal Register</w:t>
      </w:r>
      <w:r w:rsidR="003202AA">
        <w:t>)</w:t>
      </w:r>
    </w:p>
    <w:p w:rsidR="00822CE0" w:rsidRDefault="00822CE0"/>
    <w:p w:rsidR="004C2EE3" w:rsidRDefault="004C2EE3">
      <w:pPr>
        <w:rPr>
          <w:spacing w:val="-2"/>
        </w:rPr>
      </w:pPr>
      <w:r>
        <w:t xml:space="preserve">By </w:t>
      </w:r>
      <w:r w:rsidR="004E4A22">
        <w:t>the</w:t>
      </w:r>
      <w:r w:rsidR="002A2D2E">
        <w:t xml:space="preserve"> </w:t>
      </w:r>
      <w:r w:rsidR="00B64C67">
        <w:rPr>
          <w:spacing w:val="-2"/>
        </w:rPr>
        <w:t>Commission</w:t>
      </w:r>
      <w:r>
        <w:rPr>
          <w:spacing w:val="-2"/>
        </w:rPr>
        <w:t>:</w:t>
      </w:r>
      <w:r w:rsidR="00665160">
        <w:rPr>
          <w:spacing w:val="-2"/>
        </w:rPr>
        <w:t xml:space="preserve">  Commissioner Rosenworcel issuing </w:t>
      </w:r>
      <w:r w:rsidR="00BD7A30">
        <w:rPr>
          <w:spacing w:val="-2"/>
        </w:rPr>
        <w:t>a</w:t>
      </w:r>
      <w:r w:rsidR="00665160">
        <w:rPr>
          <w:spacing w:val="-2"/>
        </w:rPr>
        <w:t xml:space="preserve"> statement.</w:t>
      </w:r>
    </w:p>
    <w:p w:rsidR="00F84F8D" w:rsidRDefault="00F84F8D" w:rsidP="00F84F8D">
      <w:pPr>
        <w:pStyle w:val="TOCTitle"/>
      </w:pPr>
      <w:bookmarkStart w:id="1" w:name="TOChere"/>
      <w:r>
        <w:t>Table of Contents</w:t>
      </w:r>
    </w:p>
    <w:p w:rsidR="00F84F8D" w:rsidRDefault="00F84F8D" w:rsidP="00F84F8D">
      <w:pPr>
        <w:pStyle w:val="Paratitle"/>
      </w:pPr>
      <w:r>
        <w:t>Heading</w:t>
      </w:r>
      <w:r>
        <w:tab/>
        <w:t>Paragraph #</w:t>
      </w:r>
      <w:bookmarkStart w:id="2" w:name="start_here"/>
      <w:bookmarkEnd w:id="2"/>
    </w:p>
    <w:p w:rsidR="00F84F8D" w:rsidRDefault="00F84F8D" w:rsidP="00F84F8D">
      <w:pPr>
        <w:pStyle w:val="TOC1"/>
        <w:rPr>
          <w:caps w:val="0"/>
          <w:snapToGrid/>
          <w:kern w:val="0"/>
          <w:sz w:val="24"/>
          <w:szCs w:val="24"/>
        </w:rPr>
      </w:pPr>
      <w:r>
        <w:t>I.</w:t>
      </w:r>
      <w:r>
        <w:rPr>
          <w:caps w:val="0"/>
          <w:snapToGrid/>
          <w:kern w:val="0"/>
          <w:sz w:val="24"/>
          <w:szCs w:val="24"/>
        </w:rPr>
        <w:tab/>
      </w:r>
      <w:r>
        <w:t>Introduction</w:t>
      </w:r>
      <w:r>
        <w:tab/>
        <w:t>1</w:t>
      </w:r>
    </w:p>
    <w:p w:rsidR="00F84F8D" w:rsidRDefault="00F84F8D" w:rsidP="00F84F8D">
      <w:pPr>
        <w:pStyle w:val="TOC1"/>
        <w:rPr>
          <w:caps w:val="0"/>
          <w:snapToGrid/>
          <w:kern w:val="0"/>
          <w:sz w:val="24"/>
          <w:szCs w:val="24"/>
        </w:rPr>
      </w:pPr>
      <w:r>
        <w:t>II.</w:t>
      </w:r>
      <w:r>
        <w:rPr>
          <w:caps w:val="0"/>
          <w:snapToGrid/>
          <w:kern w:val="0"/>
          <w:sz w:val="24"/>
          <w:szCs w:val="24"/>
        </w:rPr>
        <w:tab/>
      </w:r>
      <w:r>
        <w:t>Background</w:t>
      </w:r>
      <w:r>
        <w:tab/>
        <w:t>3</w:t>
      </w:r>
    </w:p>
    <w:p w:rsidR="00F84F8D" w:rsidRDefault="00F84F8D" w:rsidP="00F84F8D">
      <w:pPr>
        <w:pStyle w:val="TOC1"/>
        <w:rPr>
          <w:caps w:val="0"/>
          <w:snapToGrid/>
          <w:kern w:val="0"/>
          <w:sz w:val="24"/>
          <w:szCs w:val="24"/>
        </w:rPr>
      </w:pPr>
      <w:r>
        <w:t>III.</w:t>
      </w:r>
      <w:r>
        <w:rPr>
          <w:caps w:val="0"/>
          <w:snapToGrid/>
          <w:kern w:val="0"/>
          <w:sz w:val="24"/>
          <w:szCs w:val="24"/>
        </w:rPr>
        <w:tab/>
      </w:r>
      <w:r>
        <w:t>Discussion</w:t>
      </w:r>
      <w:r>
        <w:tab/>
        <w:t>11</w:t>
      </w:r>
    </w:p>
    <w:p w:rsidR="00F84F8D" w:rsidRDefault="00F84F8D" w:rsidP="00F84F8D">
      <w:pPr>
        <w:pStyle w:val="TOC2"/>
        <w:tabs>
          <w:tab w:val="left" w:pos="360"/>
        </w:tabs>
        <w:rPr>
          <w:snapToGrid/>
          <w:kern w:val="0"/>
          <w:sz w:val="24"/>
          <w:szCs w:val="24"/>
        </w:rPr>
      </w:pPr>
      <w:r w:rsidRPr="00FE71D8">
        <w:rPr>
          <w:rFonts w:eastAsia="TimesNewRoman"/>
        </w:rPr>
        <w:t>A.</w:t>
      </w:r>
      <w:r>
        <w:rPr>
          <w:snapToGrid/>
          <w:kern w:val="0"/>
          <w:sz w:val="24"/>
          <w:szCs w:val="24"/>
        </w:rPr>
        <w:tab/>
      </w:r>
      <w:r>
        <w:t>TCB Program</w:t>
      </w:r>
      <w:r>
        <w:tab/>
        <w:t>15</w:t>
      </w:r>
    </w:p>
    <w:p w:rsidR="00F84F8D" w:rsidRDefault="00F84F8D" w:rsidP="00F84F8D">
      <w:pPr>
        <w:pStyle w:val="TOC3"/>
        <w:tabs>
          <w:tab w:val="left" w:pos="360"/>
        </w:tabs>
        <w:rPr>
          <w:snapToGrid/>
          <w:kern w:val="0"/>
          <w:sz w:val="24"/>
          <w:szCs w:val="24"/>
        </w:rPr>
      </w:pPr>
      <w:r w:rsidRPr="00FE71D8">
        <w:rPr>
          <w:rFonts w:eastAsia="TimesNewRoman"/>
        </w:rPr>
        <w:t>1.</w:t>
      </w:r>
      <w:r>
        <w:rPr>
          <w:snapToGrid/>
          <w:kern w:val="0"/>
          <w:sz w:val="24"/>
          <w:szCs w:val="24"/>
        </w:rPr>
        <w:tab/>
      </w:r>
      <w:r w:rsidRPr="00FE71D8">
        <w:rPr>
          <w:rFonts w:eastAsia="TimesNewRoman"/>
        </w:rPr>
        <w:t>Certification of RF equipment</w:t>
      </w:r>
      <w:r>
        <w:tab/>
        <w:t>15</w:t>
      </w:r>
    </w:p>
    <w:p w:rsidR="00F84F8D" w:rsidRDefault="00F84F8D" w:rsidP="00F84F8D">
      <w:pPr>
        <w:pStyle w:val="TOC3"/>
        <w:tabs>
          <w:tab w:val="left" w:pos="360"/>
        </w:tabs>
        <w:rPr>
          <w:snapToGrid/>
          <w:kern w:val="0"/>
          <w:sz w:val="24"/>
          <w:szCs w:val="24"/>
        </w:rPr>
      </w:pPr>
      <w:r>
        <w:t>2.</w:t>
      </w:r>
      <w:r>
        <w:rPr>
          <w:snapToGrid/>
          <w:kern w:val="0"/>
          <w:sz w:val="24"/>
          <w:szCs w:val="24"/>
        </w:rPr>
        <w:tab/>
      </w:r>
      <w:r>
        <w:t>Post market surveillance</w:t>
      </w:r>
      <w:r>
        <w:tab/>
        <w:t>28</w:t>
      </w:r>
    </w:p>
    <w:p w:rsidR="00F84F8D" w:rsidRDefault="00F84F8D" w:rsidP="00F84F8D">
      <w:pPr>
        <w:pStyle w:val="TOC3"/>
        <w:tabs>
          <w:tab w:val="left" w:pos="360"/>
        </w:tabs>
        <w:rPr>
          <w:snapToGrid/>
          <w:kern w:val="0"/>
          <w:sz w:val="24"/>
          <w:szCs w:val="24"/>
        </w:rPr>
      </w:pPr>
      <w:r>
        <w:t>3.</w:t>
      </w:r>
      <w:r>
        <w:rPr>
          <w:snapToGrid/>
          <w:kern w:val="0"/>
          <w:sz w:val="24"/>
          <w:szCs w:val="24"/>
        </w:rPr>
        <w:tab/>
      </w:r>
      <w:r>
        <w:t>Assessing TCB performance</w:t>
      </w:r>
      <w:r>
        <w:tab/>
        <w:t>34</w:t>
      </w:r>
    </w:p>
    <w:p w:rsidR="00F84F8D" w:rsidRDefault="00F84F8D" w:rsidP="00F84F8D">
      <w:pPr>
        <w:pStyle w:val="TOC3"/>
        <w:tabs>
          <w:tab w:val="left" w:pos="360"/>
        </w:tabs>
        <w:rPr>
          <w:snapToGrid/>
          <w:kern w:val="0"/>
          <w:sz w:val="24"/>
          <w:szCs w:val="24"/>
        </w:rPr>
      </w:pPr>
      <w:r>
        <w:t>4.</w:t>
      </w:r>
      <w:r>
        <w:rPr>
          <w:snapToGrid/>
          <w:kern w:val="0"/>
          <w:sz w:val="24"/>
          <w:szCs w:val="24"/>
        </w:rPr>
        <w:tab/>
      </w:r>
      <w:r>
        <w:t>TCB accreditation</w:t>
      </w:r>
      <w:r>
        <w:tab/>
        <w:t>43</w:t>
      </w:r>
    </w:p>
    <w:p w:rsidR="00F84F8D" w:rsidRDefault="00F84F8D" w:rsidP="00F84F8D">
      <w:pPr>
        <w:pStyle w:val="TOC2"/>
        <w:tabs>
          <w:tab w:val="left" w:pos="360"/>
        </w:tabs>
        <w:rPr>
          <w:snapToGrid/>
          <w:kern w:val="0"/>
          <w:sz w:val="24"/>
          <w:szCs w:val="24"/>
        </w:rPr>
      </w:pPr>
      <w:r>
        <w:t>B.</w:t>
      </w:r>
      <w:r>
        <w:rPr>
          <w:snapToGrid/>
          <w:kern w:val="0"/>
          <w:sz w:val="24"/>
          <w:szCs w:val="24"/>
        </w:rPr>
        <w:tab/>
      </w:r>
      <w:r>
        <w:t>Test Laboratories</w:t>
      </w:r>
      <w:r>
        <w:tab/>
        <w:t>46</w:t>
      </w:r>
    </w:p>
    <w:p w:rsidR="00F84F8D" w:rsidRDefault="00F84F8D" w:rsidP="00F84F8D">
      <w:pPr>
        <w:pStyle w:val="TOC3"/>
        <w:tabs>
          <w:tab w:val="left" w:pos="360"/>
        </w:tabs>
        <w:rPr>
          <w:snapToGrid/>
          <w:kern w:val="0"/>
          <w:sz w:val="24"/>
          <w:szCs w:val="24"/>
        </w:rPr>
      </w:pPr>
      <w:r>
        <w:t>1.</w:t>
      </w:r>
      <w:r>
        <w:rPr>
          <w:snapToGrid/>
          <w:kern w:val="0"/>
          <w:sz w:val="24"/>
          <w:szCs w:val="24"/>
        </w:rPr>
        <w:tab/>
      </w:r>
      <w:r>
        <w:t>Accreditation of test laboratories</w:t>
      </w:r>
      <w:r>
        <w:tab/>
        <w:t>46</w:t>
      </w:r>
    </w:p>
    <w:p w:rsidR="00F84F8D" w:rsidRDefault="00F84F8D" w:rsidP="00F84F8D">
      <w:pPr>
        <w:pStyle w:val="TOC3"/>
        <w:tabs>
          <w:tab w:val="left" w:pos="360"/>
        </w:tabs>
        <w:rPr>
          <w:snapToGrid/>
          <w:kern w:val="0"/>
          <w:sz w:val="24"/>
          <w:szCs w:val="24"/>
        </w:rPr>
      </w:pPr>
      <w:r>
        <w:t>2.</w:t>
      </w:r>
      <w:r>
        <w:rPr>
          <w:snapToGrid/>
          <w:kern w:val="0"/>
          <w:sz w:val="24"/>
          <w:szCs w:val="24"/>
        </w:rPr>
        <w:tab/>
      </w:r>
      <w:r>
        <w:t>Selection of new laboratory accreditation bodies</w:t>
      </w:r>
      <w:r>
        <w:tab/>
        <w:t>54</w:t>
      </w:r>
    </w:p>
    <w:p w:rsidR="00F84F8D" w:rsidRDefault="00F84F8D" w:rsidP="00F84F8D">
      <w:pPr>
        <w:pStyle w:val="TOC3"/>
        <w:tabs>
          <w:tab w:val="left" w:pos="360"/>
        </w:tabs>
        <w:rPr>
          <w:snapToGrid/>
          <w:kern w:val="0"/>
          <w:sz w:val="24"/>
          <w:szCs w:val="24"/>
        </w:rPr>
      </w:pPr>
      <w:r>
        <w:t>3.</w:t>
      </w:r>
      <w:r>
        <w:rPr>
          <w:snapToGrid/>
          <w:kern w:val="0"/>
          <w:sz w:val="24"/>
          <w:szCs w:val="24"/>
        </w:rPr>
        <w:tab/>
      </w:r>
      <w:r>
        <w:t>Test site validation</w:t>
      </w:r>
      <w:r>
        <w:tab/>
        <w:t>57</w:t>
      </w:r>
    </w:p>
    <w:p w:rsidR="00F84F8D" w:rsidRDefault="00F84F8D" w:rsidP="00F84F8D">
      <w:pPr>
        <w:pStyle w:val="TOC2"/>
        <w:tabs>
          <w:tab w:val="left" w:pos="360"/>
        </w:tabs>
        <w:rPr>
          <w:snapToGrid/>
          <w:kern w:val="0"/>
          <w:sz w:val="24"/>
          <w:szCs w:val="24"/>
        </w:rPr>
      </w:pPr>
      <w:r>
        <w:t>C.</w:t>
      </w:r>
      <w:r>
        <w:rPr>
          <w:snapToGrid/>
          <w:kern w:val="0"/>
          <w:sz w:val="24"/>
          <w:szCs w:val="24"/>
        </w:rPr>
        <w:tab/>
      </w:r>
      <w:r>
        <w:t>Measurement Procedures</w:t>
      </w:r>
      <w:r>
        <w:tab/>
        <w:t>60</w:t>
      </w:r>
    </w:p>
    <w:p w:rsidR="00F84F8D" w:rsidRDefault="00F84F8D" w:rsidP="00F84F8D">
      <w:pPr>
        <w:pStyle w:val="TOC3"/>
        <w:tabs>
          <w:tab w:val="left" w:pos="360"/>
        </w:tabs>
        <w:rPr>
          <w:snapToGrid/>
          <w:kern w:val="0"/>
          <w:sz w:val="24"/>
          <w:szCs w:val="24"/>
        </w:rPr>
      </w:pPr>
      <w:r>
        <w:t>1.</w:t>
      </w:r>
      <w:r>
        <w:rPr>
          <w:snapToGrid/>
          <w:kern w:val="0"/>
          <w:sz w:val="24"/>
          <w:szCs w:val="24"/>
        </w:rPr>
        <w:tab/>
      </w:r>
      <w:r>
        <w:t>Part 15 devices</w:t>
      </w:r>
      <w:r>
        <w:tab/>
        <w:t>60</w:t>
      </w:r>
    </w:p>
    <w:p w:rsidR="00F84F8D" w:rsidRDefault="00F84F8D" w:rsidP="00F84F8D">
      <w:pPr>
        <w:pStyle w:val="TOC3"/>
        <w:tabs>
          <w:tab w:val="left" w:pos="360"/>
        </w:tabs>
        <w:rPr>
          <w:snapToGrid/>
          <w:kern w:val="0"/>
          <w:sz w:val="24"/>
          <w:szCs w:val="24"/>
        </w:rPr>
      </w:pPr>
      <w:r>
        <w:t>2.</w:t>
      </w:r>
      <w:r>
        <w:rPr>
          <w:snapToGrid/>
          <w:kern w:val="0"/>
          <w:sz w:val="24"/>
          <w:szCs w:val="24"/>
        </w:rPr>
        <w:tab/>
      </w:r>
      <w:r>
        <w:t>Delegated authority to update measurement procedures</w:t>
      </w:r>
      <w:r>
        <w:tab/>
        <w:t>69</w:t>
      </w:r>
    </w:p>
    <w:p w:rsidR="00F84F8D" w:rsidRDefault="00F84F8D" w:rsidP="00F84F8D">
      <w:pPr>
        <w:pStyle w:val="TOC3"/>
        <w:tabs>
          <w:tab w:val="left" w:pos="360"/>
        </w:tabs>
        <w:rPr>
          <w:snapToGrid/>
          <w:kern w:val="0"/>
          <w:sz w:val="24"/>
          <w:szCs w:val="24"/>
        </w:rPr>
      </w:pPr>
      <w:r>
        <w:t>3.</w:t>
      </w:r>
      <w:r>
        <w:rPr>
          <w:snapToGrid/>
          <w:kern w:val="0"/>
          <w:sz w:val="24"/>
          <w:szCs w:val="24"/>
        </w:rPr>
        <w:tab/>
      </w:r>
      <w:r>
        <w:t>Other issues</w:t>
      </w:r>
      <w:r>
        <w:tab/>
        <w:t>71</w:t>
      </w:r>
    </w:p>
    <w:p w:rsidR="00F84F8D" w:rsidRDefault="00F84F8D" w:rsidP="00F84F8D">
      <w:pPr>
        <w:pStyle w:val="TOC2"/>
        <w:tabs>
          <w:tab w:val="left" w:pos="360"/>
        </w:tabs>
        <w:rPr>
          <w:snapToGrid/>
          <w:kern w:val="0"/>
          <w:sz w:val="24"/>
          <w:szCs w:val="24"/>
        </w:rPr>
      </w:pPr>
      <w:r>
        <w:t>D.</w:t>
      </w:r>
      <w:r>
        <w:rPr>
          <w:snapToGrid/>
          <w:kern w:val="0"/>
          <w:sz w:val="24"/>
          <w:szCs w:val="24"/>
        </w:rPr>
        <w:tab/>
      </w:r>
      <w:r>
        <w:t>Transition period</w:t>
      </w:r>
      <w:r>
        <w:tab/>
        <w:t>73</w:t>
      </w:r>
    </w:p>
    <w:p w:rsidR="00F84F8D" w:rsidRDefault="00F84F8D" w:rsidP="00F84F8D">
      <w:pPr>
        <w:pStyle w:val="TOC1"/>
        <w:rPr>
          <w:caps w:val="0"/>
          <w:snapToGrid/>
          <w:kern w:val="0"/>
          <w:sz w:val="24"/>
          <w:szCs w:val="24"/>
        </w:rPr>
      </w:pPr>
      <w:r>
        <w:t>IV.</w:t>
      </w:r>
      <w:r>
        <w:rPr>
          <w:caps w:val="0"/>
          <w:snapToGrid/>
          <w:kern w:val="0"/>
          <w:sz w:val="24"/>
          <w:szCs w:val="24"/>
        </w:rPr>
        <w:tab/>
      </w:r>
      <w:r>
        <w:t>Procedural Matters</w:t>
      </w:r>
      <w:r>
        <w:tab/>
        <w:t>74</w:t>
      </w:r>
    </w:p>
    <w:p w:rsidR="00F84F8D" w:rsidRDefault="00F84F8D" w:rsidP="00F84F8D">
      <w:pPr>
        <w:pStyle w:val="TOC2"/>
        <w:tabs>
          <w:tab w:val="left" w:pos="360"/>
        </w:tabs>
        <w:rPr>
          <w:snapToGrid/>
          <w:kern w:val="0"/>
          <w:sz w:val="24"/>
          <w:szCs w:val="24"/>
        </w:rPr>
      </w:pPr>
      <w:r>
        <w:t>A.</w:t>
      </w:r>
      <w:r>
        <w:rPr>
          <w:snapToGrid/>
          <w:kern w:val="0"/>
          <w:sz w:val="24"/>
          <w:szCs w:val="24"/>
        </w:rPr>
        <w:tab/>
      </w:r>
      <w:r w:rsidRPr="00FE71D8">
        <w:rPr>
          <w:i/>
        </w:rPr>
        <w:t>Ex Parte</w:t>
      </w:r>
      <w:r>
        <w:t xml:space="preserve"> Rules – Permit-But-Disclose</w:t>
      </w:r>
      <w:r>
        <w:tab/>
        <w:t>74</w:t>
      </w:r>
    </w:p>
    <w:p w:rsidR="00F84F8D" w:rsidRDefault="00F84F8D" w:rsidP="00F84F8D">
      <w:pPr>
        <w:pStyle w:val="TOC2"/>
        <w:tabs>
          <w:tab w:val="left" w:pos="360"/>
        </w:tabs>
        <w:rPr>
          <w:snapToGrid/>
          <w:kern w:val="0"/>
          <w:sz w:val="24"/>
          <w:szCs w:val="24"/>
        </w:rPr>
      </w:pPr>
      <w:r>
        <w:t>B.</w:t>
      </w:r>
      <w:r>
        <w:rPr>
          <w:snapToGrid/>
          <w:kern w:val="0"/>
          <w:sz w:val="24"/>
          <w:szCs w:val="24"/>
        </w:rPr>
        <w:tab/>
      </w:r>
      <w:r>
        <w:t>Comment Period and Procedures</w:t>
      </w:r>
      <w:r>
        <w:tab/>
        <w:t>75</w:t>
      </w:r>
    </w:p>
    <w:p w:rsidR="00F84F8D" w:rsidRDefault="00F84F8D" w:rsidP="00F84F8D">
      <w:pPr>
        <w:pStyle w:val="TOC2"/>
        <w:tabs>
          <w:tab w:val="left" w:pos="360"/>
        </w:tabs>
        <w:rPr>
          <w:snapToGrid/>
          <w:kern w:val="0"/>
          <w:sz w:val="24"/>
          <w:szCs w:val="24"/>
        </w:rPr>
      </w:pPr>
      <w:r>
        <w:t>C.</w:t>
      </w:r>
      <w:r>
        <w:rPr>
          <w:snapToGrid/>
          <w:kern w:val="0"/>
          <w:sz w:val="24"/>
          <w:szCs w:val="24"/>
        </w:rPr>
        <w:tab/>
      </w:r>
      <w:r>
        <w:t>Initial Regulatory Flexibility Analysis</w:t>
      </w:r>
      <w:r>
        <w:tab/>
        <w:t>78</w:t>
      </w:r>
    </w:p>
    <w:p w:rsidR="00F84F8D" w:rsidRDefault="00F84F8D" w:rsidP="00F84F8D">
      <w:pPr>
        <w:pStyle w:val="TOC2"/>
        <w:tabs>
          <w:tab w:val="left" w:pos="360"/>
        </w:tabs>
        <w:rPr>
          <w:snapToGrid/>
          <w:kern w:val="0"/>
          <w:sz w:val="24"/>
          <w:szCs w:val="24"/>
        </w:rPr>
      </w:pPr>
      <w:r>
        <w:t>D.</w:t>
      </w:r>
      <w:r>
        <w:rPr>
          <w:snapToGrid/>
          <w:kern w:val="0"/>
          <w:sz w:val="24"/>
          <w:szCs w:val="24"/>
        </w:rPr>
        <w:tab/>
      </w:r>
      <w:r>
        <w:t>Paperwork Reduction Act</w:t>
      </w:r>
      <w:r>
        <w:tab/>
        <w:t>79</w:t>
      </w:r>
    </w:p>
    <w:p w:rsidR="00F84F8D" w:rsidRDefault="00F84F8D" w:rsidP="00F84F8D">
      <w:pPr>
        <w:pStyle w:val="TOC1"/>
        <w:rPr>
          <w:caps w:val="0"/>
          <w:snapToGrid/>
          <w:kern w:val="0"/>
          <w:sz w:val="24"/>
          <w:szCs w:val="24"/>
        </w:rPr>
      </w:pPr>
      <w:r>
        <w:t>V.</w:t>
      </w:r>
      <w:r>
        <w:rPr>
          <w:caps w:val="0"/>
          <w:snapToGrid/>
          <w:kern w:val="0"/>
          <w:sz w:val="24"/>
          <w:szCs w:val="24"/>
        </w:rPr>
        <w:tab/>
      </w:r>
      <w:r>
        <w:t>Ordering Clauses</w:t>
      </w:r>
      <w:r>
        <w:tab/>
        <w:t>80</w:t>
      </w:r>
    </w:p>
    <w:bookmarkEnd w:id="1"/>
    <w:p w:rsidR="00200B49" w:rsidRPr="00200B49" w:rsidRDefault="00200B49" w:rsidP="00200B49">
      <w:pPr>
        <w:pStyle w:val="ParaNum"/>
        <w:numPr>
          <w:ilvl w:val="0"/>
          <w:numId w:val="0"/>
        </w:numPr>
        <w:spacing w:after="0"/>
      </w:pPr>
      <w:r w:rsidRPr="00200B49">
        <w:t>APPENDIX A - Proposed Rules</w:t>
      </w:r>
    </w:p>
    <w:p w:rsidR="00200B49" w:rsidRPr="00200B49" w:rsidRDefault="00200B49" w:rsidP="00200B49">
      <w:pPr>
        <w:pStyle w:val="ParaNum"/>
        <w:numPr>
          <w:ilvl w:val="0"/>
          <w:numId w:val="0"/>
        </w:numPr>
        <w:spacing w:after="0"/>
      </w:pPr>
      <w:r w:rsidRPr="00200B49">
        <w:t>APPENDIX B - Initial Regulatory Flexibility Analysis</w:t>
      </w:r>
      <w:r w:rsidR="00B935AC">
        <w:t xml:space="preserve"> </w:t>
      </w:r>
    </w:p>
    <w:p w:rsidR="00412FC5" w:rsidRDefault="00FB0A89" w:rsidP="000116C7">
      <w:pPr>
        <w:pStyle w:val="Heading1"/>
        <w:widowControl/>
      </w:pPr>
      <w:bookmarkStart w:id="3" w:name="_Toc289272082"/>
      <w:bookmarkStart w:id="4" w:name="_Toc289272117"/>
      <w:bookmarkStart w:id="5" w:name="_Toc292693314"/>
      <w:bookmarkStart w:id="6" w:name="_Toc292693382"/>
      <w:bookmarkStart w:id="7" w:name="_Toc323028014"/>
      <w:bookmarkStart w:id="8" w:name="_Toc324843281"/>
      <w:bookmarkStart w:id="9" w:name="_Toc324864700"/>
      <w:bookmarkStart w:id="10" w:name="_Toc324929567"/>
      <w:bookmarkStart w:id="11" w:name="_Toc324929691"/>
      <w:bookmarkStart w:id="12" w:name="_Toc325013617"/>
      <w:bookmarkStart w:id="13" w:name="_Toc325013947"/>
      <w:bookmarkStart w:id="14" w:name="_Toc325013975"/>
      <w:bookmarkStart w:id="15" w:name="_Toc325014044"/>
      <w:bookmarkStart w:id="16" w:name="_Toc325014062"/>
      <w:bookmarkStart w:id="17" w:name="_Toc325014155"/>
      <w:bookmarkStart w:id="18" w:name="_Toc325016804"/>
      <w:bookmarkStart w:id="19" w:name="_Toc325030434"/>
      <w:bookmarkStart w:id="20" w:name="_Toc326243789"/>
      <w:bookmarkStart w:id="21" w:name="_Toc326243986"/>
      <w:bookmarkStart w:id="22" w:name="_Toc327450759"/>
      <w:bookmarkStart w:id="23" w:name="_Toc330288207"/>
      <w:bookmarkStart w:id="24" w:name="_Toc330367177"/>
      <w:bookmarkStart w:id="25" w:name="_Toc331420765"/>
      <w:bookmarkStart w:id="26" w:name="_Toc331604645"/>
      <w:bookmarkStart w:id="27" w:name="_Toc332121620"/>
      <w:bookmarkStart w:id="28" w:name="_Toc332204297"/>
      <w:bookmarkStart w:id="29" w:name="_Toc332894800"/>
      <w:bookmarkStart w:id="30" w:name="_Toc333581613"/>
      <w:bookmarkStart w:id="31" w:name="_Toc333936405"/>
      <w:bookmarkStart w:id="32" w:name="_Toc335141614"/>
      <w:bookmarkStart w:id="33" w:name="_Toc335291357"/>
      <w:bookmarkStart w:id="34" w:name="_Toc335291410"/>
      <w:bookmarkStart w:id="35" w:name="_Toc335291470"/>
      <w:bookmarkStart w:id="36" w:name="_Toc335291540"/>
      <w:bookmarkStart w:id="37" w:name="_Toc335291678"/>
      <w:bookmarkStart w:id="38" w:name="_Toc335291730"/>
      <w:bookmarkStart w:id="39" w:name="_Toc335631608"/>
      <w:bookmarkStart w:id="40" w:name="_Toc335632650"/>
      <w:bookmarkStart w:id="41" w:name="_Toc335632722"/>
      <w:bookmarkStart w:id="42" w:name="_Toc337649160"/>
      <w:r>
        <w:lastRenderedPageBreak/>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F401B" w:rsidRDefault="004D436D" w:rsidP="000116C7">
      <w:pPr>
        <w:pStyle w:val="ParaNum"/>
        <w:widowControl/>
        <w:spacing w:after="220"/>
      </w:pPr>
      <w:r>
        <w:t xml:space="preserve">The Commission </w:t>
      </w:r>
      <w:r w:rsidR="00355A7C">
        <w:t xml:space="preserve">is responsible for </w:t>
      </w:r>
      <w:r>
        <w:t>an equipment authorization program for radiofrequency (RF) devices under Part 2 of its rules.</w:t>
      </w:r>
      <w:r>
        <w:rPr>
          <w:rStyle w:val="FootnoteReference"/>
        </w:rPr>
        <w:footnoteReference w:id="2"/>
      </w:r>
      <w:r>
        <w:t xml:space="preserve">  This program is one of the primary means that the Commission uses to ensure that the multitude of RF devices used in the United States operate effectively without causing harmful interference and otherwise compl</w:t>
      </w:r>
      <w:r w:rsidR="00E335BB">
        <w:t>y</w:t>
      </w:r>
      <w:r>
        <w:t xml:space="preserve"> with the </w:t>
      </w:r>
      <w:r w:rsidR="00224DDF">
        <w:t xml:space="preserve">Commission’s </w:t>
      </w:r>
      <w:r>
        <w:t xml:space="preserve">rules.  </w:t>
      </w:r>
      <w:r w:rsidR="00833A08" w:rsidRPr="00AE1D07">
        <w:t xml:space="preserve">All RF devices subject to equipment authorization must </w:t>
      </w:r>
      <w:r w:rsidR="001E587F" w:rsidRPr="00AE1D07">
        <w:t>comply</w:t>
      </w:r>
      <w:r w:rsidR="00833A08" w:rsidRPr="00AE1D07">
        <w:t xml:space="preserve"> with the Commission's technical requirement before they can be imported or marketed.</w:t>
      </w:r>
      <w:r w:rsidR="001E587F" w:rsidRPr="00AE1D07">
        <w:rPr>
          <w:rStyle w:val="FootnoteReference"/>
        </w:rPr>
        <w:footnoteReference w:id="3"/>
      </w:r>
      <w:r w:rsidR="00833A08" w:rsidRPr="00AE1D07">
        <w:t xml:space="preserve">  </w:t>
      </w:r>
      <w:r w:rsidR="005C5280">
        <w:t>The Commission or a Telecommunication Certification Body (TCB) must approve s</w:t>
      </w:r>
      <w:r>
        <w:t xml:space="preserve">ome </w:t>
      </w:r>
      <w:r w:rsidR="00833A08">
        <w:t xml:space="preserve">of these </w:t>
      </w:r>
      <w:r>
        <w:t>devices before they can be imported or marketed, while other</w:t>
      </w:r>
      <w:r w:rsidR="00833A08">
        <w:t>s</w:t>
      </w:r>
      <w:r>
        <w:t xml:space="preserve"> do not require </w:t>
      </w:r>
      <w:r w:rsidR="00833A08">
        <w:t xml:space="preserve">such </w:t>
      </w:r>
      <w:r>
        <w:t>approval.</w:t>
      </w:r>
      <w:r w:rsidR="00D27993">
        <w:rPr>
          <w:rStyle w:val="FootnoteReference"/>
        </w:rPr>
        <w:footnoteReference w:id="4"/>
      </w:r>
      <w:r w:rsidR="001F401B">
        <w:t xml:space="preserve">  </w:t>
      </w:r>
      <w:r w:rsidR="00801388">
        <w:t xml:space="preserve">The Commission last comprehensively reviewed its equipment authorization program </w:t>
      </w:r>
      <w:r w:rsidR="00DF2E71">
        <w:t xml:space="preserve">more than </w:t>
      </w:r>
      <w:r w:rsidR="00801388">
        <w:t>ten years ago.</w:t>
      </w:r>
      <w:bookmarkStart w:id="43" w:name="_Ref334709060"/>
      <w:r w:rsidR="00FA71DD">
        <w:rPr>
          <w:rStyle w:val="FootnoteReference"/>
        </w:rPr>
        <w:footnoteReference w:id="5"/>
      </w:r>
      <w:bookmarkEnd w:id="43"/>
      <w:r w:rsidR="00801388">
        <w:t xml:space="preserve">  </w:t>
      </w:r>
      <w:r w:rsidR="001F401B">
        <w:t xml:space="preserve">The rapid innovation in equipment design since that time has led to ever-accelerating growth in the number of parties applying for equipment approval.  We therefore believe that </w:t>
      </w:r>
      <w:r w:rsidR="00C93C8F">
        <w:t>the time is now right</w:t>
      </w:r>
      <w:r w:rsidR="001F401B">
        <w:t xml:space="preserve"> for us to </w:t>
      </w:r>
      <w:r w:rsidR="00DF2E71">
        <w:t xml:space="preserve">comprehensively </w:t>
      </w:r>
      <w:r w:rsidR="001F401B">
        <w:t xml:space="preserve">review </w:t>
      </w:r>
      <w:r w:rsidR="00C93C8F">
        <w:t>our</w:t>
      </w:r>
      <w:r w:rsidR="001F401B">
        <w:t xml:space="preserve"> equipment authorization processes to ensure that they continue to enable this growth and innovation in the wireless equipment market.</w:t>
      </w:r>
      <w:r w:rsidR="002B7014">
        <w:t xml:space="preserve"> </w:t>
      </w:r>
      <w:r w:rsidR="00DF2E71">
        <w:t xml:space="preserve"> In May, the Commission began this reform process by issuing an Order to increase the supply of available grantee codes.</w:t>
      </w:r>
      <w:r w:rsidR="00DF2E71">
        <w:rPr>
          <w:rStyle w:val="FootnoteReference"/>
        </w:rPr>
        <w:footnoteReference w:id="6"/>
      </w:r>
      <w:r w:rsidR="00DF2E71">
        <w:t xml:space="preserve">  With this Notice of Proposed Rulemaking (Notice), we continue our work to review and reform our equipment authorization processes and rules.</w:t>
      </w:r>
    </w:p>
    <w:p w:rsidR="00FB0A89" w:rsidRDefault="00E5421F" w:rsidP="000116C7">
      <w:pPr>
        <w:pStyle w:val="ParaNum"/>
        <w:widowControl/>
        <w:spacing w:after="220"/>
      </w:pPr>
      <w:r>
        <w:t xml:space="preserve">By this Notice, we propose certain changes to the Commission’s Part 2 equipment authorization processes to ensure that </w:t>
      </w:r>
      <w:r w:rsidR="00D47448">
        <w:t xml:space="preserve">they </w:t>
      </w:r>
      <w:r>
        <w:t>continue to operate efficiently</w:t>
      </w:r>
      <w:r w:rsidRPr="00C93C8F">
        <w:t xml:space="preserve"> </w:t>
      </w:r>
      <w:r>
        <w:t xml:space="preserve">and effectively.  In particular, we address the role of TCBs in certifying RF equipment and post-market surveillance, as well as the Commission’s role in assessing TCB performance. </w:t>
      </w:r>
      <w:r w:rsidR="00FC7A9B">
        <w:t xml:space="preserve"> </w:t>
      </w:r>
      <w:r>
        <w:t xml:space="preserve">We also address the role of test laboratories in the RF equipment approval process, including accreditation of test labs and the Commission’s recognition of laboratory accreditation bodies, and measurement procedures used to determine RF equipment compliance. </w:t>
      </w:r>
      <w:r w:rsidR="00FC7A9B">
        <w:t xml:space="preserve"> </w:t>
      </w:r>
      <w:r>
        <w:t xml:space="preserve">Finally, we propose </w:t>
      </w:r>
      <w:r w:rsidR="00370776">
        <w:t>certain modifications to the rules regarding TCBs that approve terminal equipment under Part 68 of the rules that are consistent with our proposed modifications to the rules for TCBs that approve RF equipment.  Specifically we propose to recognize the National Institute for Standards and Technology (NIST) as the organization that designates TCBs in the United States and to modify the rules to reference the current International Organization for Standardization and International Electrotechnical Commission (ISO/IEC) guides used to accredit TCBs.</w:t>
      </w:r>
    </w:p>
    <w:p w:rsidR="00FB0A89" w:rsidRDefault="00FB0A89" w:rsidP="000116C7">
      <w:pPr>
        <w:pStyle w:val="Heading1"/>
        <w:widowControl/>
      </w:pPr>
      <w:bookmarkStart w:id="44" w:name="_Toc289272083"/>
      <w:bookmarkStart w:id="45" w:name="_Toc289272118"/>
      <w:bookmarkStart w:id="46" w:name="_Toc292693315"/>
      <w:bookmarkStart w:id="47" w:name="_Toc292693383"/>
      <w:bookmarkStart w:id="48" w:name="_Toc323028015"/>
      <w:bookmarkStart w:id="49" w:name="_Toc324843282"/>
      <w:bookmarkStart w:id="50" w:name="_Toc324864701"/>
      <w:bookmarkStart w:id="51" w:name="_Toc324929568"/>
      <w:bookmarkStart w:id="52" w:name="_Toc324929692"/>
      <w:bookmarkStart w:id="53" w:name="_Toc325013618"/>
      <w:bookmarkStart w:id="54" w:name="_Toc325013948"/>
      <w:bookmarkStart w:id="55" w:name="_Toc325013976"/>
      <w:bookmarkStart w:id="56" w:name="_Toc325014045"/>
      <w:bookmarkStart w:id="57" w:name="_Toc325014063"/>
      <w:bookmarkStart w:id="58" w:name="_Toc325014156"/>
      <w:bookmarkStart w:id="59" w:name="_Toc325016805"/>
      <w:bookmarkStart w:id="60" w:name="_Toc325030435"/>
      <w:bookmarkStart w:id="61" w:name="_Toc326243790"/>
      <w:bookmarkStart w:id="62" w:name="_Toc326243987"/>
      <w:bookmarkStart w:id="63" w:name="_Toc327450760"/>
      <w:bookmarkStart w:id="64" w:name="_Toc330288208"/>
      <w:bookmarkStart w:id="65" w:name="_Toc330367178"/>
      <w:bookmarkStart w:id="66" w:name="_Toc331420766"/>
      <w:bookmarkStart w:id="67" w:name="_Toc331604646"/>
      <w:bookmarkStart w:id="68" w:name="_Toc332121621"/>
      <w:bookmarkStart w:id="69" w:name="_Toc332204298"/>
      <w:bookmarkStart w:id="70" w:name="_Toc332894801"/>
      <w:bookmarkStart w:id="71" w:name="_Toc333581614"/>
      <w:bookmarkStart w:id="72" w:name="_Toc333936406"/>
      <w:bookmarkStart w:id="73" w:name="_Toc335141615"/>
      <w:bookmarkStart w:id="74" w:name="_Toc335291358"/>
      <w:bookmarkStart w:id="75" w:name="_Toc335291411"/>
      <w:bookmarkStart w:id="76" w:name="_Toc335291471"/>
      <w:bookmarkStart w:id="77" w:name="_Toc335291541"/>
      <w:bookmarkStart w:id="78" w:name="_Toc335291679"/>
      <w:bookmarkStart w:id="79" w:name="_Toc335291731"/>
      <w:bookmarkStart w:id="80" w:name="_Toc335631609"/>
      <w:bookmarkStart w:id="81" w:name="_Toc335632651"/>
      <w:bookmarkStart w:id="82" w:name="_Toc335632723"/>
      <w:bookmarkStart w:id="83" w:name="_Toc337649161"/>
      <w:r>
        <w:lastRenderedPageBreak/>
        <w:t>Background</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81265" w:rsidRDefault="00681265" w:rsidP="000116C7">
      <w:pPr>
        <w:pStyle w:val="ParaNum"/>
        <w:widowControl/>
        <w:spacing w:after="220"/>
      </w:pPr>
      <w:r>
        <w:t>Section 302 of the Communications Act of 1934, as amended, states that the Commission may, consistent with the public interest, convenience, and necessity, make reasonable regulations governing the interference potential of devices which in their operation are capable of emitting RF energy by radiation, conduction, or other means in sufficient degree to cause harmful interference to radio communications.</w:t>
      </w:r>
      <w:r>
        <w:rPr>
          <w:rStyle w:val="FootnoteReference"/>
        </w:rPr>
        <w:footnoteReference w:id="7"/>
      </w:r>
      <w:r>
        <w:t xml:space="preserve">  It further states that no person shall manufacture, import, sell, offer for sale, or ship devices or home electronic equipment and systems, or use devices, which fail to comply with regulations promulgated under this section.</w:t>
      </w:r>
      <w:r>
        <w:rPr>
          <w:rStyle w:val="FootnoteReference"/>
        </w:rPr>
        <w:footnoteReference w:id="8"/>
      </w:r>
      <w:r>
        <w:t xml:space="preserve">  This provision of the law is intended to prevent devices that could cause harmful interference to radio communications from reaching the marketplace</w:t>
      </w:r>
      <w:r w:rsidR="00FC7A9B">
        <w:t xml:space="preserve"> or being operated</w:t>
      </w:r>
      <w:r>
        <w:t>.</w:t>
      </w:r>
    </w:p>
    <w:p w:rsidR="007B5B58" w:rsidRDefault="007B5B58" w:rsidP="000116C7">
      <w:pPr>
        <w:pStyle w:val="ParaNum"/>
        <w:widowControl/>
        <w:spacing w:after="220"/>
      </w:pPr>
      <w:r>
        <w:t>The Commission carries out its responsibilities under the Communications Act with respect to equipment that uses RF energy</w:t>
      </w:r>
      <w:r w:rsidR="00C51E0E">
        <w:t xml:space="preserve"> by adopting technical rules and policies to fulfill various objectives.</w:t>
      </w:r>
      <w:r>
        <w:t xml:space="preserve">  First, </w:t>
      </w:r>
      <w:r w:rsidR="00C57AE9">
        <w:t>it</w:t>
      </w:r>
      <w:r>
        <w:t xml:space="preserve"> establishes technical rules for RF equipment to control RF interference</w:t>
      </w:r>
      <w:r w:rsidR="00C51E0E">
        <w:t xml:space="preserve">.  </w:t>
      </w:r>
      <w:r w:rsidR="00210260">
        <w:t>In particular, t</w:t>
      </w:r>
      <w:r w:rsidR="00C51E0E">
        <w:t>he</w:t>
      </w:r>
      <w:r>
        <w:t xml:space="preserve"> Commission has established technical regulations for radio transmitters used in licensed services and </w:t>
      </w:r>
      <w:r w:rsidR="001C42C0">
        <w:t xml:space="preserve">on </w:t>
      </w:r>
      <w:r w:rsidR="00250B95">
        <w:t>an un</w:t>
      </w:r>
      <w:r w:rsidR="001C42C0">
        <w:t>licensed basis</w:t>
      </w:r>
      <w:r>
        <w:t xml:space="preserve"> and for certain non-transmitting electronic equipment.  For example, Part 15 </w:t>
      </w:r>
      <w:r w:rsidR="001C42C0">
        <w:t xml:space="preserve">of the </w:t>
      </w:r>
      <w:r w:rsidR="00B719FE">
        <w:t xml:space="preserve">Commission’s </w:t>
      </w:r>
      <w:r w:rsidR="001C42C0">
        <w:t xml:space="preserve">rules </w:t>
      </w:r>
      <w:r w:rsidR="00B719FE">
        <w:t xml:space="preserve">sets forth </w:t>
      </w:r>
      <w:r>
        <w:t xml:space="preserve">the technical requirements for unlicensed devices; Parts 22, 24, and 27 </w:t>
      </w:r>
      <w:r w:rsidR="00B719FE">
        <w:t xml:space="preserve">set forth </w:t>
      </w:r>
      <w:r>
        <w:t>the technical requirements for transmitters used in various commercial mobile radio services; and Part 90 specifies the technical requirements for transmitters used in the private land mobile radio services.</w:t>
      </w:r>
      <w:r w:rsidR="001C42C0">
        <w:rPr>
          <w:rStyle w:val="FootnoteReference"/>
        </w:rPr>
        <w:footnoteReference w:id="9"/>
      </w:r>
      <w:r>
        <w:t xml:space="preserve">  The Commission’s </w:t>
      </w:r>
      <w:r w:rsidR="008E4B77">
        <w:t>r</w:t>
      </w:r>
      <w:r w:rsidR="00B719FE">
        <w:t xml:space="preserve">ules </w:t>
      </w:r>
      <w:r>
        <w:t>also include technical requirements to address policy objectives and concerns</w:t>
      </w:r>
      <w:r w:rsidR="00224DDF">
        <w:t xml:space="preserve"> </w:t>
      </w:r>
      <w:r w:rsidR="00B719FE">
        <w:t>in addition to</w:t>
      </w:r>
      <w:r w:rsidR="00224DDF">
        <w:t xml:space="preserve"> RF interference</w:t>
      </w:r>
      <w:r>
        <w:t>.  For example, certain numbers or percentages of digital mobile phones that are used in the provision of real-time, two-way switched and interconnected voice or data service must meet hearing aid compatibility ratings adopted by the Commission to enable inductive coupling with hearing aids’ telecoils.</w:t>
      </w:r>
      <w:r>
        <w:rPr>
          <w:rStyle w:val="FootnoteReference"/>
        </w:rPr>
        <w:footnoteReference w:id="10"/>
      </w:r>
      <w:r>
        <w:t xml:space="preserve">  In addition, mobile and portable RF transmitters,</w:t>
      </w:r>
      <w:bookmarkStart w:id="84" w:name="_Ref195678447"/>
      <w:r>
        <w:rPr>
          <w:rStyle w:val="FootnoteReference"/>
        </w:rPr>
        <w:footnoteReference w:id="11"/>
      </w:r>
      <w:bookmarkEnd w:id="84"/>
      <w:r>
        <w:t xml:space="preserve"> </w:t>
      </w:r>
      <w:r>
        <w:rPr>
          <w:i/>
        </w:rPr>
        <w:t>inter alia</w:t>
      </w:r>
      <w:r>
        <w:t xml:space="preserve">, must demonstrate compliance with standards that are designed to protect against harmful biological effects from exposure to RF </w:t>
      </w:r>
      <w:r w:rsidR="009964C2">
        <w:t>radiation</w:t>
      </w:r>
      <w:r>
        <w:t>.</w:t>
      </w:r>
      <w:r>
        <w:rPr>
          <w:rStyle w:val="FootnoteReference"/>
        </w:rPr>
        <w:footnoteReference w:id="12"/>
      </w:r>
      <w:r>
        <w:t xml:space="preserve">  Also, </w:t>
      </w:r>
      <w:r w:rsidR="009964C2">
        <w:t xml:space="preserve">digital </w:t>
      </w:r>
      <w:r>
        <w:t xml:space="preserve">TV sets with screens </w:t>
      </w:r>
      <w:r w:rsidR="009964C2">
        <w:t>7.8</w:t>
      </w:r>
      <w:r>
        <w:t xml:space="preserve"> inches or larger</w:t>
      </w:r>
      <w:r w:rsidR="009964C2">
        <w:t xml:space="preserve"> in height</w:t>
      </w:r>
      <w:r>
        <w:t xml:space="preserve"> must be </w:t>
      </w:r>
      <w:r>
        <w:lastRenderedPageBreak/>
        <w:t>equipped with “v-chip technology” – a feature that allows parents to program their TV sets to block display of TV programming that carries a certain rating,</w:t>
      </w:r>
      <w:r>
        <w:rPr>
          <w:rStyle w:val="FootnoteReference"/>
        </w:rPr>
        <w:footnoteReference w:id="13"/>
      </w:r>
      <w:r>
        <w:t xml:space="preserve"> and must provide the capability to decode and display closed captioning information.</w:t>
      </w:r>
      <w:r>
        <w:rPr>
          <w:rStyle w:val="FootnoteReference"/>
        </w:rPr>
        <w:footnoteReference w:id="14"/>
      </w:r>
      <w:r w:rsidR="00F51462">
        <w:t xml:space="preserve"> </w:t>
      </w:r>
    </w:p>
    <w:p w:rsidR="007B5B58" w:rsidRDefault="00250B95" w:rsidP="000116C7">
      <w:pPr>
        <w:pStyle w:val="ParaNum"/>
        <w:widowControl/>
        <w:spacing w:after="220"/>
      </w:pPr>
      <w:r>
        <w:t>T</w:t>
      </w:r>
      <w:r w:rsidR="007B5B58">
        <w:t>o ensure compliance with the</w:t>
      </w:r>
      <w:r w:rsidR="00421E0A">
        <w:t>se</w:t>
      </w:r>
      <w:r w:rsidR="007B5B58">
        <w:t xml:space="preserve"> technical requirements, the rules require RF equipment to be authorized in accordance with one of three procedures </w:t>
      </w:r>
      <w:r>
        <w:t>specified</w:t>
      </w:r>
      <w:r w:rsidR="007B5B58">
        <w:t xml:space="preserve"> in Subpart J of </w:t>
      </w:r>
      <w:r>
        <w:t xml:space="preserve">Part 2 of </w:t>
      </w:r>
      <w:r w:rsidR="007B5B58">
        <w:t>the rules</w:t>
      </w:r>
      <w:r w:rsidR="0013497F">
        <w:t>, with certain</w:t>
      </w:r>
      <w:r w:rsidR="007B59DA">
        <w:t xml:space="preserve"> limited</w:t>
      </w:r>
      <w:r w:rsidR="0013497F">
        <w:t xml:space="preserve"> exceptions</w:t>
      </w:r>
      <w:r w:rsidR="007B5B58">
        <w:t>.</w:t>
      </w:r>
      <w:bookmarkStart w:id="85" w:name="_Ref337643560"/>
      <w:r w:rsidR="007B5B58">
        <w:rPr>
          <w:rStyle w:val="FootnoteReference"/>
        </w:rPr>
        <w:footnoteReference w:id="15"/>
      </w:r>
      <w:bookmarkEnd w:id="85"/>
      <w:r w:rsidR="007B5B58">
        <w:t xml:space="preserve">  These RF equipment authorization requirements are intended to ensure that such equipment complies with our technical rules</w:t>
      </w:r>
      <w:r w:rsidR="006D6D7F">
        <w:t xml:space="preserve"> to minimize its</w:t>
      </w:r>
      <w:r w:rsidR="007B5B58">
        <w:t xml:space="preserve"> potential to cause harmful interference</w:t>
      </w:r>
      <w:r w:rsidR="006D6D7F">
        <w:t>,</w:t>
      </w:r>
      <w:r w:rsidR="007B5B58">
        <w:t xml:space="preserve"> and </w:t>
      </w:r>
      <w:r w:rsidR="004315B7">
        <w:t xml:space="preserve">to ensure </w:t>
      </w:r>
      <w:r w:rsidR="006D6D7F">
        <w:t xml:space="preserve">that the equipment also complies </w:t>
      </w:r>
      <w:r w:rsidR="007B5B58">
        <w:t xml:space="preserve">with </w:t>
      </w:r>
      <w:r w:rsidR="006D6D7F">
        <w:t xml:space="preserve">our </w:t>
      </w:r>
      <w:r w:rsidR="007B5B58">
        <w:t xml:space="preserve">rules </w:t>
      </w:r>
      <w:r w:rsidR="006D6D7F">
        <w:t xml:space="preserve">that address </w:t>
      </w:r>
      <w:r w:rsidR="007B5B58">
        <w:t>other policy objectives</w:t>
      </w:r>
      <w:r w:rsidR="006D6D7F">
        <w:t xml:space="preserve"> </w:t>
      </w:r>
      <w:r w:rsidR="006D6687">
        <w:t xml:space="preserve">as </w:t>
      </w:r>
      <w:r w:rsidR="006D6D7F">
        <w:t>described above</w:t>
      </w:r>
      <w:r w:rsidR="007B5B58">
        <w:t xml:space="preserve">.  </w:t>
      </w:r>
      <w:r w:rsidR="006D6687">
        <w:t xml:space="preserve">The Office of Engineering and Technology (OET) administers the </w:t>
      </w:r>
      <w:r w:rsidR="00273604">
        <w:t xml:space="preserve">Part 2 RF </w:t>
      </w:r>
      <w:r w:rsidR="006D6687">
        <w:t>equipment authorization program under delegated authority</w:t>
      </w:r>
      <w:r w:rsidR="000B4840">
        <w:t xml:space="preserve"> from the Commission</w:t>
      </w:r>
      <w:r w:rsidR="006D6687">
        <w:t>.</w:t>
      </w:r>
      <w:r w:rsidR="006D6687">
        <w:rPr>
          <w:rStyle w:val="FootnoteReference"/>
        </w:rPr>
        <w:footnoteReference w:id="16"/>
      </w:r>
      <w:r w:rsidR="006D6687">
        <w:t xml:space="preserve">  </w:t>
      </w:r>
      <w:r w:rsidR="007B5B58">
        <w:t xml:space="preserve">Over time, the Commission has taken steps to reduce the burdens associated with authorizing RF equipment while still ensuring that such equipment complies with </w:t>
      </w:r>
      <w:r w:rsidR="00421E0A">
        <w:t>its</w:t>
      </w:r>
      <w:r w:rsidR="007B5B58">
        <w:t xml:space="preserve"> technical rules.</w:t>
      </w:r>
    </w:p>
    <w:p w:rsidR="007B5B58" w:rsidRDefault="007B5B58" w:rsidP="000116C7">
      <w:pPr>
        <w:pStyle w:val="ParaNum"/>
        <w:widowControl/>
        <w:spacing w:after="220"/>
      </w:pPr>
      <w:r>
        <w:t xml:space="preserve">The current RF equipment authorization procedures have evolved over the course of more than 35 years.  The last complete review of the equipment authorization procedures </w:t>
      </w:r>
      <w:r w:rsidR="00017BED">
        <w:t>was conducted</w:t>
      </w:r>
      <w:r>
        <w:t xml:space="preserve"> </w:t>
      </w:r>
      <w:r w:rsidR="007B59DA">
        <w:t xml:space="preserve">more than </w:t>
      </w:r>
      <w:r>
        <w:t>10 years ago.</w:t>
      </w:r>
      <w:r>
        <w:rPr>
          <w:rStyle w:val="FootnoteReference"/>
        </w:rPr>
        <w:footnoteReference w:id="17"/>
      </w:r>
      <w:r w:rsidDel="00657FDE">
        <w:t xml:space="preserve"> </w:t>
      </w:r>
      <w:r>
        <w:t xml:space="preserve"> In t</w:t>
      </w:r>
      <w:r w:rsidRPr="008D47EF">
        <w:t>he</w:t>
      </w:r>
      <w:r>
        <w:t xml:space="preserve"> </w:t>
      </w:r>
      <w:r>
        <w:rPr>
          <w:i/>
        </w:rPr>
        <w:t>Equipment Authorization Procedures Order</w:t>
      </w:r>
      <w:r>
        <w:t xml:space="preserve"> of 1998, the Commission reduced </w:t>
      </w:r>
      <w:r w:rsidR="004315B7">
        <w:t xml:space="preserve">and consolidated </w:t>
      </w:r>
      <w:r>
        <w:t xml:space="preserve">the equipment approval processes for RF equipment to three types – </w:t>
      </w:r>
      <w:r w:rsidR="00C83E08">
        <w:t>c</w:t>
      </w:r>
      <w:r>
        <w:t xml:space="preserve">ertification, Declaration of Conformity (DoC), and </w:t>
      </w:r>
      <w:r w:rsidR="001E1E74">
        <w:t>verification</w:t>
      </w:r>
      <w:r>
        <w:t xml:space="preserve">; relaxed the equipment authorization requirement from </w:t>
      </w:r>
      <w:r w:rsidR="00FE5AF9">
        <w:t>certification</w:t>
      </w:r>
      <w:r>
        <w:t xml:space="preserve"> to Declaration of Conformity for certain Part 15 unintentional radiators and Part 18 consumer industrial, scientific, and medical (ISM) equipment; relaxed the equipment authorization requirement from </w:t>
      </w:r>
      <w:r w:rsidR="001E1E74">
        <w:t>notification</w:t>
      </w:r>
      <w:r>
        <w:t xml:space="preserve"> to </w:t>
      </w:r>
      <w:r w:rsidR="001E1E74">
        <w:t>verification</w:t>
      </w:r>
      <w:r>
        <w:t xml:space="preserve"> for certain transmitters operated in licensed services; and provided for electronic filing of applications for equipment authorization.</w:t>
      </w:r>
      <w:r>
        <w:rPr>
          <w:rStyle w:val="FootnoteReference"/>
        </w:rPr>
        <w:footnoteReference w:id="18"/>
      </w:r>
      <w:r>
        <w:t xml:space="preserve">  </w:t>
      </w:r>
      <w:r w:rsidRPr="004744B9">
        <w:t>These</w:t>
      </w:r>
      <w:r>
        <w:t xml:space="preserve"> actions were designed to reduce the burden of the equipment authorization program on manufacturers.</w:t>
      </w:r>
    </w:p>
    <w:p w:rsidR="007B59DA" w:rsidRDefault="007B5B58" w:rsidP="000116C7">
      <w:pPr>
        <w:pStyle w:val="ParaNum"/>
        <w:widowControl/>
        <w:spacing w:after="220"/>
      </w:pPr>
      <w:bookmarkStart w:id="86" w:name="_Ref332118557"/>
      <w:r>
        <w:t xml:space="preserve">Subsequently, </w:t>
      </w:r>
      <w:r w:rsidR="005B1E1D">
        <w:t xml:space="preserve">in the </w:t>
      </w:r>
      <w:r w:rsidR="005B1E1D">
        <w:rPr>
          <w:i/>
        </w:rPr>
        <w:t>Streamlining II Order</w:t>
      </w:r>
      <w:r w:rsidR="005B1E1D">
        <w:t>,</w:t>
      </w:r>
      <w:r w:rsidR="005B1E1D">
        <w:rPr>
          <w:i/>
        </w:rPr>
        <w:t xml:space="preserve"> </w:t>
      </w:r>
      <w:r>
        <w:t>the Commission amended its equipment authorization rules to further streamline the equipment authorization process</w:t>
      </w:r>
      <w:r w:rsidRPr="00DB12FB">
        <w:t xml:space="preserve"> </w:t>
      </w:r>
      <w:r>
        <w:t xml:space="preserve">by allowing accredited independent certification bodies, called Telecommunication Certification Bodies (TCBs), to </w:t>
      </w:r>
      <w:r w:rsidR="00097314">
        <w:t>approve</w:t>
      </w:r>
      <w:r>
        <w:t xml:space="preserve"> most </w:t>
      </w:r>
      <w:r>
        <w:lastRenderedPageBreak/>
        <w:t xml:space="preserve">types of equipment that require </w:t>
      </w:r>
      <w:r w:rsidR="00FE5AF9">
        <w:t>certification</w:t>
      </w:r>
      <w:r>
        <w:t>.</w:t>
      </w:r>
      <w:r>
        <w:rPr>
          <w:rStyle w:val="FootnoteReference"/>
        </w:rPr>
        <w:footnoteReference w:id="19"/>
      </w:r>
      <w:r>
        <w:t xml:space="preserve">  </w:t>
      </w:r>
      <w:r w:rsidR="00A82358">
        <w:t xml:space="preserve">The Commission </w:t>
      </w:r>
      <w:r w:rsidR="003B517E">
        <w:t>took this action</w:t>
      </w:r>
      <w:r w:rsidR="00A82358">
        <w:t xml:space="preserve"> pursuant to its authority under Section 302(e) of the Communications Act, which permits it to delegate equipment testing and certification to private organizations.</w:t>
      </w:r>
      <w:r w:rsidR="00A82358">
        <w:rPr>
          <w:rStyle w:val="FootnoteReference"/>
        </w:rPr>
        <w:footnoteReference w:id="20"/>
      </w:r>
      <w:r w:rsidR="00A82358">
        <w:t xml:space="preserve">  It</w:t>
      </w:r>
      <w:r w:rsidR="007B59DA">
        <w:t xml:space="preserve"> established the TCB program to provide manufacturers with an alternative to obtaining certification from the Commission, and to facilitate the more rapid introduction of RF equipment in the market.  </w:t>
      </w:r>
      <w:r w:rsidR="007B59DA" w:rsidRPr="007569C2">
        <w:t>TCBs</w:t>
      </w:r>
      <w:r w:rsidR="007B59DA">
        <w:t xml:space="preserve"> approve equipment under the certification procedure based on an application that provides all of the information specified in Part 2.</w:t>
      </w:r>
      <w:r w:rsidR="007B59DA">
        <w:rPr>
          <w:rStyle w:val="FootnoteReference"/>
        </w:rPr>
        <w:footnoteReference w:id="21"/>
      </w:r>
      <w:r w:rsidR="007B59DA">
        <w:t xml:space="preserve">  The TCB processes the application to determine whether the product meets the Commission’s requirements and issues a grant of equipment authorization through the Commission’s Equipment Authorization System (EAS).</w:t>
      </w:r>
      <w:r w:rsidR="007B59DA">
        <w:rPr>
          <w:rStyle w:val="FootnoteReference"/>
        </w:rPr>
        <w:footnoteReference w:id="22"/>
      </w:r>
      <w:r w:rsidR="007B59DA">
        <w:t xml:space="preserve">  The grant identifies the approving TCB and the Commission as the issuing authority.</w:t>
      </w:r>
      <w:r w:rsidR="007B59DA">
        <w:rPr>
          <w:rStyle w:val="FootnoteReference"/>
        </w:rPr>
        <w:footnoteReference w:id="23"/>
      </w:r>
      <w:r w:rsidR="007B59DA">
        <w:t xml:space="preserve">  While the Commission continues to process most types of certification applications, TCBs now issue the vast majority of grants of certification.</w:t>
      </w:r>
      <w:r w:rsidR="007B59DA">
        <w:rPr>
          <w:rStyle w:val="FootnoteReference"/>
        </w:rPr>
        <w:footnoteReference w:id="24"/>
      </w:r>
      <w:r w:rsidR="00AD7BFC" w:rsidRPr="00635545">
        <w:t xml:space="preserve"> </w:t>
      </w:r>
      <w:r w:rsidR="00AD7BFC">
        <w:t xml:space="preserve"> </w:t>
      </w:r>
      <w:r w:rsidR="00B27429">
        <w:t>In order to ensure that the TCBs’ evaluations are properly performed</w:t>
      </w:r>
      <w:r w:rsidR="00AD7BFC">
        <w:t>, the Commission holds mandatory monthly conference calls and semi-annual workshops with all TCBs to discuss recent interpretations, policy changes and any other issues or concerns related to the TCB program.</w:t>
      </w:r>
      <w:r w:rsidR="007B59DA">
        <w:t xml:space="preserve">  </w:t>
      </w:r>
      <w:r w:rsidR="00635545">
        <w:t xml:space="preserve">The Commission </w:t>
      </w:r>
      <w:r w:rsidR="00AD7BFC">
        <w:t xml:space="preserve">also </w:t>
      </w:r>
      <w:r w:rsidR="007B59DA">
        <w:t>performs audits on TCB approvals to ensure that TCBs operate in accordance with our rules.  If such audits reveal concerns about a particular TCB’s performance, the Commission may initiate action to verify the TCBs technical competence and may revoke the recognition of a TCB that does not operate in accordance with the rules.</w:t>
      </w:r>
      <w:r w:rsidR="007B59DA">
        <w:rPr>
          <w:rStyle w:val="FootnoteReference"/>
        </w:rPr>
        <w:footnoteReference w:id="25"/>
      </w:r>
    </w:p>
    <w:p w:rsidR="007B5B58" w:rsidRDefault="00864A54" w:rsidP="000116C7">
      <w:pPr>
        <w:pStyle w:val="ParaNum"/>
        <w:widowControl/>
        <w:spacing w:after="220"/>
      </w:pPr>
      <w:r>
        <w:t>TCBs</w:t>
      </w:r>
      <w:r w:rsidR="00C51E0E">
        <w:t>, which</w:t>
      </w:r>
      <w:r>
        <w:t xml:space="preserve"> may be located in the United States or in certain foreign countries</w:t>
      </w:r>
      <w:r w:rsidR="00C51E0E">
        <w:t>, all</w:t>
      </w:r>
      <w:r>
        <w:t xml:space="preserve"> have the same responsibilities </w:t>
      </w:r>
      <w:r w:rsidR="00C51E0E">
        <w:t>regardless of their location.  However, their location dictate</w:t>
      </w:r>
      <w:r w:rsidR="007B59DA">
        <w:t>s</w:t>
      </w:r>
      <w:r>
        <w:t xml:space="preserve"> the method</w:t>
      </w:r>
      <w:r w:rsidR="00C51E0E">
        <w:t xml:space="preserve"> by which they are</w:t>
      </w:r>
      <w:r>
        <w:t xml:space="preserve"> </w:t>
      </w:r>
      <w:r w:rsidR="00C51E0E">
        <w:t>designated</w:t>
      </w:r>
      <w:r>
        <w:t xml:space="preserve">.  </w:t>
      </w:r>
      <w:proofErr w:type="gramStart"/>
      <w:r w:rsidR="00097314">
        <w:t xml:space="preserve">TCBs within the United States are </w:t>
      </w:r>
      <w:r w:rsidR="00143D28">
        <w:t>designated</w:t>
      </w:r>
      <w:r w:rsidR="00097314">
        <w:t xml:space="preserve"> by the Commission after demonstrating that they </w:t>
      </w:r>
      <w:r w:rsidR="00250B95">
        <w:t>are</w:t>
      </w:r>
      <w:r w:rsidR="00097314">
        <w:t xml:space="preserve"> accredited </w:t>
      </w:r>
      <w:r w:rsidR="004A45B9">
        <w:t>to meet</w:t>
      </w:r>
      <w:r w:rsidR="00097314">
        <w:t xml:space="preserve"> the applicable </w:t>
      </w:r>
      <w:r w:rsidR="0032432B">
        <w:t>requirements</w:t>
      </w:r>
      <w:r w:rsidR="00097314">
        <w:t xml:space="preserve"> by </w:t>
      </w:r>
      <w:r>
        <w:t xml:space="preserve">NIST or its </w:t>
      </w:r>
      <w:r w:rsidR="005D7C7B">
        <w:t xml:space="preserve">designated </w:t>
      </w:r>
      <w:r w:rsidR="00097314">
        <w:t xml:space="preserve">accrediting </w:t>
      </w:r>
      <w:r>
        <w:t>organization</w:t>
      </w:r>
      <w:proofErr w:type="gramEnd"/>
      <w:r w:rsidR="00097314">
        <w:t>.</w:t>
      </w:r>
      <w:r>
        <w:rPr>
          <w:rStyle w:val="FootnoteReference"/>
        </w:rPr>
        <w:footnoteReference w:id="26"/>
      </w:r>
      <w:r w:rsidR="00097314">
        <w:t xml:space="preserve"> </w:t>
      </w:r>
      <w:r w:rsidR="007B5B58">
        <w:t xml:space="preserve">Certification bodies located outside of the United States can be recognized as a TCB </w:t>
      </w:r>
      <w:r>
        <w:t xml:space="preserve">only </w:t>
      </w:r>
      <w:r w:rsidR="007B5B58">
        <w:t xml:space="preserve">under the terms of a Mutual Recognition Agreement (MRA) </w:t>
      </w:r>
      <w:r w:rsidR="007B59DA">
        <w:t xml:space="preserve">between a foreign country and </w:t>
      </w:r>
      <w:r w:rsidR="007B5B58">
        <w:t>the United States</w:t>
      </w:r>
      <w:r w:rsidR="007B59DA">
        <w:t xml:space="preserve"> government</w:t>
      </w:r>
      <w:r w:rsidR="007B5B58">
        <w:t xml:space="preserve">.  </w:t>
      </w:r>
      <w:r>
        <w:t>Each MRA specifies an authority</w:t>
      </w:r>
      <w:r w:rsidR="00143D28">
        <w:t xml:space="preserve">, typically a government </w:t>
      </w:r>
      <w:proofErr w:type="gramStart"/>
      <w:r w:rsidR="00143D28">
        <w:t>entity,</w:t>
      </w:r>
      <w:r>
        <w:t xml:space="preserve"> that</w:t>
      </w:r>
      <w:proofErr w:type="gramEnd"/>
      <w:r>
        <w:t xml:space="preserve"> designates TCBs</w:t>
      </w:r>
      <w:r w:rsidR="0032432B">
        <w:t xml:space="preserve"> in the country or countries covered by the MRA</w:t>
      </w:r>
      <w:r w:rsidR="007B59DA">
        <w:t xml:space="preserve">.  The Commission then recognizes </w:t>
      </w:r>
      <w:r w:rsidR="0032432B">
        <w:t>the designated TCBs</w:t>
      </w:r>
      <w:r>
        <w:t xml:space="preserve">.  </w:t>
      </w:r>
      <w:bookmarkEnd w:id="86"/>
      <w:r w:rsidR="009A493F">
        <w:t>No TCBs</w:t>
      </w:r>
      <w:r w:rsidR="00F15A7E">
        <w:t xml:space="preserve"> are</w:t>
      </w:r>
      <w:r w:rsidR="009A493F">
        <w:t xml:space="preserve"> designated in countries that do not have an MRA with the United States</w:t>
      </w:r>
      <w:r w:rsidR="00A82358">
        <w:t xml:space="preserve">.  </w:t>
      </w:r>
      <w:r w:rsidR="00A82358">
        <w:lastRenderedPageBreak/>
        <w:t xml:space="preserve">Manufacturers in </w:t>
      </w:r>
      <w:r w:rsidR="009A493F">
        <w:t xml:space="preserve">such countries </w:t>
      </w:r>
      <w:r w:rsidR="00A82358">
        <w:t>have to obtain product certification at a designated TCB in another country.</w:t>
      </w:r>
      <w:r w:rsidR="009A493F">
        <w:rPr>
          <w:rStyle w:val="FootnoteReference"/>
        </w:rPr>
        <w:footnoteReference w:id="27"/>
      </w:r>
    </w:p>
    <w:p w:rsidR="007B5B58" w:rsidRDefault="007B5B58" w:rsidP="000116C7">
      <w:pPr>
        <w:pStyle w:val="ParaNum"/>
        <w:widowControl/>
        <w:spacing w:after="220"/>
      </w:pPr>
      <w:bookmarkStart w:id="87" w:name="_Ref196213558"/>
      <w:bookmarkStart w:id="88" w:name="_Ref337644605"/>
      <w:r>
        <w:t>The specific provisions of the</w:t>
      </w:r>
      <w:r w:rsidR="00681265">
        <w:t xml:space="preserve"> three</w:t>
      </w:r>
      <w:r>
        <w:t xml:space="preserve"> current RF equipment authorization procedures are </w:t>
      </w:r>
      <w:r w:rsidR="00681265">
        <w:t>described below</w:t>
      </w:r>
      <w:bookmarkEnd w:id="87"/>
      <w:r w:rsidR="00902E4A">
        <w:t>.</w:t>
      </w:r>
      <w:bookmarkEnd w:id="88"/>
    </w:p>
    <w:p w:rsidR="007B5B58" w:rsidRDefault="007B5B58" w:rsidP="000116C7">
      <w:pPr>
        <w:pStyle w:val="NormalWeb"/>
        <w:spacing w:before="0" w:beforeAutospacing="0" w:after="220" w:afterAutospacing="0"/>
        <w:ind w:left="662"/>
        <w:rPr>
          <w:rFonts w:ascii="Times New Roman" w:hAnsi="Times New Roman"/>
          <w:sz w:val="22"/>
          <w:szCs w:val="22"/>
        </w:rPr>
      </w:pPr>
      <w:r w:rsidRPr="007A28CC">
        <w:rPr>
          <w:rFonts w:ascii="Times New Roman" w:hAnsi="Times New Roman"/>
          <w:b/>
          <w:sz w:val="22"/>
          <w:szCs w:val="22"/>
        </w:rPr>
        <w:t>Certification</w:t>
      </w:r>
      <w:r w:rsidRPr="007A28CC">
        <w:rPr>
          <w:rFonts w:ascii="Times New Roman" w:hAnsi="Times New Roman"/>
          <w:sz w:val="22"/>
          <w:szCs w:val="22"/>
        </w:rPr>
        <w:t xml:space="preserve"> is an equipment authorization issued by the Commission or by a </w:t>
      </w:r>
      <w:r w:rsidR="00D7084D">
        <w:rPr>
          <w:rFonts w:ascii="Times New Roman" w:hAnsi="Times New Roman"/>
          <w:sz w:val="22"/>
          <w:szCs w:val="22"/>
        </w:rPr>
        <w:t>designated</w:t>
      </w:r>
      <w:r w:rsidRPr="007A28CC">
        <w:rPr>
          <w:rFonts w:ascii="Times New Roman" w:hAnsi="Times New Roman"/>
          <w:sz w:val="22"/>
          <w:szCs w:val="22"/>
        </w:rPr>
        <w:t xml:space="preserve"> TCB</w:t>
      </w:r>
      <w:r w:rsidR="00D7084D">
        <w:rPr>
          <w:rFonts w:ascii="Times New Roman" w:hAnsi="Times New Roman"/>
          <w:sz w:val="22"/>
          <w:szCs w:val="22"/>
        </w:rPr>
        <w:t xml:space="preserve"> </w:t>
      </w:r>
      <w:r w:rsidRPr="007A28CC">
        <w:rPr>
          <w:rFonts w:ascii="Times New Roman" w:hAnsi="Times New Roman"/>
          <w:sz w:val="22"/>
          <w:szCs w:val="22"/>
        </w:rPr>
        <w:t xml:space="preserve">based on </w:t>
      </w:r>
      <w:r>
        <w:rPr>
          <w:rFonts w:ascii="Times New Roman" w:hAnsi="Times New Roman"/>
          <w:sz w:val="22"/>
          <w:szCs w:val="22"/>
        </w:rPr>
        <w:t>an application</w:t>
      </w:r>
      <w:r w:rsidRPr="007A28CC">
        <w:rPr>
          <w:rFonts w:ascii="Times New Roman" w:hAnsi="Times New Roman"/>
          <w:sz w:val="22"/>
          <w:szCs w:val="22"/>
        </w:rPr>
        <w:t xml:space="preserve"> and test data submitted by the </w:t>
      </w:r>
      <w:r>
        <w:rPr>
          <w:rFonts w:ascii="Times New Roman" w:hAnsi="Times New Roman"/>
          <w:sz w:val="22"/>
          <w:szCs w:val="22"/>
        </w:rPr>
        <w:t>responsible party (</w:t>
      </w:r>
      <w:r w:rsidR="00902E4A">
        <w:rPr>
          <w:rFonts w:ascii="Times New Roman" w:hAnsi="Times New Roman"/>
          <w:i/>
          <w:sz w:val="22"/>
          <w:szCs w:val="22"/>
        </w:rPr>
        <w:t xml:space="preserve">e.g., </w:t>
      </w:r>
      <w:r w:rsidR="00902E4A">
        <w:rPr>
          <w:rFonts w:ascii="Times New Roman" w:hAnsi="Times New Roman"/>
          <w:sz w:val="22"/>
          <w:szCs w:val="22"/>
        </w:rPr>
        <w:t xml:space="preserve">the </w:t>
      </w:r>
      <w:r>
        <w:rPr>
          <w:rFonts w:ascii="Times New Roman" w:hAnsi="Times New Roman"/>
          <w:sz w:val="22"/>
          <w:szCs w:val="22"/>
        </w:rPr>
        <w:t>manufacturer or importer</w:t>
      </w:r>
      <w:r w:rsidRPr="00F15D80">
        <w:rPr>
          <w:rFonts w:ascii="Times New Roman" w:hAnsi="Times New Roman"/>
          <w:sz w:val="22"/>
          <w:szCs w:val="22"/>
        </w:rPr>
        <w:t>).</w:t>
      </w:r>
      <w:r>
        <w:rPr>
          <w:rStyle w:val="FootnoteReference"/>
          <w:szCs w:val="22"/>
        </w:rPr>
        <w:footnoteReference w:id="28"/>
      </w:r>
      <w:r w:rsidRPr="00F15D80">
        <w:rPr>
          <w:rFonts w:ascii="Times New Roman" w:hAnsi="Times New Roman"/>
          <w:sz w:val="22"/>
          <w:szCs w:val="22"/>
        </w:rPr>
        <w:t xml:space="preserve">  The Commission</w:t>
      </w:r>
      <w:r>
        <w:rPr>
          <w:rFonts w:ascii="Times New Roman" w:hAnsi="Times New Roman"/>
          <w:sz w:val="22"/>
          <w:szCs w:val="22"/>
        </w:rPr>
        <w:t xml:space="preserve"> or a TCB</w:t>
      </w:r>
      <w:r w:rsidRPr="00F15D80">
        <w:rPr>
          <w:rFonts w:ascii="Times New Roman" w:hAnsi="Times New Roman"/>
          <w:sz w:val="22"/>
          <w:szCs w:val="22"/>
        </w:rPr>
        <w:t xml:space="preserve"> may </w:t>
      </w:r>
      <w:r w:rsidR="00A82358">
        <w:rPr>
          <w:rFonts w:ascii="Times New Roman" w:hAnsi="Times New Roman"/>
          <w:sz w:val="22"/>
          <w:szCs w:val="22"/>
        </w:rPr>
        <w:t>re</w:t>
      </w:r>
      <w:r w:rsidR="003267D3">
        <w:rPr>
          <w:rFonts w:ascii="Times New Roman" w:hAnsi="Times New Roman"/>
          <w:sz w:val="22"/>
          <w:szCs w:val="22"/>
        </w:rPr>
        <w:t>-</w:t>
      </w:r>
      <w:r w:rsidR="00681265">
        <w:rPr>
          <w:rFonts w:ascii="Times New Roman" w:hAnsi="Times New Roman"/>
          <w:sz w:val="22"/>
          <w:szCs w:val="22"/>
        </w:rPr>
        <w:t>test</w:t>
      </w:r>
      <w:r w:rsidRPr="00F15D80">
        <w:rPr>
          <w:rFonts w:ascii="Times New Roman" w:hAnsi="Times New Roman"/>
          <w:sz w:val="22"/>
          <w:szCs w:val="22"/>
        </w:rPr>
        <w:t xml:space="preserve"> a sample of </w:t>
      </w:r>
      <w:r w:rsidR="00250B95">
        <w:rPr>
          <w:rFonts w:ascii="Times New Roman" w:hAnsi="Times New Roman"/>
          <w:sz w:val="22"/>
          <w:szCs w:val="22"/>
        </w:rPr>
        <w:t>a</w:t>
      </w:r>
      <w:r w:rsidRPr="00F15D80">
        <w:rPr>
          <w:rFonts w:ascii="Times New Roman" w:hAnsi="Times New Roman"/>
          <w:sz w:val="22"/>
          <w:szCs w:val="22"/>
        </w:rPr>
        <w:t xml:space="preserve"> device to </w:t>
      </w:r>
      <w:r w:rsidR="00250B95">
        <w:rPr>
          <w:rFonts w:ascii="Times New Roman" w:hAnsi="Times New Roman"/>
          <w:sz w:val="22"/>
          <w:szCs w:val="22"/>
        </w:rPr>
        <w:t>verify</w:t>
      </w:r>
      <w:r w:rsidRPr="00F15D80">
        <w:rPr>
          <w:rFonts w:ascii="Times New Roman" w:hAnsi="Times New Roman"/>
          <w:sz w:val="22"/>
          <w:szCs w:val="22"/>
        </w:rPr>
        <w:t xml:space="preserve"> </w:t>
      </w:r>
      <w:r w:rsidR="00250B95">
        <w:rPr>
          <w:rFonts w:ascii="Times New Roman" w:hAnsi="Times New Roman"/>
          <w:sz w:val="22"/>
          <w:szCs w:val="22"/>
        </w:rPr>
        <w:t>that it complies with the rules</w:t>
      </w:r>
      <w:r w:rsidRPr="00F15D80">
        <w:rPr>
          <w:rFonts w:ascii="Times New Roman" w:hAnsi="Times New Roman"/>
          <w:sz w:val="22"/>
          <w:szCs w:val="22"/>
        </w:rPr>
        <w:t xml:space="preserve"> before granting approval for the equipment to be marketed.</w:t>
      </w:r>
      <w:r w:rsidR="00A82358">
        <w:rPr>
          <w:rStyle w:val="FootnoteReference"/>
          <w:szCs w:val="22"/>
        </w:rPr>
        <w:footnoteReference w:id="29"/>
      </w:r>
      <w:r>
        <w:t xml:space="preserve">  </w:t>
      </w:r>
      <w:r w:rsidRPr="001107A2">
        <w:rPr>
          <w:rFonts w:ascii="Times New Roman" w:hAnsi="Times New Roman"/>
          <w:sz w:val="22"/>
          <w:szCs w:val="22"/>
        </w:rPr>
        <w:t xml:space="preserve">The </w:t>
      </w:r>
      <w:r w:rsidR="00FE5AF9">
        <w:rPr>
          <w:rFonts w:ascii="Times New Roman" w:hAnsi="Times New Roman"/>
          <w:sz w:val="22"/>
          <w:szCs w:val="22"/>
        </w:rPr>
        <w:t>certification</w:t>
      </w:r>
      <w:r w:rsidRPr="001107A2">
        <w:rPr>
          <w:rFonts w:ascii="Times New Roman" w:hAnsi="Times New Roman"/>
          <w:sz w:val="22"/>
          <w:szCs w:val="22"/>
        </w:rPr>
        <w:t xml:space="preserve"> procedure is typically </w:t>
      </w:r>
      <w:r>
        <w:rPr>
          <w:rFonts w:ascii="Times New Roman" w:hAnsi="Times New Roman"/>
          <w:sz w:val="22"/>
          <w:szCs w:val="22"/>
        </w:rPr>
        <w:t>applied to</w:t>
      </w:r>
      <w:r w:rsidRPr="001107A2">
        <w:rPr>
          <w:rFonts w:ascii="Times New Roman" w:hAnsi="Times New Roman"/>
          <w:sz w:val="22"/>
          <w:szCs w:val="22"/>
        </w:rPr>
        <w:t xml:space="preserve"> RF equipment</w:t>
      </w:r>
      <w:r>
        <w:rPr>
          <w:rFonts w:ascii="Times New Roman" w:hAnsi="Times New Roman"/>
          <w:sz w:val="22"/>
          <w:szCs w:val="22"/>
        </w:rPr>
        <w:t xml:space="preserve"> that has a greater risk of non-compliance</w:t>
      </w:r>
      <w:r w:rsidR="00F52547">
        <w:rPr>
          <w:rFonts w:ascii="Times New Roman" w:hAnsi="Times New Roman"/>
          <w:sz w:val="22"/>
          <w:szCs w:val="22"/>
        </w:rPr>
        <w:t>, such as equipment</w:t>
      </w:r>
      <w:r w:rsidRPr="001107A2">
        <w:rPr>
          <w:rFonts w:ascii="Times New Roman" w:hAnsi="Times New Roman"/>
          <w:sz w:val="22"/>
          <w:szCs w:val="22"/>
        </w:rPr>
        <w:t xml:space="preserve"> employing new technology for which the testing methodology is not well defined, or </w:t>
      </w:r>
      <w:r>
        <w:rPr>
          <w:rFonts w:ascii="Times New Roman" w:hAnsi="Times New Roman"/>
          <w:sz w:val="22"/>
          <w:szCs w:val="22"/>
        </w:rPr>
        <w:t xml:space="preserve">that </w:t>
      </w:r>
      <w:r w:rsidR="004A45B9">
        <w:rPr>
          <w:rFonts w:ascii="Times New Roman" w:hAnsi="Times New Roman"/>
          <w:sz w:val="22"/>
          <w:szCs w:val="22"/>
        </w:rPr>
        <w:t>pose</w:t>
      </w:r>
      <w:r w:rsidR="00F52547">
        <w:rPr>
          <w:rFonts w:ascii="Times New Roman" w:hAnsi="Times New Roman"/>
          <w:sz w:val="22"/>
          <w:szCs w:val="22"/>
        </w:rPr>
        <w:t>s</w:t>
      </w:r>
      <w:r w:rsidRPr="001107A2">
        <w:rPr>
          <w:rFonts w:ascii="Times New Roman" w:hAnsi="Times New Roman"/>
          <w:sz w:val="22"/>
          <w:szCs w:val="22"/>
        </w:rPr>
        <w:t xml:space="preserve"> a high</w:t>
      </w:r>
      <w:r w:rsidR="004A45B9">
        <w:rPr>
          <w:rFonts w:ascii="Times New Roman" w:hAnsi="Times New Roman"/>
          <w:sz w:val="22"/>
          <w:szCs w:val="22"/>
        </w:rPr>
        <w:t>er</w:t>
      </w:r>
      <w:r w:rsidRPr="001107A2">
        <w:rPr>
          <w:rFonts w:ascii="Times New Roman" w:hAnsi="Times New Roman"/>
          <w:sz w:val="22"/>
          <w:szCs w:val="22"/>
        </w:rPr>
        <w:t xml:space="preserve"> risk of interference.</w:t>
      </w:r>
      <w:r>
        <w:t xml:space="preserve">  </w:t>
      </w:r>
      <w:r w:rsidRPr="007A28CC">
        <w:rPr>
          <w:rFonts w:ascii="Times New Roman" w:hAnsi="Times New Roman"/>
          <w:sz w:val="22"/>
          <w:szCs w:val="22"/>
        </w:rPr>
        <w:t xml:space="preserve">Examples of devices subject to </w:t>
      </w:r>
      <w:r w:rsidR="00FE5AF9">
        <w:rPr>
          <w:rFonts w:ascii="Times New Roman" w:hAnsi="Times New Roman"/>
          <w:sz w:val="22"/>
          <w:szCs w:val="22"/>
        </w:rPr>
        <w:t>certification</w:t>
      </w:r>
      <w:r w:rsidRPr="007A28CC">
        <w:rPr>
          <w:rFonts w:ascii="Times New Roman" w:hAnsi="Times New Roman"/>
          <w:sz w:val="22"/>
          <w:szCs w:val="22"/>
        </w:rPr>
        <w:t xml:space="preserve"> include, but are </w:t>
      </w:r>
      <w:r>
        <w:rPr>
          <w:rFonts w:ascii="Times New Roman" w:hAnsi="Times New Roman"/>
          <w:sz w:val="22"/>
          <w:szCs w:val="22"/>
        </w:rPr>
        <w:t xml:space="preserve">not limited to, </w:t>
      </w:r>
      <w:r w:rsidR="004A45B9">
        <w:rPr>
          <w:rFonts w:ascii="Times New Roman" w:hAnsi="Times New Roman"/>
          <w:sz w:val="22"/>
          <w:szCs w:val="22"/>
        </w:rPr>
        <w:t>mobile</w:t>
      </w:r>
      <w:r>
        <w:rPr>
          <w:rFonts w:ascii="Times New Roman" w:hAnsi="Times New Roman"/>
          <w:sz w:val="22"/>
          <w:szCs w:val="22"/>
        </w:rPr>
        <w:t xml:space="preserve"> phones; </w:t>
      </w:r>
      <w:r w:rsidR="004A45B9">
        <w:rPr>
          <w:rFonts w:ascii="Times New Roman" w:hAnsi="Times New Roman"/>
          <w:sz w:val="22"/>
          <w:szCs w:val="22"/>
        </w:rPr>
        <w:t xml:space="preserve">wireless local area networking equipment, </w:t>
      </w:r>
      <w:r w:rsidR="00D7084D">
        <w:rPr>
          <w:rFonts w:ascii="Times New Roman" w:hAnsi="Times New Roman"/>
          <w:sz w:val="22"/>
          <w:szCs w:val="22"/>
        </w:rPr>
        <w:t>remote</w:t>
      </w:r>
      <w:r>
        <w:rPr>
          <w:rFonts w:ascii="Times New Roman" w:hAnsi="Times New Roman"/>
          <w:sz w:val="22"/>
          <w:szCs w:val="22"/>
        </w:rPr>
        <w:t xml:space="preserve"> </w:t>
      </w:r>
      <w:r w:rsidR="00C83E08">
        <w:rPr>
          <w:rFonts w:ascii="Times New Roman" w:hAnsi="Times New Roman"/>
          <w:sz w:val="22"/>
          <w:szCs w:val="22"/>
        </w:rPr>
        <w:t>c</w:t>
      </w:r>
      <w:r>
        <w:rPr>
          <w:rFonts w:ascii="Times New Roman" w:hAnsi="Times New Roman"/>
          <w:sz w:val="22"/>
          <w:szCs w:val="22"/>
        </w:rPr>
        <w:t>ontrol t</w:t>
      </w:r>
      <w:r w:rsidRPr="007A28CC">
        <w:rPr>
          <w:rFonts w:ascii="Times New Roman" w:hAnsi="Times New Roman"/>
          <w:sz w:val="22"/>
          <w:szCs w:val="22"/>
        </w:rPr>
        <w:t xml:space="preserve">ransmitters; </w:t>
      </w:r>
      <w:r w:rsidR="004A45B9">
        <w:rPr>
          <w:rFonts w:ascii="Times New Roman" w:hAnsi="Times New Roman"/>
          <w:sz w:val="22"/>
          <w:szCs w:val="22"/>
        </w:rPr>
        <w:t>land mobile radio</w:t>
      </w:r>
      <w:r>
        <w:rPr>
          <w:rFonts w:ascii="Times New Roman" w:hAnsi="Times New Roman"/>
          <w:sz w:val="22"/>
          <w:szCs w:val="22"/>
        </w:rPr>
        <w:t xml:space="preserve"> transmitters</w:t>
      </w:r>
      <w:r w:rsidRPr="007A28CC">
        <w:rPr>
          <w:rFonts w:ascii="Times New Roman" w:hAnsi="Times New Roman"/>
          <w:sz w:val="22"/>
          <w:szCs w:val="22"/>
        </w:rPr>
        <w:t xml:space="preserve">; </w:t>
      </w:r>
      <w:r w:rsidR="00C83E08">
        <w:rPr>
          <w:rFonts w:ascii="Times New Roman" w:hAnsi="Times New Roman"/>
          <w:sz w:val="22"/>
          <w:szCs w:val="22"/>
        </w:rPr>
        <w:t>w</w:t>
      </w:r>
      <w:r w:rsidR="004A45B9">
        <w:rPr>
          <w:rFonts w:ascii="Times New Roman" w:hAnsi="Times New Roman"/>
          <w:sz w:val="22"/>
          <w:szCs w:val="22"/>
        </w:rPr>
        <w:t xml:space="preserve">ireless </w:t>
      </w:r>
      <w:r w:rsidR="00C83E08">
        <w:rPr>
          <w:rFonts w:ascii="Times New Roman" w:hAnsi="Times New Roman"/>
          <w:sz w:val="22"/>
          <w:szCs w:val="22"/>
        </w:rPr>
        <w:t>m</w:t>
      </w:r>
      <w:r>
        <w:rPr>
          <w:rFonts w:ascii="Times New Roman" w:hAnsi="Times New Roman"/>
          <w:sz w:val="22"/>
          <w:szCs w:val="22"/>
        </w:rPr>
        <w:t xml:space="preserve">edical </w:t>
      </w:r>
      <w:r w:rsidR="00C83E08">
        <w:rPr>
          <w:rFonts w:ascii="Times New Roman" w:hAnsi="Times New Roman"/>
          <w:sz w:val="22"/>
          <w:szCs w:val="22"/>
        </w:rPr>
        <w:t>t</w:t>
      </w:r>
      <w:r>
        <w:rPr>
          <w:rFonts w:ascii="Times New Roman" w:hAnsi="Times New Roman"/>
          <w:sz w:val="22"/>
          <w:szCs w:val="22"/>
        </w:rPr>
        <w:t xml:space="preserve">elemetry transmitters; cordless </w:t>
      </w:r>
      <w:r w:rsidR="004A45B9">
        <w:rPr>
          <w:rFonts w:ascii="Times New Roman" w:hAnsi="Times New Roman"/>
          <w:sz w:val="22"/>
          <w:szCs w:val="22"/>
        </w:rPr>
        <w:t>tele</w:t>
      </w:r>
      <w:r>
        <w:rPr>
          <w:rFonts w:ascii="Times New Roman" w:hAnsi="Times New Roman"/>
          <w:sz w:val="22"/>
          <w:szCs w:val="22"/>
        </w:rPr>
        <w:t>p</w:t>
      </w:r>
      <w:r w:rsidRPr="007A28CC">
        <w:rPr>
          <w:rFonts w:ascii="Times New Roman" w:hAnsi="Times New Roman"/>
          <w:sz w:val="22"/>
          <w:szCs w:val="22"/>
        </w:rPr>
        <w:t xml:space="preserve">hones; </w:t>
      </w:r>
      <w:r>
        <w:rPr>
          <w:rFonts w:ascii="Times New Roman" w:hAnsi="Times New Roman"/>
          <w:sz w:val="22"/>
          <w:szCs w:val="22"/>
        </w:rPr>
        <w:t>and walkie</w:t>
      </w:r>
      <w:r w:rsidR="00F52547">
        <w:rPr>
          <w:rFonts w:ascii="Times New Roman" w:hAnsi="Times New Roman"/>
          <w:sz w:val="22"/>
          <w:szCs w:val="22"/>
        </w:rPr>
        <w:t>-</w:t>
      </w:r>
      <w:r>
        <w:rPr>
          <w:rFonts w:ascii="Times New Roman" w:hAnsi="Times New Roman"/>
          <w:sz w:val="22"/>
          <w:szCs w:val="22"/>
        </w:rPr>
        <w:t>t</w:t>
      </w:r>
      <w:r w:rsidRPr="007A28CC">
        <w:rPr>
          <w:rFonts w:ascii="Times New Roman" w:hAnsi="Times New Roman"/>
          <w:sz w:val="22"/>
          <w:szCs w:val="22"/>
        </w:rPr>
        <w:t>alkies.</w:t>
      </w:r>
      <w:r w:rsidRPr="001107A2">
        <w:rPr>
          <w:rFonts w:ascii="Times New Roman" w:hAnsi="Times New Roman"/>
          <w:sz w:val="22"/>
          <w:szCs w:val="22"/>
        </w:rPr>
        <w:t xml:space="preserve"> </w:t>
      </w:r>
      <w:r>
        <w:rPr>
          <w:rFonts w:ascii="Times New Roman" w:hAnsi="Times New Roman"/>
          <w:sz w:val="22"/>
          <w:szCs w:val="22"/>
        </w:rPr>
        <w:t xml:space="preserve"> All certified equipment is listed in a Commission database</w:t>
      </w:r>
      <w:r w:rsidR="007B59DA">
        <w:rPr>
          <w:rFonts w:ascii="Times New Roman" w:hAnsi="Times New Roman"/>
          <w:sz w:val="22"/>
          <w:szCs w:val="22"/>
        </w:rPr>
        <w:t>, regardless of</w:t>
      </w:r>
      <w:r w:rsidR="00F52547">
        <w:rPr>
          <w:rFonts w:ascii="Times New Roman" w:hAnsi="Times New Roman"/>
          <w:sz w:val="22"/>
          <w:szCs w:val="22"/>
        </w:rPr>
        <w:t xml:space="preserve"> whether it is approved by the Commission or a TCB</w:t>
      </w:r>
      <w:r>
        <w:rPr>
          <w:rFonts w:ascii="Times New Roman" w:hAnsi="Times New Roman"/>
          <w:sz w:val="22"/>
          <w:szCs w:val="22"/>
        </w:rPr>
        <w:t>.</w:t>
      </w:r>
      <w:r>
        <w:rPr>
          <w:rStyle w:val="FootnoteReference"/>
          <w:szCs w:val="22"/>
        </w:rPr>
        <w:footnoteReference w:id="30"/>
      </w:r>
    </w:p>
    <w:p w:rsidR="007B5B58" w:rsidRDefault="007B5B58" w:rsidP="000116C7">
      <w:pPr>
        <w:pStyle w:val="ParaNum"/>
        <w:widowControl/>
        <w:numPr>
          <w:ilvl w:val="0"/>
          <w:numId w:val="0"/>
        </w:numPr>
        <w:tabs>
          <w:tab w:val="left" w:pos="770"/>
        </w:tabs>
        <w:spacing w:after="220"/>
        <w:ind w:left="660"/>
      </w:pPr>
      <w:r>
        <w:rPr>
          <w:b/>
        </w:rPr>
        <w:t xml:space="preserve">Declaration of Conformity (DoC) </w:t>
      </w:r>
      <w:r>
        <w:t xml:space="preserve">is a procedure that requires the party </w:t>
      </w:r>
      <w:r w:rsidR="00F52547">
        <w:t xml:space="preserve">responsible for compliance </w:t>
      </w:r>
      <w:r>
        <w:t xml:space="preserve">to </w:t>
      </w:r>
      <w:r w:rsidR="003A44FD">
        <w:t xml:space="preserve">follow certain </w:t>
      </w:r>
      <w:r>
        <w:t xml:space="preserve">measurement </w:t>
      </w:r>
      <w:r w:rsidR="003A44FD">
        <w:t>requirements and/</w:t>
      </w:r>
      <w:r>
        <w:t>or take other necessary steps to ensure that the equipment complies with the appropriate technical standards.</w:t>
      </w:r>
      <w:r>
        <w:rPr>
          <w:rStyle w:val="FootnoteReference"/>
        </w:rPr>
        <w:footnoteReference w:id="31"/>
      </w:r>
      <w:r>
        <w:t xml:space="preserve">  </w:t>
      </w:r>
      <w:r w:rsidR="00563615">
        <w:t>A compliance information statement must be supplied with the product</w:t>
      </w:r>
      <w:r w:rsidR="00DE180E">
        <w:t xml:space="preserve">, </w:t>
      </w:r>
      <w:r w:rsidR="00563615">
        <w:t>identif</w:t>
      </w:r>
      <w:r w:rsidR="00DE180E">
        <w:t>ying</w:t>
      </w:r>
      <w:r w:rsidR="00563615">
        <w:t xml:space="preserve"> the product and a responsible party within the United States</w:t>
      </w:r>
      <w:r w:rsidR="00DE180E">
        <w:t>,</w:t>
      </w:r>
      <w:r w:rsidR="00563615">
        <w:t xml:space="preserve"> and contain</w:t>
      </w:r>
      <w:r w:rsidR="00DE180E">
        <w:t>ing</w:t>
      </w:r>
      <w:r w:rsidR="00563615">
        <w:t xml:space="preserve"> the statement specified in Section 15.19(a)(3).</w:t>
      </w:r>
      <w:r w:rsidR="00563615">
        <w:rPr>
          <w:rStyle w:val="FootnoteReference"/>
        </w:rPr>
        <w:footnoteReference w:id="32"/>
      </w:r>
      <w:r w:rsidR="00563615">
        <w:t xml:space="preserve">  The</w:t>
      </w:r>
      <w:r>
        <w:t xml:space="preserve"> responsible party is not required to file an equipment authorization application with the Commission</w:t>
      </w:r>
      <w:r w:rsidR="004A45B9">
        <w:t xml:space="preserve"> or a </w:t>
      </w:r>
      <w:r>
        <w:t>TCB</w:t>
      </w:r>
      <w:r w:rsidR="004A45B9">
        <w:t>,</w:t>
      </w:r>
      <w:r>
        <w:t xml:space="preserve"> or to submit a sample unit or test data unless specifically requested.</w:t>
      </w:r>
      <w:r>
        <w:rPr>
          <w:rStyle w:val="FootnoteReference"/>
        </w:rPr>
        <w:footnoteReference w:id="33"/>
      </w:r>
      <w:r>
        <w:t xml:space="preserve">  </w:t>
      </w:r>
      <w:r w:rsidR="00DB19C7">
        <w:t>However, the responsible party</w:t>
      </w:r>
      <w:r w:rsidR="00563615">
        <w:t xml:space="preserve"> must </w:t>
      </w:r>
      <w:r w:rsidR="00E3208F">
        <w:t>submit to the Commission upon request records of the original design drawings and specifications, the procedures used for production inspection and testing, a report of RF emission measurements, the compliance information statement, and a sample of the device.</w:t>
      </w:r>
      <w:r w:rsidR="00E3208F">
        <w:rPr>
          <w:rStyle w:val="FootnoteReference"/>
        </w:rPr>
        <w:footnoteReference w:id="34"/>
      </w:r>
      <w:r w:rsidR="002F7B06">
        <w:t xml:space="preserve"> </w:t>
      </w:r>
      <w:r>
        <w:t xml:space="preserve">The DoC </w:t>
      </w:r>
      <w:r w:rsidR="00F52547">
        <w:t xml:space="preserve">authorization </w:t>
      </w:r>
      <w:r>
        <w:t xml:space="preserve">procedure is </w:t>
      </w:r>
      <w:r w:rsidR="00F52547">
        <w:t xml:space="preserve">typically required for </w:t>
      </w:r>
      <w:r w:rsidR="00563615">
        <w:t xml:space="preserve">types of </w:t>
      </w:r>
      <w:r>
        <w:t xml:space="preserve">RF equipment that </w:t>
      </w:r>
      <w:r w:rsidR="00563615">
        <w:t xml:space="preserve">have </w:t>
      </w:r>
      <w:r>
        <w:t>a good record of compliance, where the testing methodology is clearly defined and recognized by the Commission, and there is a low risk of interference.  Examples of devices subject to a DoC include personal computers and peripherals</w:t>
      </w:r>
      <w:r w:rsidR="00B253D4">
        <w:t>,</w:t>
      </w:r>
      <w:r>
        <w:t xml:space="preserve"> </w:t>
      </w:r>
      <w:r w:rsidR="00B253D4">
        <w:t xml:space="preserve">consumer ISM equipment </w:t>
      </w:r>
      <w:r w:rsidR="00B253D4">
        <w:lastRenderedPageBreak/>
        <w:t xml:space="preserve">such as microwave ovens and RF light </w:t>
      </w:r>
      <w:proofErr w:type="gramStart"/>
      <w:r w:rsidR="00B253D4">
        <w:t>bulbs,</w:t>
      </w:r>
      <w:proofErr w:type="gramEnd"/>
      <w:r w:rsidR="00B253D4">
        <w:t xml:space="preserve"> radio re</w:t>
      </w:r>
      <w:r>
        <w:t>ceivers and TV interface devices.</w:t>
      </w:r>
      <w:bookmarkStart w:id="89" w:name="_Ref195518942"/>
      <w:r>
        <w:rPr>
          <w:rStyle w:val="FootnoteReference"/>
        </w:rPr>
        <w:footnoteReference w:id="35"/>
      </w:r>
      <w:bookmarkEnd w:id="89"/>
      <w:r>
        <w:t xml:space="preserve">  Equipment authorized under </w:t>
      </w:r>
      <w:r w:rsidR="00F10F3D">
        <w:t xml:space="preserve">the </w:t>
      </w:r>
      <w:r>
        <w:t xml:space="preserve">DoC </w:t>
      </w:r>
      <w:r w:rsidR="00F10F3D">
        <w:t xml:space="preserve">procedure </w:t>
      </w:r>
      <w:r>
        <w:t>is not listed in a Commission database.</w:t>
      </w:r>
    </w:p>
    <w:p w:rsidR="007B5B58" w:rsidRDefault="007B5B58" w:rsidP="000116C7">
      <w:pPr>
        <w:pStyle w:val="NormalWeb"/>
        <w:spacing w:before="0" w:beforeAutospacing="0" w:after="220" w:afterAutospacing="0"/>
        <w:ind w:left="662"/>
        <w:rPr>
          <w:rFonts w:ascii="Times New Roman" w:hAnsi="Times New Roman"/>
          <w:sz w:val="22"/>
          <w:szCs w:val="22"/>
        </w:rPr>
      </w:pPr>
      <w:r w:rsidRPr="007A28CC">
        <w:rPr>
          <w:rFonts w:ascii="Times New Roman" w:hAnsi="Times New Roman"/>
          <w:b/>
          <w:sz w:val="22"/>
          <w:szCs w:val="22"/>
        </w:rPr>
        <w:t xml:space="preserve">Verification </w:t>
      </w:r>
      <w:r w:rsidRPr="007A28CC">
        <w:rPr>
          <w:rFonts w:ascii="Times New Roman" w:hAnsi="Times New Roman"/>
          <w:sz w:val="22"/>
          <w:szCs w:val="22"/>
        </w:rPr>
        <w:t xml:space="preserve">is a procedure </w:t>
      </w:r>
      <w:r>
        <w:rPr>
          <w:rFonts w:ascii="Times New Roman" w:hAnsi="Times New Roman"/>
          <w:sz w:val="22"/>
          <w:szCs w:val="22"/>
        </w:rPr>
        <w:t>under which</w:t>
      </w:r>
      <w:r w:rsidRPr="007A28CC">
        <w:rPr>
          <w:rFonts w:ascii="Times New Roman" w:hAnsi="Times New Roman"/>
          <w:sz w:val="22"/>
          <w:szCs w:val="22"/>
        </w:rPr>
        <w:t xml:space="preserve"> the </w:t>
      </w:r>
      <w:r w:rsidR="00F52547">
        <w:rPr>
          <w:rFonts w:ascii="Times New Roman" w:hAnsi="Times New Roman"/>
          <w:sz w:val="22"/>
          <w:szCs w:val="22"/>
        </w:rPr>
        <w:t>party</w:t>
      </w:r>
      <w:r w:rsidR="00F52547" w:rsidRPr="007A28CC">
        <w:rPr>
          <w:rFonts w:ascii="Times New Roman" w:hAnsi="Times New Roman"/>
          <w:sz w:val="22"/>
          <w:szCs w:val="22"/>
        </w:rPr>
        <w:t xml:space="preserve"> </w:t>
      </w:r>
      <w:r>
        <w:rPr>
          <w:rFonts w:ascii="Times New Roman" w:hAnsi="Times New Roman"/>
          <w:sz w:val="22"/>
          <w:szCs w:val="22"/>
        </w:rPr>
        <w:t>responsible</w:t>
      </w:r>
      <w:r w:rsidR="00F52547">
        <w:rPr>
          <w:rFonts w:ascii="Times New Roman" w:hAnsi="Times New Roman"/>
          <w:sz w:val="22"/>
          <w:szCs w:val="22"/>
        </w:rPr>
        <w:t xml:space="preserve"> for compliance</w:t>
      </w:r>
      <w:r>
        <w:rPr>
          <w:rFonts w:ascii="Times New Roman" w:hAnsi="Times New Roman"/>
          <w:sz w:val="22"/>
          <w:szCs w:val="22"/>
        </w:rPr>
        <w:t xml:space="preserve"> </w:t>
      </w:r>
      <w:r w:rsidR="004315B7">
        <w:rPr>
          <w:rFonts w:ascii="Times New Roman" w:hAnsi="Times New Roman"/>
          <w:sz w:val="22"/>
          <w:szCs w:val="22"/>
        </w:rPr>
        <w:t>relies on</w:t>
      </w:r>
      <w:r w:rsidRPr="007A28CC">
        <w:rPr>
          <w:rFonts w:ascii="Times New Roman" w:hAnsi="Times New Roman"/>
          <w:sz w:val="22"/>
          <w:szCs w:val="22"/>
        </w:rPr>
        <w:t xml:space="preserve"> measurements </w:t>
      </w:r>
      <w:r w:rsidR="004315B7">
        <w:rPr>
          <w:rFonts w:ascii="Times New Roman" w:hAnsi="Times New Roman"/>
          <w:sz w:val="22"/>
          <w:szCs w:val="22"/>
        </w:rPr>
        <w:t>that it or another party makes to</w:t>
      </w:r>
      <w:r w:rsidR="00F52547">
        <w:rPr>
          <w:rFonts w:ascii="Times New Roman" w:hAnsi="Times New Roman"/>
          <w:sz w:val="22"/>
          <w:szCs w:val="22"/>
        </w:rPr>
        <w:t xml:space="preserve"> ensure</w:t>
      </w:r>
      <w:r w:rsidRPr="007A28CC">
        <w:rPr>
          <w:rFonts w:ascii="Times New Roman" w:hAnsi="Times New Roman"/>
          <w:sz w:val="22"/>
          <w:szCs w:val="22"/>
        </w:rPr>
        <w:t xml:space="preserve"> that the equipment complies with the appropriate technical standards.</w:t>
      </w:r>
      <w:r>
        <w:rPr>
          <w:rStyle w:val="FootnoteReference"/>
          <w:szCs w:val="22"/>
        </w:rPr>
        <w:footnoteReference w:id="36"/>
      </w:r>
      <w:r>
        <w:rPr>
          <w:rFonts w:ascii="Times New Roman" w:hAnsi="Times New Roman"/>
          <w:sz w:val="22"/>
          <w:szCs w:val="22"/>
        </w:rPr>
        <w:t xml:space="preserve">  Under </w:t>
      </w:r>
      <w:r w:rsidR="00F52547">
        <w:rPr>
          <w:rFonts w:ascii="Times New Roman" w:hAnsi="Times New Roman"/>
          <w:sz w:val="22"/>
          <w:szCs w:val="22"/>
        </w:rPr>
        <w:t xml:space="preserve">the </w:t>
      </w:r>
      <w:r w:rsidR="00C83E08">
        <w:rPr>
          <w:rFonts w:ascii="Times New Roman" w:hAnsi="Times New Roman"/>
          <w:sz w:val="22"/>
          <w:szCs w:val="22"/>
        </w:rPr>
        <w:t>v</w:t>
      </w:r>
      <w:r>
        <w:rPr>
          <w:rFonts w:ascii="Times New Roman" w:hAnsi="Times New Roman"/>
          <w:sz w:val="22"/>
          <w:szCs w:val="22"/>
        </w:rPr>
        <w:t>erification</w:t>
      </w:r>
      <w:r w:rsidR="00F52547">
        <w:rPr>
          <w:rFonts w:ascii="Times New Roman" w:hAnsi="Times New Roman"/>
          <w:sz w:val="22"/>
          <w:szCs w:val="22"/>
        </w:rPr>
        <w:t xml:space="preserve"> procedure</w:t>
      </w:r>
      <w:r>
        <w:rPr>
          <w:rFonts w:ascii="Times New Roman" w:hAnsi="Times New Roman"/>
          <w:sz w:val="22"/>
          <w:szCs w:val="22"/>
        </w:rPr>
        <w:t>, the responsible party is not required to file an application with the Commission.</w:t>
      </w:r>
      <w:r w:rsidRPr="007A28CC">
        <w:rPr>
          <w:rFonts w:ascii="Times New Roman" w:hAnsi="Times New Roman"/>
          <w:sz w:val="22"/>
          <w:szCs w:val="22"/>
        </w:rPr>
        <w:t xml:space="preserve"> </w:t>
      </w:r>
      <w:r>
        <w:rPr>
          <w:rFonts w:ascii="Times New Roman" w:hAnsi="Times New Roman"/>
          <w:sz w:val="22"/>
          <w:szCs w:val="22"/>
        </w:rPr>
        <w:t xml:space="preserve"> </w:t>
      </w:r>
      <w:r w:rsidRPr="007A28CC">
        <w:rPr>
          <w:rFonts w:ascii="Times New Roman" w:hAnsi="Times New Roman"/>
          <w:sz w:val="22"/>
          <w:szCs w:val="22"/>
        </w:rPr>
        <w:t>Submi</w:t>
      </w:r>
      <w:r w:rsidR="00DE180E">
        <w:rPr>
          <w:rFonts w:ascii="Times New Roman" w:hAnsi="Times New Roman"/>
          <w:sz w:val="22"/>
          <w:szCs w:val="22"/>
        </w:rPr>
        <w:t>ssion</w:t>
      </w:r>
      <w:r w:rsidRPr="007A28CC">
        <w:rPr>
          <w:rFonts w:ascii="Times New Roman" w:hAnsi="Times New Roman"/>
          <w:sz w:val="22"/>
          <w:szCs w:val="22"/>
        </w:rPr>
        <w:t xml:space="preserve"> of a sample unit or representative data to the Commission demonstrating compliance is not required unless specifically requested by the Commission.</w:t>
      </w:r>
      <w:r>
        <w:rPr>
          <w:rStyle w:val="FootnoteReference"/>
          <w:szCs w:val="22"/>
        </w:rPr>
        <w:footnoteReference w:id="37"/>
      </w:r>
      <w:r>
        <w:rPr>
          <w:rFonts w:ascii="Times New Roman" w:hAnsi="Times New Roman"/>
          <w:sz w:val="22"/>
          <w:szCs w:val="22"/>
        </w:rPr>
        <w:t xml:space="preserve">  </w:t>
      </w:r>
      <w:r w:rsidR="00E3208F" w:rsidRPr="00E3208F">
        <w:rPr>
          <w:rFonts w:ascii="Times New Roman" w:hAnsi="Times New Roman"/>
          <w:sz w:val="22"/>
          <w:szCs w:val="22"/>
        </w:rPr>
        <w:t xml:space="preserve">The responsible </w:t>
      </w:r>
      <w:r w:rsidR="00DB19C7" w:rsidRPr="00E3208F">
        <w:rPr>
          <w:rFonts w:ascii="Times New Roman" w:hAnsi="Times New Roman"/>
          <w:sz w:val="22"/>
          <w:szCs w:val="22"/>
        </w:rPr>
        <w:t xml:space="preserve">party </w:t>
      </w:r>
      <w:r w:rsidR="00E3208F" w:rsidRPr="00E3208F">
        <w:rPr>
          <w:rFonts w:ascii="Times New Roman" w:hAnsi="Times New Roman"/>
          <w:sz w:val="22"/>
          <w:szCs w:val="22"/>
        </w:rPr>
        <w:t xml:space="preserve">must submit to the Commission upon request records of the original design drawings and specifications, the procedures used for production inspection and testing, a report of RF </w:t>
      </w:r>
      <w:r w:rsidR="00E3208F">
        <w:rPr>
          <w:rFonts w:ascii="Times New Roman" w:hAnsi="Times New Roman"/>
          <w:sz w:val="22"/>
          <w:szCs w:val="22"/>
        </w:rPr>
        <w:t xml:space="preserve">emission </w:t>
      </w:r>
      <w:r w:rsidR="00E3208F" w:rsidRPr="00E3208F">
        <w:rPr>
          <w:rFonts w:ascii="Times New Roman" w:hAnsi="Times New Roman"/>
          <w:sz w:val="22"/>
          <w:szCs w:val="22"/>
        </w:rPr>
        <w:t>measurements, and a sample of the device.</w:t>
      </w:r>
      <w:r w:rsidR="00E3208F">
        <w:rPr>
          <w:rStyle w:val="FootnoteReference"/>
          <w:szCs w:val="22"/>
        </w:rPr>
        <w:footnoteReference w:id="38"/>
      </w:r>
      <w:r w:rsidR="00E3208F">
        <w:rPr>
          <w:rFonts w:ascii="Times New Roman" w:hAnsi="Times New Roman"/>
          <w:sz w:val="22"/>
          <w:szCs w:val="22"/>
        </w:rPr>
        <w:t xml:space="preserve"> </w:t>
      </w:r>
      <w:r w:rsidR="00E3208F" w:rsidRPr="00E3208F">
        <w:rPr>
          <w:rFonts w:ascii="Times New Roman" w:hAnsi="Times New Roman"/>
          <w:sz w:val="22"/>
          <w:szCs w:val="22"/>
        </w:rPr>
        <w:t xml:space="preserve"> </w:t>
      </w:r>
      <w:r w:rsidRPr="00C26D2D">
        <w:rPr>
          <w:rFonts w:ascii="Times New Roman" w:hAnsi="Times New Roman"/>
          <w:sz w:val="22"/>
          <w:szCs w:val="22"/>
        </w:rPr>
        <w:t xml:space="preserve">Verification, </w:t>
      </w:r>
      <w:r w:rsidR="00F52547">
        <w:rPr>
          <w:rFonts w:ascii="Times New Roman" w:hAnsi="Times New Roman"/>
          <w:sz w:val="22"/>
          <w:szCs w:val="22"/>
        </w:rPr>
        <w:t xml:space="preserve">which is </w:t>
      </w:r>
      <w:r w:rsidRPr="00C26D2D">
        <w:rPr>
          <w:rFonts w:ascii="Times New Roman" w:hAnsi="Times New Roman"/>
          <w:sz w:val="22"/>
          <w:szCs w:val="22"/>
        </w:rPr>
        <w:t xml:space="preserve">the least burdensome </w:t>
      </w:r>
      <w:r w:rsidR="00F52547">
        <w:rPr>
          <w:rFonts w:ascii="Times New Roman" w:hAnsi="Times New Roman"/>
          <w:sz w:val="22"/>
          <w:szCs w:val="22"/>
        </w:rPr>
        <w:t xml:space="preserve">equipment authorization </w:t>
      </w:r>
      <w:r w:rsidRPr="00C26D2D">
        <w:rPr>
          <w:rFonts w:ascii="Times New Roman" w:hAnsi="Times New Roman"/>
          <w:sz w:val="22"/>
          <w:szCs w:val="22"/>
        </w:rPr>
        <w:t xml:space="preserve">procedure, is </w:t>
      </w:r>
      <w:r>
        <w:rPr>
          <w:rFonts w:ascii="Times New Roman" w:hAnsi="Times New Roman"/>
          <w:sz w:val="22"/>
          <w:szCs w:val="22"/>
        </w:rPr>
        <w:t>applied to</w:t>
      </w:r>
      <w:r w:rsidRPr="00C26D2D">
        <w:rPr>
          <w:rFonts w:ascii="Times New Roman" w:hAnsi="Times New Roman"/>
          <w:sz w:val="22"/>
          <w:szCs w:val="22"/>
        </w:rPr>
        <w:t xml:space="preserve"> </w:t>
      </w:r>
      <w:r w:rsidR="00DB19C7">
        <w:rPr>
          <w:rFonts w:ascii="Times New Roman" w:hAnsi="Times New Roman"/>
          <w:sz w:val="22"/>
          <w:szCs w:val="22"/>
        </w:rPr>
        <w:t xml:space="preserve">types of </w:t>
      </w:r>
      <w:r w:rsidRPr="00C26D2D">
        <w:rPr>
          <w:rFonts w:ascii="Times New Roman" w:hAnsi="Times New Roman"/>
          <w:sz w:val="22"/>
          <w:szCs w:val="22"/>
        </w:rPr>
        <w:t xml:space="preserve">RF equipment </w:t>
      </w:r>
      <w:r w:rsidR="00DB19C7">
        <w:rPr>
          <w:rFonts w:ascii="Times New Roman" w:hAnsi="Times New Roman"/>
          <w:sz w:val="22"/>
          <w:szCs w:val="22"/>
        </w:rPr>
        <w:t>that have</w:t>
      </w:r>
      <w:r w:rsidRPr="00C26D2D">
        <w:rPr>
          <w:rFonts w:ascii="Times New Roman" w:hAnsi="Times New Roman"/>
          <w:sz w:val="22"/>
          <w:szCs w:val="22"/>
        </w:rPr>
        <w:t xml:space="preserve"> an excellent record of compliance, the testing methodology is well known and understood, and there is </w:t>
      </w:r>
      <w:r w:rsidR="00C83E08">
        <w:rPr>
          <w:rFonts w:ascii="Times New Roman" w:hAnsi="Times New Roman"/>
          <w:sz w:val="22"/>
          <w:szCs w:val="22"/>
        </w:rPr>
        <w:t>low</w:t>
      </w:r>
      <w:r w:rsidRPr="00C26D2D">
        <w:rPr>
          <w:rFonts w:ascii="Times New Roman" w:hAnsi="Times New Roman"/>
          <w:sz w:val="22"/>
          <w:szCs w:val="22"/>
        </w:rPr>
        <w:t xml:space="preserve"> risk of interference.</w:t>
      </w:r>
      <w:r>
        <w:rPr>
          <w:rFonts w:ascii="Times New Roman" w:hAnsi="Times New Roman"/>
          <w:sz w:val="22"/>
          <w:szCs w:val="22"/>
        </w:rPr>
        <w:t xml:space="preserve">  </w:t>
      </w:r>
      <w:r w:rsidRPr="007A28CC">
        <w:rPr>
          <w:rFonts w:ascii="Times New Roman" w:hAnsi="Times New Roman"/>
          <w:sz w:val="22"/>
          <w:szCs w:val="22"/>
        </w:rPr>
        <w:t xml:space="preserve">Examples of devices subject to </w:t>
      </w:r>
      <w:r w:rsidR="00C83E08">
        <w:rPr>
          <w:rFonts w:ascii="Times New Roman" w:hAnsi="Times New Roman"/>
          <w:sz w:val="22"/>
          <w:szCs w:val="22"/>
        </w:rPr>
        <w:t>v</w:t>
      </w:r>
      <w:r w:rsidRPr="007A28CC">
        <w:rPr>
          <w:rFonts w:ascii="Times New Roman" w:hAnsi="Times New Roman"/>
          <w:sz w:val="22"/>
          <w:szCs w:val="22"/>
        </w:rPr>
        <w:t>erification include</w:t>
      </w:r>
      <w:r>
        <w:rPr>
          <w:rFonts w:ascii="Times New Roman" w:hAnsi="Times New Roman"/>
          <w:sz w:val="22"/>
          <w:szCs w:val="22"/>
        </w:rPr>
        <w:t xml:space="preserve"> non-consumer ISM equipment; </w:t>
      </w:r>
      <w:r w:rsidRPr="007A28CC">
        <w:rPr>
          <w:rFonts w:ascii="Times New Roman" w:hAnsi="Times New Roman"/>
          <w:sz w:val="22"/>
          <w:szCs w:val="22"/>
        </w:rPr>
        <w:t>TV and FM receivers</w:t>
      </w:r>
      <w:r>
        <w:rPr>
          <w:rFonts w:ascii="Times New Roman" w:hAnsi="Times New Roman"/>
          <w:sz w:val="22"/>
          <w:szCs w:val="22"/>
        </w:rPr>
        <w:t xml:space="preserve">; and business </w:t>
      </w:r>
      <w:r w:rsidRPr="007A28CC">
        <w:rPr>
          <w:rFonts w:ascii="Times New Roman" w:hAnsi="Times New Roman"/>
          <w:sz w:val="22"/>
          <w:szCs w:val="22"/>
        </w:rPr>
        <w:t>computer equipment</w:t>
      </w:r>
      <w:r>
        <w:rPr>
          <w:rFonts w:ascii="Times New Roman" w:hAnsi="Times New Roman"/>
          <w:sz w:val="22"/>
          <w:szCs w:val="22"/>
        </w:rPr>
        <w:t>.</w:t>
      </w:r>
      <w:r w:rsidR="008273F1">
        <w:rPr>
          <w:rStyle w:val="FootnoteReference"/>
          <w:szCs w:val="22"/>
        </w:rPr>
        <w:footnoteReference w:id="39"/>
      </w:r>
      <w:r w:rsidRPr="007A28CC">
        <w:rPr>
          <w:rFonts w:ascii="Times New Roman" w:hAnsi="Times New Roman"/>
          <w:sz w:val="22"/>
          <w:szCs w:val="22"/>
        </w:rPr>
        <w:t xml:space="preserve"> </w:t>
      </w:r>
      <w:r>
        <w:rPr>
          <w:rFonts w:ascii="Times New Roman" w:hAnsi="Times New Roman"/>
          <w:sz w:val="22"/>
          <w:szCs w:val="22"/>
        </w:rPr>
        <w:t xml:space="preserve"> </w:t>
      </w:r>
      <w:r w:rsidRPr="007A28CC">
        <w:rPr>
          <w:rFonts w:ascii="Times New Roman" w:hAnsi="Times New Roman"/>
          <w:sz w:val="22"/>
          <w:szCs w:val="22"/>
        </w:rPr>
        <w:t>Devices subject</w:t>
      </w:r>
      <w:r w:rsidR="00C83E08">
        <w:rPr>
          <w:rFonts w:ascii="Times New Roman" w:hAnsi="Times New Roman"/>
          <w:sz w:val="22"/>
          <w:szCs w:val="22"/>
        </w:rPr>
        <w:t xml:space="preserve"> </w:t>
      </w:r>
      <w:r w:rsidRPr="007A28CC">
        <w:rPr>
          <w:rFonts w:ascii="Times New Roman" w:hAnsi="Times New Roman"/>
          <w:sz w:val="22"/>
          <w:szCs w:val="22"/>
        </w:rPr>
        <w:t xml:space="preserve">to </w:t>
      </w:r>
      <w:r w:rsidR="00C83E08">
        <w:rPr>
          <w:rFonts w:ascii="Times New Roman" w:hAnsi="Times New Roman"/>
          <w:sz w:val="22"/>
          <w:szCs w:val="22"/>
        </w:rPr>
        <w:t>v</w:t>
      </w:r>
      <w:r w:rsidRPr="007A28CC">
        <w:rPr>
          <w:rFonts w:ascii="Times New Roman" w:hAnsi="Times New Roman"/>
          <w:sz w:val="22"/>
          <w:szCs w:val="22"/>
        </w:rPr>
        <w:t xml:space="preserve">erification </w:t>
      </w:r>
      <w:r>
        <w:rPr>
          <w:rFonts w:ascii="Times New Roman" w:hAnsi="Times New Roman"/>
          <w:sz w:val="22"/>
          <w:szCs w:val="22"/>
        </w:rPr>
        <w:t>must</w:t>
      </w:r>
      <w:r w:rsidRPr="007A28CC">
        <w:rPr>
          <w:rFonts w:ascii="Times New Roman" w:hAnsi="Times New Roman"/>
          <w:sz w:val="22"/>
          <w:szCs w:val="22"/>
        </w:rPr>
        <w:t xml:space="preserve"> be uniquely identified</w:t>
      </w:r>
      <w:r>
        <w:rPr>
          <w:rFonts w:ascii="Times New Roman" w:hAnsi="Times New Roman"/>
          <w:sz w:val="22"/>
          <w:szCs w:val="22"/>
        </w:rPr>
        <w:t xml:space="preserve"> in a </w:t>
      </w:r>
      <w:proofErr w:type="gramStart"/>
      <w:r>
        <w:rPr>
          <w:rFonts w:ascii="Times New Roman" w:hAnsi="Times New Roman"/>
          <w:sz w:val="22"/>
        </w:rPr>
        <w:t>format which</w:t>
      </w:r>
      <w:proofErr w:type="gramEnd"/>
      <w:r>
        <w:rPr>
          <w:rFonts w:ascii="Times New Roman" w:hAnsi="Times New Roman"/>
          <w:sz w:val="22"/>
        </w:rPr>
        <w:t xml:space="preserve"> </w:t>
      </w:r>
      <w:r w:rsidR="00F10F3D">
        <w:rPr>
          <w:rFonts w:ascii="Times New Roman" w:hAnsi="Times New Roman"/>
          <w:sz w:val="22"/>
        </w:rPr>
        <w:t>can</w:t>
      </w:r>
      <w:r>
        <w:rPr>
          <w:rFonts w:ascii="Times New Roman" w:hAnsi="Times New Roman"/>
          <w:sz w:val="22"/>
        </w:rPr>
        <w:t>not</w:t>
      </w:r>
      <w:r w:rsidRPr="00320939">
        <w:rPr>
          <w:rFonts w:ascii="Times New Roman" w:hAnsi="Times New Roman"/>
          <w:sz w:val="22"/>
        </w:rPr>
        <w:t xml:space="preserve"> be confused with the FCC </w:t>
      </w:r>
      <w:r w:rsidR="00C83E08">
        <w:rPr>
          <w:rFonts w:ascii="Times New Roman" w:hAnsi="Times New Roman"/>
          <w:sz w:val="22"/>
        </w:rPr>
        <w:t>i</w:t>
      </w:r>
      <w:r w:rsidRPr="00320939">
        <w:rPr>
          <w:rFonts w:ascii="Times New Roman" w:hAnsi="Times New Roman"/>
          <w:sz w:val="22"/>
        </w:rPr>
        <w:t xml:space="preserve">dentifier required on certified </w:t>
      </w:r>
      <w:r>
        <w:rPr>
          <w:rFonts w:ascii="Times New Roman" w:hAnsi="Times New Roman"/>
          <w:sz w:val="22"/>
        </w:rPr>
        <w:t>equipment</w:t>
      </w:r>
      <w:r w:rsidRPr="00320939">
        <w:rPr>
          <w:rFonts w:ascii="Times New Roman" w:hAnsi="Times New Roman"/>
          <w:sz w:val="22"/>
          <w:szCs w:val="22"/>
        </w:rPr>
        <w:t>.</w:t>
      </w:r>
      <w:r>
        <w:rPr>
          <w:rStyle w:val="FootnoteReference"/>
          <w:szCs w:val="22"/>
        </w:rPr>
        <w:footnoteReference w:id="40"/>
      </w:r>
      <w:r>
        <w:rPr>
          <w:rFonts w:ascii="Times New Roman" w:hAnsi="Times New Roman"/>
          <w:sz w:val="22"/>
          <w:szCs w:val="22"/>
        </w:rPr>
        <w:t xml:space="preserve">  Equipment authorized under </w:t>
      </w:r>
      <w:r w:rsidR="00A85A1B">
        <w:rPr>
          <w:rFonts w:ascii="Times New Roman" w:hAnsi="Times New Roman"/>
          <w:sz w:val="22"/>
          <w:szCs w:val="22"/>
        </w:rPr>
        <w:t xml:space="preserve">the </w:t>
      </w:r>
      <w:r w:rsidR="00C83E08">
        <w:rPr>
          <w:rFonts w:ascii="Times New Roman" w:hAnsi="Times New Roman"/>
          <w:sz w:val="22"/>
          <w:szCs w:val="22"/>
        </w:rPr>
        <w:t>v</w:t>
      </w:r>
      <w:r>
        <w:rPr>
          <w:rFonts w:ascii="Times New Roman" w:hAnsi="Times New Roman"/>
          <w:sz w:val="22"/>
          <w:szCs w:val="22"/>
        </w:rPr>
        <w:t>erification</w:t>
      </w:r>
      <w:r w:rsidR="00A85A1B">
        <w:rPr>
          <w:rFonts w:ascii="Times New Roman" w:hAnsi="Times New Roman"/>
          <w:sz w:val="22"/>
          <w:szCs w:val="22"/>
        </w:rPr>
        <w:t xml:space="preserve"> procedure</w:t>
      </w:r>
      <w:r>
        <w:rPr>
          <w:rFonts w:ascii="Times New Roman" w:hAnsi="Times New Roman"/>
          <w:sz w:val="22"/>
          <w:szCs w:val="22"/>
        </w:rPr>
        <w:t xml:space="preserve"> is not listed in a Commission database.</w:t>
      </w:r>
      <w:r w:rsidR="00CF00AC">
        <w:rPr>
          <w:rFonts w:ascii="Times New Roman" w:hAnsi="Times New Roman"/>
          <w:sz w:val="22"/>
          <w:szCs w:val="22"/>
        </w:rPr>
        <w:t xml:space="preserve"> </w:t>
      </w:r>
    </w:p>
    <w:p w:rsidR="00FB0A89" w:rsidRDefault="007B5B58" w:rsidP="000116C7">
      <w:pPr>
        <w:pStyle w:val="ParaNum"/>
        <w:widowControl/>
        <w:spacing w:after="220"/>
      </w:pPr>
      <w:bookmarkStart w:id="90" w:name="_Ref196193899"/>
      <w:r>
        <w:t xml:space="preserve">RF equipment subject to any of the equipment authorization procedures </w:t>
      </w:r>
      <w:r w:rsidR="00E533E6">
        <w:t xml:space="preserve">described above </w:t>
      </w:r>
      <w:r>
        <w:t xml:space="preserve">must </w:t>
      </w:r>
      <w:r w:rsidR="00A23FA3">
        <w:t xml:space="preserve">generally </w:t>
      </w:r>
      <w:r>
        <w:t xml:space="preserve">be tested for compliance with the Commission’s technical rules.  </w:t>
      </w:r>
      <w:r w:rsidR="00E533E6">
        <w:t xml:space="preserve">The Commission has </w:t>
      </w:r>
      <w:r w:rsidR="00BC46BF">
        <w:t xml:space="preserve">general </w:t>
      </w:r>
      <w:r w:rsidR="00E533E6">
        <w:t xml:space="preserve">requirements on the </w:t>
      </w:r>
      <w:r w:rsidR="001D31B1">
        <w:t>qualifications of laboratories that</w:t>
      </w:r>
      <w:r w:rsidR="00E533E6">
        <w:t xml:space="preserve"> perform compliance testing</w:t>
      </w:r>
      <w:r w:rsidR="00BC46BF">
        <w:t>,</w:t>
      </w:r>
      <w:r w:rsidR="00EA4633">
        <w:t xml:space="preserve"> and</w:t>
      </w:r>
      <w:r w:rsidR="00BC46BF">
        <w:t xml:space="preserve"> certain specific requirements on laboratories that test equipment under particular rule parts or authorization procedures</w:t>
      </w:r>
      <w:r w:rsidR="00E533E6">
        <w:t xml:space="preserve">.  </w:t>
      </w:r>
      <w:r>
        <w:t xml:space="preserve">For example, </w:t>
      </w:r>
      <w:proofErr w:type="gramStart"/>
      <w:r>
        <w:t xml:space="preserve">equipment </w:t>
      </w:r>
      <w:r w:rsidR="00A84D9C">
        <w:t xml:space="preserve">authorized under the DoC procedure </w:t>
      </w:r>
      <w:r>
        <w:t xml:space="preserve">must be tested by </w:t>
      </w:r>
      <w:r w:rsidR="00A84D9C">
        <w:t xml:space="preserve">a </w:t>
      </w:r>
      <w:r>
        <w:t xml:space="preserve">laboratory that </w:t>
      </w:r>
      <w:r w:rsidR="00A84D9C">
        <w:t>is</w:t>
      </w:r>
      <w:r>
        <w:t xml:space="preserve"> accredited </w:t>
      </w:r>
      <w:r w:rsidR="00DB19C7">
        <w:t>as meeting the requirements of</w:t>
      </w:r>
      <w:r w:rsidR="00DB19C7" w:rsidRPr="003312E5">
        <w:t xml:space="preserve"> </w:t>
      </w:r>
      <w:r>
        <w:t xml:space="preserve">ISO/IEC Standard 17025, </w:t>
      </w:r>
      <w:r w:rsidRPr="00CE3AC2">
        <w:rPr>
          <w:i/>
        </w:rPr>
        <w:t>General Requirements for the Competence of Calibration and Testing Laboratories</w:t>
      </w:r>
      <w:r w:rsidR="00A84D9C">
        <w:t>,</w:t>
      </w:r>
      <w:r>
        <w:t xml:space="preserve"> by a Commission-recognized accreditation organization</w:t>
      </w:r>
      <w:proofErr w:type="gramEnd"/>
      <w:r>
        <w:t>.</w:t>
      </w:r>
      <w:r>
        <w:rPr>
          <w:rStyle w:val="FootnoteReference"/>
        </w:rPr>
        <w:footnoteReference w:id="41"/>
      </w:r>
      <w:r>
        <w:t xml:space="preserve">  </w:t>
      </w:r>
      <w:r w:rsidR="009E6E67">
        <w:t>Laboratories that test e</w:t>
      </w:r>
      <w:r>
        <w:t xml:space="preserve">quipment subject to </w:t>
      </w:r>
      <w:r w:rsidR="00FE5AF9">
        <w:t>certification</w:t>
      </w:r>
      <w:r>
        <w:t xml:space="preserve"> under Parts 15 and 18 of the </w:t>
      </w:r>
      <w:r w:rsidR="009E6E67">
        <w:t>r</w:t>
      </w:r>
      <w:r>
        <w:t xml:space="preserve">ules </w:t>
      </w:r>
      <w:r w:rsidR="009E6E67">
        <w:t>are not required to be accredited, but must be on a list maintained by the Commission.</w:t>
      </w:r>
      <w:r>
        <w:rPr>
          <w:rStyle w:val="FootnoteReference"/>
        </w:rPr>
        <w:footnoteReference w:id="42"/>
      </w:r>
      <w:r>
        <w:t xml:space="preserve">  Equipment </w:t>
      </w:r>
      <w:r>
        <w:lastRenderedPageBreak/>
        <w:t xml:space="preserve">authorized </w:t>
      </w:r>
      <w:r w:rsidR="00C51E0E">
        <w:t xml:space="preserve">pursuant to </w:t>
      </w:r>
      <w:r w:rsidR="00FE5AF9">
        <w:t>certification</w:t>
      </w:r>
      <w:r>
        <w:t xml:space="preserve"> under rule parts other than Parts 15 or 18</w:t>
      </w:r>
      <w:r w:rsidR="00C83E08">
        <w:t>,</w:t>
      </w:r>
      <w:r>
        <w:t xml:space="preserve"> or any equipment authorized under </w:t>
      </w:r>
      <w:r w:rsidR="001E1E74">
        <w:t>verification</w:t>
      </w:r>
      <w:r w:rsidR="00C83E08">
        <w:t>,</w:t>
      </w:r>
      <w:r>
        <w:t xml:space="preserve"> may be tested by the manufacturer or </w:t>
      </w:r>
      <w:r w:rsidR="004D436D">
        <w:t xml:space="preserve">by </w:t>
      </w:r>
      <w:r>
        <w:t xml:space="preserve">an independent testing laboratory that </w:t>
      </w:r>
      <w:proofErr w:type="gramStart"/>
      <w:r>
        <w:t xml:space="preserve">is not required to be </w:t>
      </w:r>
      <w:r w:rsidR="00A85A1B">
        <w:t>accredited or</w:t>
      </w:r>
      <w:proofErr w:type="gramEnd"/>
      <w:r w:rsidR="00A85A1B">
        <w:t xml:space="preserve"> </w:t>
      </w:r>
      <w:r>
        <w:t>listed with the Commission.</w:t>
      </w:r>
      <w:r>
        <w:rPr>
          <w:rStyle w:val="FootnoteReference"/>
        </w:rPr>
        <w:footnoteReference w:id="43"/>
      </w:r>
      <w:bookmarkEnd w:id="90"/>
      <w:r>
        <w:t xml:space="preserve">  The Commission </w:t>
      </w:r>
      <w:r w:rsidR="00F8205E">
        <w:t>may</w:t>
      </w:r>
      <w:r>
        <w:t xml:space="preserve"> conduct post-market testing of equipment </w:t>
      </w:r>
      <w:r w:rsidR="00C83E08">
        <w:t xml:space="preserve">authorized under any of the three procedures </w:t>
      </w:r>
      <w:r>
        <w:t xml:space="preserve">to ensure that equipment </w:t>
      </w:r>
      <w:r w:rsidR="00380EB6">
        <w:t>on</w:t>
      </w:r>
      <w:r>
        <w:t xml:space="preserve"> the market </w:t>
      </w:r>
      <w:r w:rsidR="009E6E67">
        <w:t>complies with</w:t>
      </w:r>
      <w:r>
        <w:t xml:space="preserve"> the Commission’s technical requirements.</w:t>
      </w:r>
      <w:r>
        <w:rPr>
          <w:rStyle w:val="FootnoteReference"/>
        </w:rPr>
        <w:footnoteReference w:id="44"/>
      </w:r>
      <w:r w:rsidR="00CB1C06">
        <w:t xml:space="preserve">  Additionally, TCBs are required to perform post-market surveillance on </w:t>
      </w:r>
      <w:r w:rsidR="00E42A6B">
        <w:t xml:space="preserve">a certain percentage of </w:t>
      </w:r>
      <w:r w:rsidR="00CB1C06">
        <w:t>products they have certified.</w:t>
      </w:r>
      <w:r w:rsidR="00CB1C06">
        <w:rPr>
          <w:rStyle w:val="FootnoteReference"/>
        </w:rPr>
        <w:footnoteReference w:id="45"/>
      </w:r>
    </w:p>
    <w:p w:rsidR="00FB0A89" w:rsidRDefault="00FB0A89" w:rsidP="000116C7">
      <w:pPr>
        <w:pStyle w:val="Heading1"/>
        <w:widowControl/>
      </w:pPr>
      <w:bookmarkStart w:id="91" w:name="_Toc289272084"/>
      <w:bookmarkStart w:id="92" w:name="_Toc289272119"/>
      <w:bookmarkStart w:id="93" w:name="_Toc292693316"/>
      <w:bookmarkStart w:id="94" w:name="_Toc292693384"/>
      <w:bookmarkStart w:id="95" w:name="_Toc323028016"/>
      <w:bookmarkStart w:id="96" w:name="_Toc324843283"/>
      <w:bookmarkStart w:id="97" w:name="_Toc324864702"/>
      <w:bookmarkStart w:id="98" w:name="_Toc324929569"/>
      <w:bookmarkStart w:id="99" w:name="_Toc324929693"/>
      <w:bookmarkStart w:id="100" w:name="_Toc325013619"/>
      <w:bookmarkStart w:id="101" w:name="_Toc325013949"/>
      <w:bookmarkStart w:id="102" w:name="_Toc325013977"/>
      <w:bookmarkStart w:id="103" w:name="_Toc325014046"/>
      <w:bookmarkStart w:id="104" w:name="_Toc325014064"/>
      <w:bookmarkStart w:id="105" w:name="_Toc325014157"/>
      <w:bookmarkStart w:id="106" w:name="_Toc325016806"/>
      <w:bookmarkStart w:id="107" w:name="_Toc325030436"/>
      <w:bookmarkStart w:id="108" w:name="_Toc326243791"/>
      <w:bookmarkStart w:id="109" w:name="_Toc326243988"/>
      <w:bookmarkStart w:id="110" w:name="_Toc327450761"/>
      <w:bookmarkStart w:id="111" w:name="_Toc330288209"/>
      <w:bookmarkStart w:id="112" w:name="_Toc330367179"/>
      <w:bookmarkStart w:id="113" w:name="_Toc331420767"/>
      <w:bookmarkStart w:id="114" w:name="_Toc331604647"/>
      <w:bookmarkStart w:id="115" w:name="_Toc332121622"/>
      <w:bookmarkStart w:id="116" w:name="_Toc332204299"/>
      <w:bookmarkStart w:id="117" w:name="_Toc332894802"/>
      <w:bookmarkStart w:id="118" w:name="_Toc333581615"/>
      <w:bookmarkStart w:id="119" w:name="_Toc333936407"/>
      <w:bookmarkStart w:id="120" w:name="_Toc335141616"/>
      <w:bookmarkStart w:id="121" w:name="_Toc335291359"/>
      <w:bookmarkStart w:id="122" w:name="_Toc335291412"/>
      <w:bookmarkStart w:id="123" w:name="_Toc335291472"/>
      <w:bookmarkStart w:id="124" w:name="_Toc335291542"/>
      <w:bookmarkStart w:id="125" w:name="_Toc335291680"/>
      <w:bookmarkStart w:id="126" w:name="_Toc335291732"/>
      <w:bookmarkStart w:id="127" w:name="_Toc335631610"/>
      <w:bookmarkStart w:id="128" w:name="_Toc335632652"/>
      <w:bookmarkStart w:id="129" w:name="_Toc335632724"/>
      <w:bookmarkStart w:id="130" w:name="_Toc337649162"/>
      <w:r>
        <w:t>Discussion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FD3C23" w:rsidRDefault="00FD3C23" w:rsidP="000116C7">
      <w:pPr>
        <w:pStyle w:val="ParaNum"/>
        <w:widowControl/>
        <w:spacing w:after="220"/>
      </w:pPr>
      <w:r>
        <w:t xml:space="preserve">The Commission’s equipment authorization program has served well in controlling interference.  Today, hundreds of millions of radio transmitters, consumer products, and </w:t>
      </w:r>
      <w:r w:rsidR="00F8205E">
        <w:t xml:space="preserve">other </w:t>
      </w:r>
      <w:r>
        <w:t xml:space="preserve">electronic devices all share the airwaves with remarkably little interference.  </w:t>
      </w:r>
      <w:r w:rsidR="00DE180E">
        <w:t>E</w:t>
      </w:r>
      <w:r>
        <w:t>nsur</w:t>
      </w:r>
      <w:r w:rsidR="00DE180E">
        <w:t>ing</w:t>
      </w:r>
      <w:r>
        <w:t xml:space="preserve"> compliance with our technical requirements through the equipment authorization program </w:t>
      </w:r>
      <w:r w:rsidR="00DE180E">
        <w:t xml:space="preserve">will become </w:t>
      </w:r>
      <w:r>
        <w:t xml:space="preserve">even more important </w:t>
      </w:r>
      <w:r w:rsidR="00DE180E">
        <w:t xml:space="preserve">in </w:t>
      </w:r>
      <w:r>
        <w:t xml:space="preserve">the future.  The radio spectrum is becoming ever more crowded as new radio services are added and existing services continue to grow.  </w:t>
      </w:r>
      <w:r w:rsidR="00A93E41">
        <w:t>W</w:t>
      </w:r>
      <w:r w:rsidR="001901AC">
        <w:t>ireless service providers</w:t>
      </w:r>
      <w:r>
        <w:t xml:space="preserve"> are making enormous investments to obtain licenses to use spectrum and to construct </w:t>
      </w:r>
      <w:r w:rsidR="001901AC">
        <w:t xml:space="preserve">or expand </w:t>
      </w:r>
      <w:r w:rsidR="007431CC">
        <w:t xml:space="preserve">commercial </w:t>
      </w:r>
      <w:r>
        <w:t xml:space="preserve">communications systems.  </w:t>
      </w:r>
      <w:r w:rsidR="007431CC">
        <w:t xml:space="preserve">Numerous consumer devices transmit at </w:t>
      </w:r>
      <w:proofErr w:type="gramStart"/>
      <w:r w:rsidR="007431CC">
        <w:t>low-power</w:t>
      </w:r>
      <w:proofErr w:type="gramEnd"/>
      <w:r w:rsidR="007431CC">
        <w:t xml:space="preserve"> for a wide variety of uses on an unlicensed basis, such as keyless auto entry and ignition systems, garage door openers, and wireless routers for in-home networking.  </w:t>
      </w:r>
      <w:r w:rsidR="007903AA">
        <w:t xml:space="preserve">The equipment authorization program ensures that these devices meet FCC standards to promote efficient use of the spectrum and minimize the risk of harmful interference.  </w:t>
      </w:r>
      <w:r>
        <w:t xml:space="preserve">We note, in particular, that concerns about interference exist in </w:t>
      </w:r>
      <w:r w:rsidR="005D7C7B">
        <w:t xml:space="preserve">some </w:t>
      </w:r>
      <w:r>
        <w:t>areas</w:t>
      </w:r>
      <w:r w:rsidR="00CD1B2E">
        <w:t xml:space="preserve">. </w:t>
      </w:r>
      <w:r>
        <w:t xml:space="preserve"> We also observe that </w:t>
      </w:r>
      <w:r w:rsidR="00FD07DA">
        <w:t xml:space="preserve">the equipment authorization program ensures compliance with the requirements that implement </w:t>
      </w:r>
      <w:r>
        <w:t xml:space="preserve">vital policy objectives, such as </w:t>
      </w:r>
      <w:r w:rsidR="007903AA">
        <w:t>ensuring that wireless phones are compatible with hearing aids</w:t>
      </w:r>
      <w:r w:rsidR="007903AA">
        <w:rPr>
          <w:rStyle w:val="FootnoteReference"/>
        </w:rPr>
        <w:footnoteReference w:id="46"/>
      </w:r>
      <w:r w:rsidR="007903AA">
        <w:t xml:space="preserve"> and </w:t>
      </w:r>
      <w:r>
        <w:t>controlling the environmental effects of RF radiation</w:t>
      </w:r>
      <w:r w:rsidR="00FD07DA">
        <w:t>.</w:t>
      </w:r>
      <w:r>
        <w:rPr>
          <w:rStyle w:val="FootnoteReference"/>
        </w:rPr>
        <w:footnoteReference w:id="47"/>
      </w:r>
      <w:r>
        <w:t xml:space="preserve">  Thus, the equipment authorization program remains essential to the Commission’s mission.   </w:t>
      </w:r>
    </w:p>
    <w:p w:rsidR="00DE180E" w:rsidRDefault="007431CC" w:rsidP="000116C7">
      <w:pPr>
        <w:pStyle w:val="ParaNum"/>
        <w:widowControl/>
        <w:spacing w:after="220"/>
      </w:pPr>
      <w:r>
        <w:t>G</w:t>
      </w:r>
      <w:r w:rsidR="00FD3C23">
        <w:t>iven the changes in RF devices, technologies, and manufacturing methods that have occurred since the Commission last comprehensively reviewed its equipment authorization procedures, we believe that it is time to revisit the equipment authorization procedures to ensure that they are appropriate for the types of equipment being marketed today</w:t>
      </w:r>
      <w:r w:rsidR="00A93E41">
        <w:t xml:space="preserve"> and for the increasingly intensive use of the airwaves</w:t>
      </w:r>
      <w:r w:rsidR="00FD3C23">
        <w:t xml:space="preserve">.  </w:t>
      </w:r>
      <w:r>
        <w:t xml:space="preserve">We are initiating this proceeding to explore improvements </w:t>
      </w:r>
      <w:r w:rsidR="00F8205E">
        <w:t xml:space="preserve">that </w:t>
      </w:r>
      <w:r>
        <w:t xml:space="preserve">can be made to our RF equipment authorization processes to efficiently achieve the goals of preventing interference to communications services without hindering the </w:t>
      </w:r>
      <w:r w:rsidR="00471718">
        <w:t xml:space="preserve">rapid </w:t>
      </w:r>
      <w:r>
        <w:t xml:space="preserve">introduction of new and innovative products to the market.  </w:t>
      </w:r>
    </w:p>
    <w:p w:rsidR="00C43357" w:rsidRDefault="007431CC" w:rsidP="000116C7">
      <w:pPr>
        <w:pStyle w:val="ParaNum"/>
        <w:widowControl/>
        <w:spacing w:after="220"/>
      </w:pPr>
      <w:r>
        <w:t xml:space="preserve">In particular, we propose that </w:t>
      </w:r>
      <w:r w:rsidR="00471718">
        <w:t xml:space="preserve">the Commission will no longer </w:t>
      </w:r>
      <w:r w:rsidR="00A93E41">
        <w:t xml:space="preserve">conduct evaluations for initially </w:t>
      </w:r>
      <w:r w:rsidR="00471718">
        <w:t>approv</w:t>
      </w:r>
      <w:r w:rsidR="00A93E41">
        <w:t>ing</w:t>
      </w:r>
      <w:r w:rsidR="00471718">
        <w:t xml:space="preserve"> RF equipment requiring certification under the procedures in Part 2 of the rules, and that </w:t>
      </w:r>
      <w:r>
        <w:t xml:space="preserve">TCBs will approve all </w:t>
      </w:r>
      <w:r w:rsidR="00471718">
        <w:t xml:space="preserve">such </w:t>
      </w:r>
      <w:r>
        <w:t>equipment</w:t>
      </w:r>
      <w:r w:rsidR="00A93E41">
        <w:t xml:space="preserve"> in the first instance</w:t>
      </w:r>
      <w:r w:rsidR="00471718">
        <w:t xml:space="preserve">, including equipment on the “exclusion list” that only </w:t>
      </w:r>
      <w:r w:rsidR="00471718">
        <w:lastRenderedPageBreak/>
        <w:t>the Commission may currently approve</w:t>
      </w:r>
      <w:r>
        <w:t>.</w:t>
      </w:r>
      <w:bookmarkStart w:id="131" w:name="_Ref333580396"/>
      <w:r w:rsidR="00471718">
        <w:rPr>
          <w:rStyle w:val="FootnoteReference"/>
        </w:rPr>
        <w:footnoteReference w:id="48"/>
      </w:r>
      <w:bookmarkEnd w:id="131"/>
      <w:r>
        <w:t xml:space="preserve">  We also propos</w:t>
      </w:r>
      <w:r w:rsidR="00DE180E">
        <w:t>e</w:t>
      </w:r>
      <w:r>
        <w:t xml:space="preserve"> to clarify and modify the rules on TCB responsibilities.  Specifically, we propose to codify the “permit-but-ask” procedure that TCBs must use when certifying new technolog</w:t>
      </w:r>
      <w:r w:rsidR="007903AA">
        <w:t>ies whe</w:t>
      </w:r>
      <w:r w:rsidR="00DE180E">
        <w:t>n</w:t>
      </w:r>
      <w:r w:rsidR="007903AA">
        <w:t xml:space="preserve"> testing protocols have not been established</w:t>
      </w:r>
      <w:r>
        <w:t xml:space="preserve">, clarify the responsibility of TCBs to perform post-market surveillance of products they have approved, and specify steps that can be taken </w:t>
      </w:r>
      <w:r w:rsidR="00471718">
        <w:t>if a TCB’s</w:t>
      </w:r>
      <w:r>
        <w:t xml:space="preserve"> performance</w:t>
      </w:r>
      <w:r w:rsidR="00471718">
        <w:t xml:space="preserve"> were found to be deficient</w:t>
      </w:r>
      <w:r>
        <w:t xml:space="preserve">.  We also propose to require accreditation of all laboratories that test equipment subject to the Part 2 </w:t>
      </w:r>
      <w:r w:rsidR="00C67AD4">
        <w:t>certification</w:t>
      </w:r>
      <w:r>
        <w:t xml:space="preserve"> procedure</w:t>
      </w:r>
      <w:r w:rsidR="00DE180E">
        <w:t>,</w:t>
      </w:r>
      <w:r>
        <w:t xml:space="preserve"> and</w:t>
      </w:r>
      <w:r w:rsidR="00DE180E">
        <w:t xml:space="preserve"> to</w:t>
      </w:r>
      <w:r>
        <w:t xml:space="preserve"> codify </w:t>
      </w:r>
      <w:r w:rsidR="000354AD">
        <w:t xml:space="preserve">the existing </w:t>
      </w:r>
      <w:r>
        <w:t xml:space="preserve">procedure through which the Commission can recognize new laboratory accreditation bodies.  In addition, we propose to incorporate the latest versions of the industry standards for measuring equipment into the rules and address how to update these standards more quickly in the future.  Finally, we propose to modify the rules to reference the current ISO/IEC </w:t>
      </w:r>
      <w:r w:rsidR="006979FF">
        <w:t xml:space="preserve">standards </w:t>
      </w:r>
      <w:r>
        <w:t>used to accredit TCBs that approve RF equipment under Part 2 of the Commission’s rules and terminal equipment under Part 68 of the Commission’s rules. The s</w:t>
      </w:r>
      <w:r w:rsidRPr="005031F9">
        <w:t xml:space="preserve">pecific issues </w:t>
      </w:r>
      <w:r w:rsidR="00F8205E">
        <w:t xml:space="preserve">and proposals </w:t>
      </w:r>
      <w:r w:rsidRPr="005031F9">
        <w:t xml:space="preserve">on which we seek comment are discussed </w:t>
      </w:r>
      <w:r>
        <w:t xml:space="preserve">in detail </w:t>
      </w:r>
      <w:r w:rsidRPr="005031F9">
        <w:t>below.</w:t>
      </w:r>
      <w:r>
        <w:t xml:space="preserve"> </w:t>
      </w:r>
      <w:r w:rsidR="0097528F">
        <w:t xml:space="preserve">We believe that the changes proposed herein will enable new and innovative products to be brought to market as quickly as possible, thus promoting competition in the provision of RF equipment, while at the same time protecting against interference </w:t>
      </w:r>
      <w:r w:rsidR="007903AA">
        <w:t xml:space="preserve">among radio services and devices using </w:t>
      </w:r>
      <w:r w:rsidR="0097528F">
        <w:t>the RF spectrum.</w:t>
      </w:r>
    </w:p>
    <w:p w:rsidR="00196DAC" w:rsidRDefault="00196DAC" w:rsidP="000116C7">
      <w:pPr>
        <w:pStyle w:val="ParaNum"/>
        <w:widowControl/>
        <w:spacing w:after="220"/>
      </w:pPr>
      <w:bookmarkStart w:id="132" w:name="_Toc326243792"/>
      <w:bookmarkStart w:id="133" w:name="_Toc326243989"/>
      <w:bookmarkStart w:id="134" w:name="_Toc327450762"/>
      <w:bookmarkStart w:id="135" w:name="_Toc330288210"/>
      <w:bookmarkStart w:id="136" w:name="_Toc330367180"/>
      <w:bookmarkStart w:id="137" w:name="_Toc331420768"/>
      <w:bookmarkStart w:id="138" w:name="_Toc331604648"/>
      <w:bookmarkStart w:id="139" w:name="_Toc332121623"/>
      <w:bookmarkStart w:id="140" w:name="_Toc332204300"/>
      <w:bookmarkStart w:id="141" w:name="_Toc332894803"/>
      <w:bookmarkStart w:id="142" w:name="_Toc333581616"/>
      <w:bookmarkStart w:id="143" w:name="_Toc333936408"/>
      <w:r>
        <w:t xml:space="preserve">Many of the changes proposed herein are administrative </w:t>
      </w:r>
      <w:r w:rsidR="006B6FC2">
        <w:t xml:space="preserve">in nature </w:t>
      </w:r>
      <w:r>
        <w:t>and we believe that there would be minimal or no cost</w:t>
      </w:r>
      <w:r w:rsidR="006B6FC2">
        <w:t>s</w:t>
      </w:r>
      <w:r>
        <w:t xml:space="preserve"> associated with them</w:t>
      </w:r>
      <w:r w:rsidR="002F7B06">
        <w:t>.</w:t>
      </w:r>
      <w:r>
        <w:t xml:space="preserve"> </w:t>
      </w:r>
      <w:r w:rsidR="002F7B06">
        <w:t>W</w:t>
      </w:r>
      <w:r>
        <w:t xml:space="preserve">e recognize that certain </w:t>
      </w:r>
      <w:r w:rsidR="006B6FC2">
        <w:t xml:space="preserve">proposed </w:t>
      </w:r>
      <w:r>
        <w:t>changes</w:t>
      </w:r>
      <w:r w:rsidR="002F7B06">
        <w:t>,</w:t>
      </w:r>
      <w:r>
        <w:t xml:space="preserve"> such as requiring laboratories to become accredited</w:t>
      </w:r>
      <w:r w:rsidR="002F7B06">
        <w:t>,</w:t>
      </w:r>
      <w:r>
        <w:t xml:space="preserve"> </w:t>
      </w:r>
      <w:r w:rsidR="006B6FC2">
        <w:t>would</w:t>
      </w:r>
      <w:r>
        <w:t xml:space="preserve"> result in some increased costs</w:t>
      </w:r>
      <w:r w:rsidR="00FE317B">
        <w:t>.</w:t>
      </w:r>
      <w:r>
        <w:t xml:space="preserve"> </w:t>
      </w:r>
      <w:r w:rsidR="00FE317B">
        <w:t xml:space="preserve"> W</w:t>
      </w:r>
      <w:r>
        <w:t xml:space="preserve">e expect that the benefits of the proposed changes would be greater than the additional costs that </w:t>
      </w:r>
      <w:r w:rsidR="000859D5">
        <w:t>would</w:t>
      </w:r>
      <w:r>
        <w:t xml:space="preserve"> be incurred.  We seek comment on the costs and benefits of the rule changes proposed below, along with data supporting </w:t>
      </w:r>
      <w:r w:rsidR="002F7B06">
        <w:t>commenters</w:t>
      </w:r>
      <w:r w:rsidR="00DE180E">
        <w:t>’</w:t>
      </w:r>
      <w:r w:rsidR="002F7B06">
        <w:t xml:space="preserve"> </w:t>
      </w:r>
      <w:r>
        <w:t>assessments.</w:t>
      </w:r>
    </w:p>
    <w:p w:rsidR="0031641C" w:rsidRPr="00ED2BE7" w:rsidRDefault="00595105" w:rsidP="000116C7">
      <w:pPr>
        <w:pStyle w:val="Heading2"/>
        <w:widowControl/>
        <w:rPr>
          <w:rFonts w:eastAsia="TimesNewRoman"/>
        </w:rPr>
      </w:pPr>
      <w:bookmarkStart w:id="144" w:name="_Toc335141617"/>
      <w:bookmarkStart w:id="145" w:name="_Toc335291360"/>
      <w:bookmarkStart w:id="146" w:name="_Toc335291413"/>
      <w:bookmarkStart w:id="147" w:name="_Toc335291473"/>
      <w:bookmarkStart w:id="148" w:name="_Toc335291543"/>
      <w:bookmarkStart w:id="149" w:name="_Toc335291681"/>
      <w:bookmarkStart w:id="150" w:name="_Toc335291733"/>
      <w:bookmarkStart w:id="151" w:name="_Toc335631611"/>
      <w:bookmarkStart w:id="152" w:name="_Toc335632653"/>
      <w:bookmarkStart w:id="153" w:name="_Toc335632725"/>
      <w:bookmarkStart w:id="154" w:name="_Toc337649163"/>
      <w:r>
        <w:t>TCB Program</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ED2BE7" w:rsidRPr="00BD6C60" w:rsidRDefault="002D4248" w:rsidP="000116C7">
      <w:pPr>
        <w:pStyle w:val="Heading3"/>
        <w:widowControl/>
        <w:rPr>
          <w:rFonts w:eastAsia="TimesNewRoman"/>
        </w:rPr>
      </w:pPr>
      <w:bookmarkStart w:id="155" w:name="_Toc331420769"/>
      <w:bookmarkStart w:id="156" w:name="_Toc331604649"/>
      <w:bookmarkStart w:id="157" w:name="_Toc332121624"/>
      <w:bookmarkStart w:id="158" w:name="_Toc332204301"/>
      <w:bookmarkStart w:id="159" w:name="_Toc332894804"/>
      <w:bookmarkStart w:id="160" w:name="_Toc333581617"/>
      <w:bookmarkStart w:id="161" w:name="_Toc333936409"/>
      <w:bookmarkStart w:id="162" w:name="_Toc335141618"/>
      <w:bookmarkStart w:id="163" w:name="_Toc335291361"/>
      <w:bookmarkStart w:id="164" w:name="_Toc335291414"/>
      <w:bookmarkStart w:id="165" w:name="_Toc335291474"/>
      <w:bookmarkStart w:id="166" w:name="_Toc335291544"/>
      <w:bookmarkStart w:id="167" w:name="_Toc335291682"/>
      <w:bookmarkStart w:id="168" w:name="_Toc335291734"/>
      <w:bookmarkStart w:id="169" w:name="_Toc335631612"/>
      <w:bookmarkStart w:id="170" w:name="_Toc335632654"/>
      <w:bookmarkStart w:id="171" w:name="_Toc335632726"/>
      <w:bookmarkStart w:id="172" w:name="_Toc337649164"/>
      <w:r>
        <w:rPr>
          <w:rFonts w:eastAsia="TimesNewRoman"/>
        </w:rPr>
        <w:t xml:space="preserve">Certification of RF </w:t>
      </w:r>
      <w:r w:rsidR="007E5B4E">
        <w:rPr>
          <w:rFonts w:eastAsia="TimesNewRoman"/>
        </w:rPr>
        <w:t>e</w:t>
      </w:r>
      <w:r>
        <w:rPr>
          <w:rFonts w:eastAsia="TimesNewRoman"/>
        </w:rPr>
        <w:t>quipment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1338B0" w:rsidRDefault="006D3ECB" w:rsidP="000116C7">
      <w:pPr>
        <w:pStyle w:val="ParaNum"/>
        <w:widowControl/>
        <w:spacing w:after="220"/>
        <w:rPr>
          <w:rFonts w:eastAsia="TimesNewRoman"/>
          <w:szCs w:val="22"/>
        </w:rPr>
      </w:pPr>
      <w:r>
        <w:rPr>
          <w:rFonts w:eastAsia="TimesNewRoman"/>
          <w:szCs w:val="22"/>
        </w:rPr>
        <w:t xml:space="preserve">One </w:t>
      </w:r>
      <w:r w:rsidR="00273604">
        <w:rPr>
          <w:rFonts w:eastAsia="TimesNewRoman"/>
          <w:szCs w:val="22"/>
        </w:rPr>
        <w:t xml:space="preserve">goal </w:t>
      </w:r>
      <w:r w:rsidR="001338B0">
        <w:rPr>
          <w:rFonts w:eastAsia="TimesNewRoman"/>
          <w:szCs w:val="22"/>
        </w:rPr>
        <w:t xml:space="preserve">of </w:t>
      </w:r>
      <w:r w:rsidR="001338B0" w:rsidRPr="00C972C5">
        <w:t>the</w:t>
      </w:r>
      <w:r w:rsidR="001338B0">
        <w:rPr>
          <w:rFonts w:eastAsia="TimesNewRoman"/>
          <w:szCs w:val="22"/>
        </w:rPr>
        <w:t xml:space="preserve"> Commission</w:t>
      </w:r>
      <w:r w:rsidR="001338B0" w:rsidRPr="00BD6C60">
        <w:rPr>
          <w:rFonts w:eastAsia="TimesNewRoman"/>
          <w:szCs w:val="22"/>
        </w:rPr>
        <w:t xml:space="preserve"> in </w:t>
      </w:r>
      <w:r w:rsidR="005D7C7B">
        <w:rPr>
          <w:rFonts w:eastAsia="TimesNewRoman"/>
          <w:szCs w:val="22"/>
        </w:rPr>
        <w:t xml:space="preserve">allowing </w:t>
      </w:r>
      <w:r w:rsidR="001338B0">
        <w:rPr>
          <w:rFonts w:eastAsia="TimesNewRoman"/>
          <w:szCs w:val="22"/>
        </w:rPr>
        <w:t>TCBs</w:t>
      </w:r>
      <w:r w:rsidR="001338B0" w:rsidRPr="00BD6C60">
        <w:rPr>
          <w:rFonts w:eastAsia="TimesNewRoman"/>
          <w:szCs w:val="22"/>
        </w:rPr>
        <w:t xml:space="preserve"> </w:t>
      </w:r>
      <w:r w:rsidR="001338B0">
        <w:rPr>
          <w:rFonts w:eastAsia="TimesNewRoman"/>
          <w:szCs w:val="22"/>
        </w:rPr>
        <w:t xml:space="preserve">to perform equipment approvals </w:t>
      </w:r>
      <w:r w:rsidR="001338B0" w:rsidRPr="00BD6C60">
        <w:rPr>
          <w:rFonts w:eastAsia="TimesNewRoman"/>
          <w:szCs w:val="22"/>
        </w:rPr>
        <w:t xml:space="preserve">was to </w:t>
      </w:r>
      <w:r w:rsidR="001338B0">
        <w:rPr>
          <w:rFonts w:eastAsia="TimesNewRoman"/>
          <w:szCs w:val="22"/>
        </w:rPr>
        <w:t xml:space="preserve">enable it to </w:t>
      </w:r>
      <w:r w:rsidR="001338B0" w:rsidRPr="00BD6C60">
        <w:rPr>
          <w:rFonts w:eastAsia="TimesNewRoman"/>
          <w:szCs w:val="22"/>
        </w:rPr>
        <w:t xml:space="preserve">discontinue </w:t>
      </w:r>
      <w:r w:rsidR="001338B0">
        <w:rPr>
          <w:rFonts w:eastAsia="TimesNewRoman"/>
          <w:szCs w:val="22"/>
        </w:rPr>
        <w:t>processing</w:t>
      </w:r>
      <w:r w:rsidR="001338B0" w:rsidRPr="00BD6C60">
        <w:rPr>
          <w:rFonts w:eastAsia="TimesNewRoman"/>
          <w:szCs w:val="22"/>
        </w:rPr>
        <w:t xml:space="preserve"> routine applications when TCBs </w:t>
      </w:r>
      <w:r w:rsidR="001338B0">
        <w:rPr>
          <w:rFonts w:eastAsia="TimesNewRoman"/>
          <w:szCs w:val="22"/>
        </w:rPr>
        <w:t>we</w:t>
      </w:r>
      <w:r w:rsidR="001338B0" w:rsidRPr="00BD6C60">
        <w:rPr>
          <w:rFonts w:eastAsia="TimesNewRoman"/>
          <w:szCs w:val="22"/>
        </w:rPr>
        <w:t>re available to perform the work</w:t>
      </w:r>
      <w:r w:rsidR="00A93E41">
        <w:rPr>
          <w:rFonts w:eastAsia="TimesNewRoman"/>
          <w:szCs w:val="22"/>
        </w:rPr>
        <w:t>.  T</w:t>
      </w:r>
      <w:r w:rsidR="00273604">
        <w:rPr>
          <w:rFonts w:eastAsia="TimesNewRoman"/>
          <w:szCs w:val="22"/>
        </w:rPr>
        <w:t>he Commission</w:t>
      </w:r>
      <w:r w:rsidR="00A93E41">
        <w:rPr>
          <w:rFonts w:eastAsia="TimesNewRoman"/>
          <w:szCs w:val="22"/>
        </w:rPr>
        <w:t>, however,</w:t>
      </w:r>
      <w:r w:rsidR="00273604">
        <w:rPr>
          <w:rFonts w:eastAsia="TimesNewRoman"/>
          <w:szCs w:val="22"/>
        </w:rPr>
        <w:t xml:space="preserve"> </w:t>
      </w:r>
      <w:r w:rsidR="001338B0" w:rsidRPr="00BD6C60">
        <w:rPr>
          <w:rFonts w:eastAsia="TimesNewRoman"/>
          <w:szCs w:val="22"/>
        </w:rPr>
        <w:t xml:space="preserve">did not </w:t>
      </w:r>
      <w:r w:rsidR="00A93E41">
        <w:rPr>
          <w:rFonts w:eastAsia="TimesNewRoman"/>
          <w:szCs w:val="22"/>
        </w:rPr>
        <w:t xml:space="preserve">commit to ending its role </w:t>
      </w:r>
      <w:r w:rsidR="00DE180E">
        <w:rPr>
          <w:rFonts w:eastAsia="TimesNewRoman"/>
          <w:szCs w:val="22"/>
        </w:rPr>
        <w:t xml:space="preserve">in issuing equipment authorizations </w:t>
      </w:r>
      <w:r w:rsidR="00A93E41">
        <w:rPr>
          <w:rFonts w:eastAsia="TimesNewRoman"/>
          <w:szCs w:val="22"/>
        </w:rPr>
        <w:t>altogether</w:t>
      </w:r>
      <w:r w:rsidR="001338B0">
        <w:rPr>
          <w:rFonts w:eastAsia="TimesNewRoman"/>
          <w:szCs w:val="22"/>
        </w:rPr>
        <w:t>.</w:t>
      </w:r>
      <w:r w:rsidR="001338B0">
        <w:rPr>
          <w:rStyle w:val="FootnoteReference"/>
          <w:rFonts w:eastAsia="TimesNewRoman"/>
          <w:szCs w:val="22"/>
        </w:rPr>
        <w:footnoteReference w:id="49"/>
      </w:r>
      <w:r w:rsidR="001338B0">
        <w:rPr>
          <w:rFonts w:eastAsia="TimesNewRoman"/>
          <w:szCs w:val="22"/>
        </w:rPr>
        <w:t xml:space="preserve">  The Commission</w:t>
      </w:r>
      <w:r w:rsidR="001338B0" w:rsidRPr="00BD6C60">
        <w:rPr>
          <w:rFonts w:eastAsia="TimesNewRoman"/>
          <w:szCs w:val="22"/>
        </w:rPr>
        <w:t xml:space="preserve"> </w:t>
      </w:r>
      <w:r w:rsidR="001338B0" w:rsidRPr="007F4DD1">
        <w:rPr>
          <w:rFonts w:eastAsia="TimesNewRoman"/>
          <w:szCs w:val="22"/>
        </w:rPr>
        <w:t xml:space="preserve">concluded </w:t>
      </w:r>
      <w:r w:rsidR="00273604">
        <w:rPr>
          <w:rFonts w:eastAsia="TimesNewRoman"/>
          <w:szCs w:val="22"/>
        </w:rPr>
        <w:t xml:space="preserve">at that time </w:t>
      </w:r>
      <w:r w:rsidR="001338B0" w:rsidRPr="007F4DD1">
        <w:rPr>
          <w:spacing w:val="-3"/>
          <w:szCs w:val="22"/>
        </w:rPr>
        <w:t xml:space="preserve">that it </w:t>
      </w:r>
      <w:r w:rsidR="00273604">
        <w:rPr>
          <w:spacing w:val="-3"/>
          <w:szCs w:val="22"/>
        </w:rPr>
        <w:t>was</w:t>
      </w:r>
      <w:r w:rsidR="00273604" w:rsidRPr="007F4DD1">
        <w:rPr>
          <w:spacing w:val="-3"/>
          <w:szCs w:val="22"/>
        </w:rPr>
        <w:t xml:space="preserve"> </w:t>
      </w:r>
      <w:r w:rsidR="001338B0" w:rsidRPr="007F4DD1">
        <w:rPr>
          <w:spacing w:val="-3"/>
          <w:szCs w:val="22"/>
        </w:rPr>
        <w:t xml:space="preserve">unnecessary for it to continue approving certification applications for personal computers and peripherals, since that equipment </w:t>
      </w:r>
      <w:r w:rsidR="00DE180E">
        <w:rPr>
          <w:spacing w:val="-3"/>
          <w:szCs w:val="22"/>
        </w:rPr>
        <w:t>could</w:t>
      </w:r>
      <w:r w:rsidR="00DE180E" w:rsidRPr="007F4DD1">
        <w:rPr>
          <w:spacing w:val="-3"/>
          <w:szCs w:val="22"/>
        </w:rPr>
        <w:t xml:space="preserve"> </w:t>
      </w:r>
      <w:r w:rsidR="001338B0" w:rsidRPr="007F4DD1">
        <w:rPr>
          <w:spacing w:val="-3"/>
          <w:szCs w:val="22"/>
        </w:rPr>
        <w:t>be authorized through the DoC procedure.  It</w:t>
      </w:r>
      <w:r w:rsidR="001338B0">
        <w:rPr>
          <w:spacing w:val="-3"/>
          <w:sz w:val="24"/>
        </w:rPr>
        <w:t xml:space="preserve"> </w:t>
      </w:r>
      <w:r w:rsidR="001338B0" w:rsidRPr="00BD6C60">
        <w:rPr>
          <w:rFonts w:eastAsia="TimesNewRoman"/>
          <w:szCs w:val="22"/>
        </w:rPr>
        <w:t xml:space="preserve">found that processing these voluntarily filed applications </w:t>
      </w:r>
      <w:r w:rsidR="00DE180E">
        <w:rPr>
          <w:rFonts w:eastAsia="TimesNewRoman"/>
          <w:szCs w:val="22"/>
        </w:rPr>
        <w:t>wa</w:t>
      </w:r>
      <w:r w:rsidR="001338B0" w:rsidRPr="00BD6C60">
        <w:rPr>
          <w:rFonts w:eastAsia="TimesNewRoman"/>
          <w:szCs w:val="22"/>
        </w:rPr>
        <w:t xml:space="preserve">s not an efficient use of </w:t>
      </w:r>
      <w:r w:rsidR="001338B0">
        <w:rPr>
          <w:rFonts w:eastAsia="TimesNewRoman"/>
          <w:szCs w:val="22"/>
        </w:rPr>
        <w:t>its</w:t>
      </w:r>
      <w:r w:rsidR="001338B0" w:rsidRPr="00BD6C60">
        <w:rPr>
          <w:rFonts w:eastAsia="TimesNewRoman"/>
          <w:szCs w:val="22"/>
        </w:rPr>
        <w:t xml:space="preserve"> resources</w:t>
      </w:r>
      <w:r w:rsidR="00DE180E">
        <w:rPr>
          <w:rFonts w:eastAsia="TimesNewRoman"/>
          <w:szCs w:val="22"/>
        </w:rPr>
        <w:t>,</w:t>
      </w:r>
      <w:r w:rsidR="001338B0">
        <w:rPr>
          <w:rFonts w:eastAsia="TimesNewRoman"/>
          <w:szCs w:val="22"/>
        </w:rPr>
        <w:t xml:space="preserve"> and stated that </w:t>
      </w:r>
      <w:r w:rsidR="001338B0" w:rsidRPr="00BD6C60">
        <w:rPr>
          <w:rFonts w:eastAsia="TimesNewRoman"/>
          <w:szCs w:val="22"/>
        </w:rPr>
        <w:t xml:space="preserve">once domestic TCBs were available to process applications for personal computer equipment for those applicants who chose to use the certification process rather than DoC, the Commission </w:t>
      </w:r>
      <w:r w:rsidR="001338B0">
        <w:rPr>
          <w:rFonts w:eastAsia="TimesNewRoman"/>
          <w:szCs w:val="22"/>
        </w:rPr>
        <w:t xml:space="preserve">would </w:t>
      </w:r>
      <w:r w:rsidR="001338B0" w:rsidRPr="00BD6C60">
        <w:rPr>
          <w:rFonts w:eastAsia="TimesNewRoman"/>
          <w:szCs w:val="22"/>
        </w:rPr>
        <w:t>stop accepting these applications.</w:t>
      </w:r>
      <w:r w:rsidR="001338B0">
        <w:rPr>
          <w:rStyle w:val="FootnoteReference"/>
          <w:rFonts w:eastAsia="TimesNewRoman"/>
          <w:szCs w:val="22"/>
        </w:rPr>
        <w:footnoteReference w:id="50"/>
      </w:r>
      <w:r w:rsidR="001338B0" w:rsidRPr="00BD6C60">
        <w:rPr>
          <w:rFonts w:eastAsia="TimesNewRoman"/>
          <w:szCs w:val="22"/>
        </w:rPr>
        <w:t xml:space="preserve">  </w:t>
      </w:r>
      <w:r w:rsidR="001338B0">
        <w:rPr>
          <w:rFonts w:eastAsia="TimesNewRoman"/>
          <w:szCs w:val="22"/>
        </w:rPr>
        <w:t>The Commission issued a public notice in September 2000 announcing that it would no longer accept applications for personal computer equipment</w:t>
      </w:r>
      <w:r w:rsidR="001338B0" w:rsidRPr="00BD6C60">
        <w:rPr>
          <w:rFonts w:eastAsia="TimesNewRoman"/>
          <w:szCs w:val="22"/>
        </w:rPr>
        <w:t>.</w:t>
      </w:r>
      <w:r w:rsidR="001338B0" w:rsidRPr="00BD6C60">
        <w:rPr>
          <w:rStyle w:val="FootnoteReference"/>
          <w:rFonts w:eastAsia="TimesNewRoman"/>
          <w:szCs w:val="22"/>
        </w:rPr>
        <w:footnoteReference w:id="51"/>
      </w:r>
      <w:r w:rsidR="001338B0" w:rsidRPr="00BD6C60">
        <w:rPr>
          <w:rFonts w:eastAsia="TimesNewRoman"/>
          <w:szCs w:val="22"/>
        </w:rPr>
        <w:t xml:space="preserve">  </w:t>
      </w:r>
      <w:r w:rsidR="001338B0">
        <w:rPr>
          <w:rFonts w:eastAsia="TimesNewRoman"/>
          <w:szCs w:val="22"/>
        </w:rPr>
        <w:t xml:space="preserve">However, </w:t>
      </w:r>
      <w:r w:rsidR="00273604">
        <w:rPr>
          <w:rFonts w:eastAsia="TimesNewRoman"/>
          <w:szCs w:val="22"/>
        </w:rPr>
        <w:t>the Commission</w:t>
      </w:r>
      <w:r w:rsidR="00273604" w:rsidRPr="00BD6C60">
        <w:rPr>
          <w:rFonts w:eastAsia="TimesNewRoman"/>
          <w:szCs w:val="22"/>
        </w:rPr>
        <w:t xml:space="preserve"> </w:t>
      </w:r>
      <w:r w:rsidR="001338B0" w:rsidRPr="00BD6C60">
        <w:rPr>
          <w:rFonts w:eastAsia="TimesNewRoman"/>
          <w:szCs w:val="22"/>
        </w:rPr>
        <w:t xml:space="preserve">has continued to </w:t>
      </w:r>
      <w:r w:rsidR="00273604">
        <w:rPr>
          <w:rFonts w:eastAsia="TimesNewRoman"/>
          <w:szCs w:val="22"/>
        </w:rPr>
        <w:t>accept applications for</w:t>
      </w:r>
      <w:r w:rsidR="00273604" w:rsidRPr="00BD6C60">
        <w:rPr>
          <w:rFonts w:eastAsia="TimesNewRoman"/>
          <w:szCs w:val="22"/>
        </w:rPr>
        <w:t xml:space="preserve"> </w:t>
      </w:r>
      <w:r w:rsidR="00273604">
        <w:rPr>
          <w:rFonts w:eastAsia="TimesNewRoman"/>
          <w:szCs w:val="22"/>
        </w:rPr>
        <w:t xml:space="preserve">all </w:t>
      </w:r>
      <w:r w:rsidR="001338B0">
        <w:rPr>
          <w:rFonts w:eastAsia="TimesNewRoman"/>
          <w:szCs w:val="22"/>
        </w:rPr>
        <w:t xml:space="preserve">other types of </w:t>
      </w:r>
      <w:r w:rsidR="001338B0" w:rsidRPr="00BD6C60">
        <w:rPr>
          <w:rFonts w:eastAsia="TimesNewRoman"/>
          <w:szCs w:val="22"/>
        </w:rPr>
        <w:t xml:space="preserve">equipment during the implementation of the TCB program.  This </w:t>
      </w:r>
      <w:r w:rsidR="00DE180E">
        <w:rPr>
          <w:rFonts w:eastAsia="TimesNewRoman"/>
          <w:szCs w:val="22"/>
        </w:rPr>
        <w:t xml:space="preserve">practice </w:t>
      </w:r>
      <w:r w:rsidR="001338B0" w:rsidRPr="00BD6C60">
        <w:rPr>
          <w:rFonts w:eastAsia="TimesNewRoman"/>
          <w:szCs w:val="22"/>
        </w:rPr>
        <w:t>has provide</w:t>
      </w:r>
      <w:r w:rsidR="00DE180E">
        <w:rPr>
          <w:rFonts w:eastAsia="TimesNewRoman"/>
          <w:szCs w:val="22"/>
        </w:rPr>
        <w:t>d</w:t>
      </w:r>
      <w:r w:rsidR="001338B0" w:rsidRPr="00BD6C60">
        <w:rPr>
          <w:rFonts w:eastAsia="TimesNewRoman"/>
          <w:szCs w:val="22"/>
        </w:rPr>
        <w:t xml:space="preserve"> a smooth transition</w:t>
      </w:r>
      <w:r w:rsidR="001338B0">
        <w:rPr>
          <w:rFonts w:eastAsia="TimesNewRoman"/>
          <w:szCs w:val="22"/>
        </w:rPr>
        <w:t xml:space="preserve"> to TCB certification of equipment authorization applications,</w:t>
      </w:r>
      <w:r w:rsidR="001338B0" w:rsidRPr="00BD6C60">
        <w:rPr>
          <w:rFonts w:eastAsia="TimesNewRoman"/>
          <w:szCs w:val="22"/>
        </w:rPr>
        <w:t xml:space="preserve"> and ensure</w:t>
      </w:r>
      <w:r w:rsidR="00DE180E">
        <w:rPr>
          <w:rFonts w:eastAsia="TimesNewRoman"/>
          <w:szCs w:val="22"/>
        </w:rPr>
        <w:t>d</w:t>
      </w:r>
      <w:r w:rsidR="001338B0" w:rsidRPr="00BD6C60">
        <w:rPr>
          <w:rFonts w:eastAsia="TimesNewRoman"/>
          <w:szCs w:val="22"/>
        </w:rPr>
        <w:t xml:space="preserve"> that at least one </w:t>
      </w:r>
      <w:r w:rsidR="00273604">
        <w:rPr>
          <w:rFonts w:eastAsia="TimesNewRoman"/>
          <w:szCs w:val="22"/>
        </w:rPr>
        <w:t>entity</w:t>
      </w:r>
      <w:r w:rsidR="00273604" w:rsidRPr="00BD6C60">
        <w:rPr>
          <w:rFonts w:eastAsia="TimesNewRoman"/>
          <w:szCs w:val="22"/>
        </w:rPr>
        <w:t xml:space="preserve"> </w:t>
      </w:r>
      <w:r w:rsidR="001338B0" w:rsidRPr="00BD6C60">
        <w:rPr>
          <w:rFonts w:eastAsia="TimesNewRoman"/>
          <w:szCs w:val="22"/>
        </w:rPr>
        <w:t xml:space="preserve">is available to certify all types of equipment. </w:t>
      </w:r>
    </w:p>
    <w:p w:rsidR="001338B0" w:rsidRPr="0031641C" w:rsidRDefault="001338B0" w:rsidP="000116C7">
      <w:pPr>
        <w:pStyle w:val="ParaNum"/>
        <w:widowControl/>
        <w:spacing w:after="220"/>
        <w:rPr>
          <w:rFonts w:eastAsia="TimesNewRoman"/>
          <w:szCs w:val="22"/>
        </w:rPr>
      </w:pPr>
      <w:r>
        <w:rPr>
          <w:rFonts w:eastAsia="TimesNewRoman"/>
          <w:szCs w:val="22"/>
        </w:rPr>
        <w:lastRenderedPageBreak/>
        <w:t>Under the current rules, a</w:t>
      </w:r>
      <w:r w:rsidRPr="00BD6C60">
        <w:rPr>
          <w:rFonts w:eastAsia="TimesNewRoman"/>
          <w:szCs w:val="22"/>
        </w:rPr>
        <w:t xml:space="preserve"> TCB is not </w:t>
      </w:r>
      <w:r w:rsidR="00646148">
        <w:rPr>
          <w:rFonts w:eastAsia="TimesNewRoman"/>
          <w:szCs w:val="22"/>
        </w:rPr>
        <w:t>permitted</w:t>
      </w:r>
      <w:r w:rsidRPr="00BD6C60">
        <w:rPr>
          <w:rFonts w:eastAsia="TimesNewRoman"/>
          <w:szCs w:val="22"/>
        </w:rPr>
        <w:t xml:space="preserve"> to c</w:t>
      </w:r>
      <w:r w:rsidRPr="00BD6C60">
        <w:rPr>
          <w:szCs w:val="22"/>
        </w:rPr>
        <w:t xml:space="preserve">ertify equipment for which </w:t>
      </w:r>
      <w:r>
        <w:rPr>
          <w:szCs w:val="22"/>
        </w:rPr>
        <w:t xml:space="preserve">Commission </w:t>
      </w:r>
      <w:r w:rsidRPr="00BD6C60">
        <w:rPr>
          <w:szCs w:val="22"/>
        </w:rPr>
        <w:t xml:space="preserve">rules or requirements </w:t>
      </w:r>
      <w:r>
        <w:rPr>
          <w:szCs w:val="22"/>
        </w:rPr>
        <w:t xml:space="preserve">do not exist or for which the application of the rules or requirements are </w:t>
      </w:r>
      <w:r w:rsidRPr="00BD6C60">
        <w:rPr>
          <w:szCs w:val="22"/>
        </w:rPr>
        <w:t>unclear.</w:t>
      </w:r>
      <w:r w:rsidRPr="00BD6C60">
        <w:rPr>
          <w:rStyle w:val="FootnoteReference"/>
          <w:szCs w:val="22"/>
        </w:rPr>
        <w:footnoteReference w:id="52"/>
      </w:r>
      <w:r w:rsidRPr="00BD6C60">
        <w:rPr>
          <w:szCs w:val="22"/>
        </w:rPr>
        <w:t xml:space="preserve">  </w:t>
      </w:r>
      <w:r>
        <w:rPr>
          <w:szCs w:val="22"/>
        </w:rPr>
        <w:t>In some rulemaking proceedings</w:t>
      </w:r>
      <w:r w:rsidR="004F4E99">
        <w:rPr>
          <w:szCs w:val="22"/>
        </w:rPr>
        <w:t>,</w:t>
      </w:r>
      <w:r>
        <w:rPr>
          <w:szCs w:val="22"/>
        </w:rPr>
        <w:t xml:space="preserve"> the Commission has identified specific categories of equipment that TCBs are not allowed to certify, such as TV bands devices and split modular transmitters.</w:t>
      </w:r>
      <w:r>
        <w:rPr>
          <w:rStyle w:val="FootnoteReference"/>
          <w:szCs w:val="22"/>
        </w:rPr>
        <w:footnoteReference w:id="53"/>
      </w:r>
      <w:r>
        <w:rPr>
          <w:szCs w:val="22"/>
        </w:rPr>
        <w:t xml:space="preserve">  OET </w:t>
      </w:r>
      <w:r w:rsidR="00273604">
        <w:rPr>
          <w:szCs w:val="22"/>
        </w:rPr>
        <w:t xml:space="preserve">maintains </w:t>
      </w:r>
      <w:r>
        <w:rPr>
          <w:szCs w:val="22"/>
        </w:rPr>
        <w:t>a</w:t>
      </w:r>
      <w:r w:rsidR="00273604">
        <w:rPr>
          <w:szCs w:val="22"/>
        </w:rPr>
        <w:t>n up-to-date</w:t>
      </w:r>
      <w:r>
        <w:rPr>
          <w:szCs w:val="22"/>
        </w:rPr>
        <w:t xml:space="preserve"> list of the</w:t>
      </w:r>
      <w:r w:rsidRPr="00BD6C60">
        <w:rPr>
          <w:szCs w:val="22"/>
        </w:rPr>
        <w:t xml:space="preserve"> </w:t>
      </w:r>
      <w:r>
        <w:rPr>
          <w:szCs w:val="22"/>
        </w:rPr>
        <w:t>types of equipment that</w:t>
      </w:r>
      <w:r w:rsidRPr="00BD6C60">
        <w:rPr>
          <w:szCs w:val="22"/>
        </w:rPr>
        <w:t xml:space="preserve"> a TCB is not allowed </w:t>
      </w:r>
      <w:proofErr w:type="gramStart"/>
      <w:r w:rsidRPr="00BD6C60">
        <w:rPr>
          <w:szCs w:val="22"/>
        </w:rPr>
        <w:t>to certify</w:t>
      </w:r>
      <w:proofErr w:type="gramEnd"/>
      <w:r w:rsidRPr="00BD6C60">
        <w:rPr>
          <w:szCs w:val="22"/>
        </w:rPr>
        <w:t xml:space="preserve"> </w:t>
      </w:r>
      <w:r>
        <w:rPr>
          <w:szCs w:val="22"/>
        </w:rPr>
        <w:t>and</w:t>
      </w:r>
      <w:r w:rsidRPr="00BD6C60">
        <w:rPr>
          <w:szCs w:val="22"/>
        </w:rPr>
        <w:t xml:space="preserve"> publishe</w:t>
      </w:r>
      <w:r>
        <w:rPr>
          <w:szCs w:val="22"/>
        </w:rPr>
        <w:t>s</w:t>
      </w:r>
      <w:r w:rsidRPr="00BD6C60">
        <w:rPr>
          <w:szCs w:val="22"/>
        </w:rPr>
        <w:t xml:space="preserve"> </w:t>
      </w:r>
      <w:r>
        <w:rPr>
          <w:szCs w:val="22"/>
        </w:rPr>
        <w:t>this</w:t>
      </w:r>
      <w:r w:rsidRPr="00BD6C60">
        <w:rPr>
          <w:szCs w:val="22"/>
        </w:rPr>
        <w:t xml:space="preserve"> “exclusion list”</w:t>
      </w:r>
      <w:r>
        <w:rPr>
          <w:szCs w:val="22"/>
        </w:rPr>
        <w:t xml:space="preserve"> on the Commission’s Knowledge DataBase (KDB) system.</w:t>
      </w:r>
      <w:bookmarkStart w:id="173" w:name="_Ref333504959"/>
      <w:r w:rsidRPr="00BD6C60">
        <w:rPr>
          <w:rStyle w:val="FootnoteReference"/>
          <w:szCs w:val="22"/>
        </w:rPr>
        <w:footnoteReference w:id="54"/>
      </w:r>
      <w:bookmarkEnd w:id="173"/>
      <w:r w:rsidRPr="00BD6C60">
        <w:rPr>
          <w:szCs w:val="22"/>
        </w:rPr>
        <w:t xml:space="preserve">  </w:t>
      </w:r>
      <w:r>
        <w:rPr>
          <w:szCs w:val="22"/>
        </w:rPr>
        <w:t>To enable TCBs to certify more types of devices, OET</w:t>
      </w:r>
      <w:r w:rsidRPr="00BD6C60">
        <w:rPr>
          <w:szCs w:val="22"/>
        </w:rPr>
        <w:t xml:space="preserve"> has established a “permit</w:t>
      </w:r>
      <w:r w:rsidRPr="00BD6C60">
        <w:rPr>
          <w:szCs w:val="22"/>
        </w:rPr>
        <w:noBreakHyphen/>
        <w:t>but</w:t>
      </w:r>
      <w:r w:rsidRPr="00BD6C60">
        <w:rPr>
          <w:szCs w:val="22"/>
        </w:rPr>
        <w:noBreakHyphen/>
        <w:t xml:space="preserve">ask” procedure that allows TCBs to review applications for certification </w:t>
      </w:r>
      <w:r>
        <w:rPr>
          <w:szCs w:val="22"/>
        </w:rPr>
        <w:t xml:space="preserve">of equipment that would otherwise be excluded from approval by a TCB.  These procedures allow the </w:t>
      </w:r>
      <w:r w:rsidR="001431A9">
        <w:rPr>
          <w:szCs w:val="22"/>
        </w:rPr>
        <w:t>prospective applicant</w:t>
      </w:r>
      <w:r>
        <w:rPr>
          <w:szCs w:val="22"/>
        </w:rPr>
        <w:t xml:space="preserve"> and TCB to seek guidance prior to filing the application for certification.  </w:t>
      </w:r>
      <w:r w:rsidRPr="00A47671">
        <w:rPr>
          <w:color w:val="000000"/>
          <w:szCs w:val="22"/>
        </w:rPr>
        <w:t xml:space="preserve"> Based on information submitted from the initiating party in a permit-but-ask request, the Commission provides guidance on test methods and the applicability of the Commission’s technical requirements specific to the device for which authorization is to be requested.  This is an electronic inquiry/response process that is linked to the electronic equipment authorization system.  The TCB then reviews the application for certification based on the guidance received from the Commission.</w:t>
      </w:r>
      <w:r>
        <w:rPr>
          <w:color w:val="000000"/>
          <w:szCs w:val="22"/>
        </w:rPr>
        <w:t xml:space="preserve"> </w:t>
      </w:r>
      <w:r>
        <w:rPr>
          <w:szCs w:val="22"/>
        </w:rPr>
        <w:t xml:space="preserve">Once a TCB has completed a review of equipment covered by the permit-but-ask procedure, </w:t>
      </w:r>
      <w:r w:rsidR="00314FDE">
        <w:rPr>
          <w:szCs w:val="22"/>
        </w:rPr>
        <w:t xml:space="preserve">it </w:t>
      </w:r>
      <w:r>
        <w:rPr>
          <w:szCs w:val="22"/>
        </w:rPr>
        <w:t xml:space="preserve">confirms </w:t>
      </w:r>
      <w:r w:rsidR="00314FDE">
        <w:rPr>
          <w:szCs w:val="22"/>
        </w:rPr>
        <w:t xml:space="preserve">with OET </w:t>
      </w:r>
      <w:r>
        <w:rPr>
          <w:szCs w:val="22"/>
        </w:rPr>
        <w:t xml:space="preserve">that appropriate measures have been taken to demonstrate compliance </w:t>
      </w:r>
      <w:r w:rsidRPr="00BD6C60">
        <w:rPr>
          <w:szCs w:val="22"/>
        </w:rPr>
        <w:t xml:space="preserve">with the </w:t>
      </w:r>
      <w:r w:rsidR="00114499">
        <w:rPr>
          <w:szCs w:val="22"/>
        </w:rPr>
        <w:t xml:space="preserve">guidance provided by </w:t>
      </w:r>
      <w:r w:rsidR="00314FDE">
        <w:rPr>
          <w:szCs w:val="22"/>
        </w:rPr>
        <w:t xml:space="preserve">OET </w:t>
      </w:r>
      <w:r w:rsidRPr="00BD6C60">
        <w:rPr>
          <w:szCs w:val="22"/>
        </w:rPr>
        <w:t>prior to issuing a grant of certification.</w:t>
      </w:r>
      <w:r w:rsidRPr="00BD6C60">
        <w:rPr>
          <w:rStyle w:val="FootnoteReference"/>
          <w:szCs w:val="22"/>
        </w:rPr>
        <w:footnoteReference w:id="55"/>
      </w:r>
      <w:r w:rsidRPr="00BD6C60">
        <w:rPr>
          <w:szCs w:val="22"/>
        </w:rPr>
        <w:t xml:space="preserve">  </w:t>
      </w:r>
      <w:r>
        <w:rPr>
          <w:szCs w:val="22"/>
        </w:rPr>
        <w:t xml:space="preserve">The appropriate measures include seeking guidance on proper test procedures, applying interpretations of technical rules or applying specific review procedures as provided by the Commission staff prior to the final approval. </w:t>
      </w:r>
    </w:p>
    <w:p w:rsidR="001338B0" w:rsidRDefault="001338B0" w:rsidP="000116C7">
      <w:pPr>
        <w:pStyle w:val="ParaNum"/>
        <w:widowControl/>
        <w:spacing w:after="220"/>
        <w:rPr>
          <w:rFonts w:eastAsia="TimesNewRoman"/>
          <w:szCs w:val="22"/>
        </w:rPr>
      </w:pPr>
      <w:bookmarkStart w:id="174" w:name="_Ref333581584"/>
      <w:r w:rsidRPr="00BD6C60">
        <w:rPr>
          <w:rFonts w:eastAsia="TimesNewRoman"/>
        </w:rPr>
        <w:t xml:space="preserve">The Commission maintains a database of </w:t>
      </w:r>
      <w:r>
        <w:rPr>
          <w:rFonts w:eastAsia="TimesNewRoman"/>
        </w:rPr>
        <w:t xml:space="preserve">all RF equipment </w:t>
      </w:r>
      <w:r w:rsidRPr="00BD6C60">
        <w:rPr>
          <w:rFonts w:eastAsia="TimesNewRoman"/>
        </w:rPr>
        <w:t xml:space="preserve">certified </w:t>
      </w:r>
      <w:r>
        <w:rPr>
          <w:rFonts w:eastAsia="TimesNewRoman"/>
        </w:rPr>
        <w:t xml:space="preserve">by the Commission and TCBs.  </w:t>
      </w:r>
      <w:r w:rsidRPr="00BD6C60">
        <w:rPr>
          <w:rFonts w:eastAsia="TimesNewRoman"/>
        </w:rPr>
        <w:t>This database allows the Commission</w:t>
      </w:r>
      <w:r>
        <w:rPr>
          <w:rFonts w:eastAsia="TimesNewRoman"/>
        </w:rPr>
        <w:t xml:space="preserve"> </w:t>
      </w:r>
      <w:r w:rsidRPr="00BD6C60">
        <w:rPr>
          <w:rFonts w:eastAsia="TimesNewRoman"/>
        </w:rPr>
        <w:t xml:space="preserve">to verify </w:t>
      </w:r>
      <w:r>
        <w:rPr>
          <w:rFonts w:eastAsia="TimesNewRoman"/>
        </w:rPr>
        <w:t>that</w:t>
      </w:r>
      <w:r w:rsidRPr="00BD6C60">
        <w:rPr>
          <w:rFonts w:eastAsia="TimesNewRoman"/>
        </w:rPr>
        <w:t xml:space="preserve"> a </w:t>
      </w:r>
      <w:r w:rsidR="00FA3B1C">
        <w:rPr>
          <w:rFonts w:eastAsia="TimesNewRoman"/>
        </w:rPr>
        <w:t>device</w:t>
      </w:r>
      <w:r w:rsidRPr="00BD6C60">
        <w:rPr>
          <w:rFonts w:eastAsia="TimesNewRoman"/>
        </w:rPr>
        <w:t xml:space="preserve"> </w:t>
      </w:r>
      <w:r>
        <w:rPr>
          <w:rFonts w:eastAsia="TimesNewRoman"/>
        </w:rPr>
        <w:t>is</w:t>
      </w:r>
      <w:r w:rsidRPr="00BD6C60">
        <w:rPr>
          <w:rFonts w:eastAsia="TimesNewRoman"/>
        </w:rPr>
        <w:t xml:space="preserve"> approved without</w:t>
      </w:r>
      <w:r>
        <w:rPr>
          <w:rFonts w:eastAsia="TimesNewRoman"/>
        </w:rPr>
        <w:t xml:space="preserve"> having to</w:t>
      </w:r>
      <w:r w:rsidRPr="00BD6C60">
        <w:rPr>
          <w:rFonts w:eastAsia="TimesNewRoman"/>
        </w:rPr>
        <w:t xml:space="preserve"> </w:t>
      </w:r>
      <w:r>
        <w:rPr>
          <w:rFonts w:eastAsia="TimesNewRoman"/>
        </w:rPr>
        <w:t>contact</w:t>
      </w:r>
      <w:r w:rsidRPr="00BD6C60">
        <w:rPr>
          <w:rFonts w:eastAsia="TimesNewRoman"/>
        </w:rPr>
        <w:t xml:space="preserve"> the TCB that approved t</w:t>
      </w:r>
      <w:r>
        <w:rPr>
          <w:rFonts w:eastAsia="TimesNewRoman"/>
        </w:rPr>
        <w:t>he device</w:t>
      </w:r>
      <w:r w:rsidRPr="00BD6C60">
        <w:rPr>
          <w:rFonts w:eastAsia="TimesNewRoman"/>
        </w:rPr>
        <w:t xml:space="preserve"> </w:t>
      </w:r>
      <w:r w:rsidR="00A30BAD">
        <w:rPr>
          <w:rFonts w:eastAsia="TimesNewRoman"/>
        </w:rPr>
        <w:t>to</w:t>
      </w:r>
      <w:r w:rsidR="00A30BAD" w:rsidRPr="00BD6C60">
        <w:rPr>
          <w:rFonts w:eastAsia="TimesNewRoman"/>
        </w:rPr>
        <w:t xml:space="preserve"> </w:t>
      </w:r>
      <w:r w:rsidRPr="00BD6C60">
        <w:rPr>
          <w:rFonts w:eastAsia="TimesNewRoman"/>
        </w:rPr>
        <w:t xml:space="preserve">obtain </w:t>
      </w:r>
      <w:r w:rsidR="00646148">
        <w:rPr>
          <w:rFonts w:eastAsia="TimesNewRoman"/>
        </w:rPr>
        <w:t>the</w:t>
      </w:r>
      <w:r w:rsidRPr="00BD6C60">
        <w:rPr>
          <w:rFonts w:eastAsia="TimesNewRoman"/>
        </w:rPr>
        <w:t xml:space="preserve"> records</w:t>
      </w:r>
      <w:r w:rsidR="00646148">
        <w:rPr>
          <w:rFonts w:eastAsia="TimesNewRoman"/>
        </w:rPr>
        <w:t xml:space="preserve"> demonstrating compliance with the FCC requirements</w:t>
      </w:r>
      <w:r>
        <w:rPr>
          <w:rFonts w:eastAsia="TimesNewRoman"/>
        </w:rPr>
        <w:t>.  The database also allows the Commission</w:t>
      </w:r>
      <w:r w:rsidRPr="00BD6C60">
        <w:rPr>
          <w:rFonts w:eastAsia="TimesNewRoman"/>
        </w:rPr>
        <w:t xml:space="preserve"> to monitor the activities of TCBs to determine how many approvals are issued for </w:t>
      </w:r>
      <w:r w:rsidR="00AF7C13">
        <w:rPr>
          <w:rFonts w:eastAsia="TimesNewRoman"/>
        </w:rPr>
        <w:t>each</w:t>
      </w:r>
      <w:r w:rsidR="00AF7C13" w:rsidRPr="00BD6C60">
        <w:rPr>
          <w:rFonts w:eastAsia="TimesNewRoman"/>
        </w:rPr>
        <w:t xml:space="preserve"> </w:t>
      </w:r>
      <w:r w:rsidRPr="00BD6C60">
        <w:rPr>
          <w:rFonts w:eastAsia="TimesNewRoman"/>
        </w:rPr>
        <w:t>type of equipment</w:t>
      </w:r>
      <w:r>
        <w:rPr>
          <w:rFonts w:eastAsia="TimesNewRoman"/>
        </w:rPr>
        <w:t xml:space="preserve">.  Further, this database </w:t>
      </w:r>
      <w:r w:rsidRPr="00BD6C60">
        <w:rPr>
          <w:rFonts w:eastAsia="TimesNewRoman"/>
        </w:rPr>
        <w:t>provide</w:t>
      </w:r>
      <w:r>
        <w:rPr>
          <w:rFonts w:eastAsia="TimesNewRoman"/>
        </w:rPr>
        <w:t>s</w:t>
      </w:r>
      <w:r w:rsidRPr="00BD6C60">
        <w:rPr>
          <w:rFonts w:eastAsia="TimesNewRoman"/>
        </w:rPr>
        <w:t xml:space="preserve"> </w:t>
      </w:r>
      <w:r>
        <w:rPr>
          <w:rFonts w:eastAsia="TimesNewRoman"/>
        </w:rPr>
        <w:t>a single</w:t>
      </w:r>
      <w:r w:rsidRPr="00BD6C60">
        <w:rPr>
          <w:rFonts w:eastAsia="TimesNewRoman"/>
        </w:rPr>
        <w:t xml:space="preserve"> </w:t>
      </w:r>
      <w:r>
        <w:rPr>
          <w:rFonts w:eastAsia="TimesNewRoman"/>
        </w:rPr>
        <w:t xml:space="preserve">publicly available source of information that parties can use </w:t>
      </w:r>
      <w:r w:rsidRPr="00BD6C60">
        <w:rPr>
          <w:rFonts w:eastAsia="TimesNewRoman"/>
        </w:rPr>
        <w:t>to verify approvals and obtain copies of applications</w:t>
      </w:r>
      <w:r>
        <w:rPr>
          <w:rFonts w:eastAsia="TimesNewRoman"/>
        </w:rPr>
        <w:t xml:space="preserve"> </w:t>
      </w:r>
      <w:r w:rsidR="00646148">
        <w:rPr>
          <w:rFonts w:eastAsia="TimesNewRoman"/>
        </w:rPr>
        <w:t xml:space="preserve">for </w:t>
      </w:r>
      <w:r>
        <w:rPr>
          <w:rFonts w:eastAsia="TimesNewRoman"/>
        </w:rPr>
        <w:t>and grants of certification.</w:t>
      </w:r>
      <w:bookmarkEnd w:id="174"/>
      <w:r w:rsidR="00A30BAD">
        <w:rPr>
          <w:rStyle w:val="FootnoteReference"/>
          <w:rFonts w:eastAsia="TimesNewRoman"/>
        </w:rPr>
        <w:footnoteReference w:id="56"/>
      </w:r>
    </w:p>
    <w:p w:rsidR="00F10305" w:rsidRPr="00BD6C60" w:rsidRDefault="001338B0" w:rsidP="000116C7">
      <w:pPr>
        <w:pStyle w:val="ParaNum"/>
        <w:widowControl/>
        <w:spacing w:after="220"/>
        <w:rPr>
          <w:rFonts w:eastAsia="TimesNewRoman"/>
          <w:szCs w:val="22"/>
        </w:rPr>
      </w:pPr>
      <w:bookmarkStart w:id="175" w:name="_Ref332728075"/>
      <w:r>
        <w:rPr>
          <w:rFonts w:eastAsia="TimesNewRoman"/>
          <w:i/>
          <w:szCs w:val="22"/>
        </w:rPr>
        <w:t xml:space="preserve">Proposals. </w:t>
      </w:r>
      <w:r w:rsidR="00F10305" w:rsidRPr="00BD6C60">
        <w:rPr>
          <w:rFonts w:eastAsia="TimesNewRoman"/>
          <w:szCs w:val="22"/>
        </w:rPr>
        <w:t>Now that the TCB program is well</w:t>
      </w:r>
      <w:r w:rsidR="00F10305" w:rsidRPr="00BD6C60">
        <w:rPr>
          <w:rFonts w:eastAsia="TimesNewRoman"/>
          <w:szCs w:val="22"/>
        </w:rPr>
        <w:noBreakHyphen/>
        <w:t xml:space="preserve">established, we </w:t>
      </w:r>
      <w:r w:rsidR="00F10305">
        <w:rPr>
          <w:rFonts w:eastAsia="TimesNewRoman"/>
          <w:szCs w:val="22"/>
        </w:rPr>
        <w:t xml:space="preserve">propose that the Commission no longer directly </w:t>
      </w:r>
      <w:r w:rsidR="00F10305" w:rsidRPr="00C972C5">
        <w:t>issue</w:t>
      </w:r>
      <w:r w:rsidR="00F10305">
        <w:rPr>
          <w:rFonts w:eastAsia="TimesNewRoman"/>
          <w:szCs w:val="22"/>
        </w:rPr>
        <w:t xml:space="preserve"> </w:t>
      </w:r>
      <w:r w:rsidR="0027326C">
        <w:rPr>
          <w:rFonts w:eastAsia="TimesNewRoman"/>
          <w:szCs w:val="22"/>
        </w:rPr>
        <w:t xml:space="preserve">any </w:t>
      </w:r>
      <w:r w:rsidR="00F10305">
        <w:rPr>
          <w:rFonts w:eastAsia="TimesNewRoman"/>
          <w:szCs w:val="22"/>
        </w:rPr>
        <w:t>grants of equipment authorization, and instead allow TCBs to authorize all products subject to certification.</w:t>
      </w:r>
      <w:r w:rsidR="00F10305" w:rsidRPr="00BD6C60">
        <w:rPr>
          <w:rFonts w:eastAsia="TimesNewRoman"/>
          <w:szCs w:val="22"/>
        </w:rPr>
        <w:t xml:space="preserve"> </w:t>
      </w:r>
      <w:r w:rsidR="00F10305">
        <w:rPr>
          <w:rFonts w:eastAsia="TimesNewRoman"/>
          <w:szCs w:val="22"/>
        </w:rPr>
        <w:t xml:space="preserve">This </w:t>
      </w:r>
      <w:r w:rsidR="00277168">
        <w:rPr>
          <w:rFonts w:eastAsia="TimesNewRoman"/>
          <w:szCs w:val="22"/>
        </w:rPr>
        <w:t xml:space="preserve">proposal </w:t>
      </w:r>
      <w:r w:rsidR="00F10305">
        <w:rPr>
          <w:rFonts w:eastAsia="TimesNewRoman"/>
          <w:szCs w:val="22"/>
        </w:rPr>
        <w:t xml:space="preserve">will allow the Commission staff to </w:t>
      </w:r>
      <w:r w:rsidR="00F10305" w:rsidRPr="00BD6C60">
        <w:rPr>
          <w:rFonts w:eastAsia="TimesNewRoman"/>
          <w:szCs w:val="22"/>
        </w:rPr>
        <w:t>concentrate on enforcing the rules, provid</w:t>
      </w:r>
      <w:r w:rsidR="00F10305">
        <w:rPr>
          <w:rFonts w:eastAsia="TimesNewRoman"/>
          <w:szCs w:val="22"/>
        </w:rPr>
        <w:t>ing</w:t>
      </w:r>
      <w:r w:rsidR="00F10305" w:rsidRPr="00BD6C60">
        <w:rPr>
          <w:rFonts w:eastAsia="TimesNewRoman"/>
          <w:szCs w:val="22"/>
        </w:rPr>
        <w:t xml:space="preserve"> the necessary oversight and guidance to the TCBs, perform</w:t>
      </w:r>
      <w:r w:rsidR="00F10305">
        <w:rPr>
          <w:rFonts w:eastAsia="TimesNewRoman"/>
          <w:szCs w:val="22"/>
        </w:rPr>
        <w:t>ing</w:t>
      </w:r>
      <w:r w:rsidR="00F10305" w:rsidRPr="00BD6C60">
        <w:rPr>
          <w:rFonts w:eastAsia="TimesNewRoman"/>
          <w:szCs w:val="22"/>
        </w:rPr>
        <w:t xml:space="preserve"> post</w:t>
      </w:r>
      <w:r w:rsidR="00F10305" w:rsidRPr="00BD6C60">
        <w:rPr>
          <w:rFonts w:eastAsia="TimesNewRoman"/>
          <w:szCs w:val="22"/>
        </w:rPr>
        <w:noBreakHyphen/>
        <w:t>market surveillance and audit</w:t>
      </w:r>
      <w:r w:rsidR="00F10305">
        <w:rPr>
          <w:rFonts w:eastAsia="TimesNewRoman"/>
          <w:szCs w:val="22"/>
        </w:rPr>
        <w:t>ing</w:t>
      </w:r>
      <w:r w:rsidR="00F10305" w:rsidRPr="00BD6C60">
        <w:rPr>
          <w:rFonts w:eastAsia="TimesNewRoman"/>
          <w:szCs w:val="22"/>
        </w:rPr>
        <w:t xml:space="preserve"> random samples of products approved by the TCBs.</w:t>
      </w:r>
      <w:r w:rsidR="0027326C">
        <w:rPr>
          <w:rFonts w:eastAsia="TimesNewRoman"/>
          <w:szCs w:val="22"/>
        </w:rPr>
        <w:t xml:space="preserve">  We note that </w:t>
      </w:r>
      <w:r w:rsidR="0027326C">
        <w:t xml:space="preserve">during </w:t>
      </w:r>
      <w:proofErr w:type="gramStart"/>
      <w:r w:rsidR="0027326C">
        <w:t>Fiscal Year</w:t>
      </w:r>
      <w:proofErr w:type="gramEnd"/>
      <w:r w:rsidR="0027326C">
        <w:t xml:space="preserve"> 201</w:t>
      </w:r>
      <w:r w:rsidR="0032316A">
        <w:t>1</w:t>
      </w:r>
      <w:r w:rsidR="0027326C">
        <w:t xml:space="preserve">, </w:t>
      </w:r>
      <w:r w:rsidR="0027326C" w:rsidRPr="004703D8">
        <w:t>TCBs certified</w:t>
      </w:r>
      <w:r w:rsidR="0027326C" w:rsidRPr="001B7DAF">
        <w:rPr>
          <w:b/>
        </w:rPr>
        <w:t xml:space="preserve"> </w:t>
      </w:r>
      <w:r w:rsidR="0032316A">
        <w:t xml:space="preserve">approximately </w:t>
      </w:r>
      <w:r w:rsidR="0027326C">
        <w:t>9</w:t>
      </w:r>
      <w:r w:rsidR="0032316A">
        <w:t>8</w:t>
      </w:r>
      <w:r w:rsidR="0027326C">
        <w:t xml:space="preserve">% of the products submitted for approval under the </w:t>
      </w:r>
      <w:r w:rsidR="00FF333C">
        <w:t>Commission’s RF</w:t>
      </w:r>
      <w:r w:rsidR="0027326C">
        <w:t xml:space="preserve"> equipm</w:t>
      </w:r>
      <w:r w:rsidR="0032316A">
        <w:t>ent authorization program.</w:t>
      </w:r>
      <w:r w:rsidR="00EB0243">
        <w:t xml:space="preserve">  </w:t>
      </w:r>
      <w:r w:rsidR="002F4289">
        <w:t xml:space="preserve">We also propose to provide TCBs with specific </w:t>
      </w:r>
      <w:r w:rsidR="002F4289">
        <w:lastRenderedPageBreak/>
        <w:t xml:space="preserve">authority to dismiss equipment authorization applications </w:t>
      </w:r>
      <w:r w:rsidR="00D670BF">
        <w:t xml:space="preserve">under the same circumstances </w:t>
      </w:r>
      <w:r w:rsidR="00DC0432">
        <w:t>that</w:t>
      </w:r>
      <w:r w:rsidR="00D670BF">
        <w:t xml:space="preserve"> the Commission may dismiss applications</w:t>
      </w:r>
      <w:r w:rsidR="00314FDE">
        <w:t>.</w:t>
      </w:r>
      <w:r w:rsidR="00314FDE" w:rsidRPr="00314FDE">
        <w:rPr>
          <w:rStyle w:val="FootnoteReference"/>
        </w:rPr>
        <w:t xml:space="preserve"> </w:t>
      </w:r>
      <w:r w:rsidR="00314FDE">
        <w:rPr>
          <w:rStyle w:val="FootnoteReference"/>
        </w:rPr>
        <w:footnoteReference w:id="57"/>
      </w:r>
      <w:r w:rsidR="00314FDE">
        <w:t xml:space="preserve">  S</w:t>
      </w:r>
      <w:r w:rsidR="00D670BF">
        <w:t xml:space="preserve">pecifically, </w:t>
      </w:r>
      <w:r w:rsidR="00314FDE">
        <w:t>we propose that a TCB shall dismiss</w:t>
      </w:r>
      <w:r w:rsidR="00D670BF">
        <w:t xml:space="preserve"> an application </w:t>
      </w:r>
      <w:r w:rsidR="00314FDE">
        <w:t xml:space="preserve">that </w:t>
      </w:r>
      <w:r w:rsidR="00D670BF">
        <w:t>is not in accordance with the provisions of Subpart 2</w:t>
      </w:r>
      <w:r w:rsidR="00314FDE">
        <w:t xml:space="preserve"> or</w:t>
      </w:r>
      <w:r w:rsidR="00D670BF">
        <w:t xml:space="preserve"> </w:t>
      </w:r>
      <w:r w:rsidR="00314FDE">
        <w:t>if requested by the applicant, and the TCB may dismiss an application if</w:t>
      </w:r>
      <w:r w:rsidR="002D5E77">
        <w:t xml:space="preserve"> </w:t>
      </w:r>
      <w:r w:rsidR="002F4289">
        <w:t xml:space="preserve">the applicant fails to provide </w:t>
      </w:r>
      <w:r w:rsidR="00CA6DC7">
        <w:t>additional</w:t>
      </w:r>
      <w:r w:rsidR="002F4289">
        <w:t xml:space="preserve"> information or test samples</w:t>
      </w:r>
      <w:r w:rsidR="00CA6DC7">
        <w:t xml:space="preserve"> requested by the TCB</w:t>
      </w:r>
      <w:r w:rsidR="002F4289">
        <w:t xml:space="preserve">. The dismissal of an application would be without prejudice to the applicant </w:t>
      </w:r>
      <w:r w:rsidR="002D5E77">
        <w:t xml:space="preserve">filing a new application under the same FCC identification number with additional or corrected information.  </w:t>
      </w:r>
      <w:r w:rsidR="005027F5">
        <w:t xml:space="preserve">An applicant could appeal a TCB’s dismissal of an application to the Commission if it believed that the TCB acted in error, and the Commission could </w:t>
      </w:r>
      <w:r w:rsidR="00A35399">
        <w:t>change</w:t>
      </w:r>
      <w:r w:rsidR="005027F5">
        <w:t xml:space="preserve"> </w:t>
      </w:r>
      <w:r w:rsidR="00A35399">
        <w:t>a</w:t>
      </w:r>
      <w:r w:rsidR="005027F5">
        <w:t xml:space="preserve"> TCB’s action</w:t>
      </w:r>
      <w:r w:rsidR="00B95697">
        <w:t xml:space="preserve"> </w:t>
      </w:r>
      <w:r w:rsidR="00095F60">
        <w:t>that it finds erroneous</w:t>
      </w:r>
      <w:r w:rsidR="005027F5">
        <w:t>.</w:t>
      </w:r>
      <w:r w:rsidR="005027F5">
        <w:rPr>
          <w:rStyle w:val="FootnoteReference"/>
        </w:rPr>
        <w:footnoteReference w:id="58"/>
      </w:r>
      <w:r w:rsidR="005027F5">
        <w:t xml:space="preserve">  </w:t>
      </w:r>
      <w:r w:rsidR="002D5E77">
        <w:t xml:space="preserve">However, we are not proposing to provide TCBs with authority to deny applications, which we believe </w:t>
      </w:r>
      <w:r w:rsidR="00CA6DC7">
        <w:t>is a function that should be reserved</w:t>
      </w:r>
      <w:r w:rsidR="002D5E77">
        <w:t xml:space="preserve"> for the Commission.</w:t>
      </w:r>
      <w:r w:rsidR="002F4289">
        <w:t xml:space="preserve"> </w:t>
      </w:r>
      <w:r w:rsidR="00973346">
        <w:t xml:space="preserve"> </w:t>
      </w:r>
      <w:r w:rsidR="00B95697">
        <w:t xml:space="preserve">A TCB could recommend denial of an application to the </w:t>
      </w:r>
      <w:proofErr w:type="gramStart"/>
      <w:r w:rsidR="00B95697">
        <w:t>Commission which</w:t>
      </w:r>
      <w:proofErr w:type="gramEnd"/>
      <w:r w:rsidR="00B95697">
        <w:t xml:space="preserve"> would determine if such action is warranted.  </w:t>
      </w:r>
      <w:r w:rsidR="00973346">
        <w:t>A TCB would continue to have authority to rescind a grant within 30 days as the rules currently allow</w:t>
      </w:r>
      <w:r w:rsidR="00A30BAD">
        <w:t xml:space="preserve"> for </w:t>
      </w:r>
      <w:r w:rsidR="005C1EA6">
        <w:t xml:space="preserve">both </w:t>
      </w:r>
      <w:r w:rsidR="00A30BAD">
        <w:t>TCBs and the Commission</w:t>
      </w:r>
      <w:r w:rsidR="00973346">
        <w:t xml:space="preserve">, but we are </w:t>
      </w:r>
      <w:r w:rsidR="00422179">
        <w:t>proposing to change</w:t>
      </w:r>
      <w:r w:rsidR="00973346">
        <w:t xml:space="preserve"> the term “rescind” to “set aside” for consistency with the Part 1</w:t>
      </w:r>
      <w:r w:rsidR="00422179">
        <w:t xml:space="preserve"> rules</w:t>
      </w:r>
      <w:r w:rsidR="00973346">
        <w:t>.</w:t>
      </w:r>
      <w:r w:rsidR="00973346">
        <w:rPr>
          <w:rStyle w:val="FootnoteReference"/>
        </w:rPr>
        <w:footnoteReference w:id="59"/>
      </w:r>
      <w:r w:rsidR="00973346">
        <w:t xml:space="preserve"> </w:t>
      </w:r>
      <w:r w:rsidR="00422179">
        <w:t xml:space="preserve"> </w:t>
      </w:r>
      <w:r w:rsidR="00C866BF">
        <w:t xml:space="preserve">We do not expect that this proposal will have any impact on </w:t>
      </w:r>
      <w:r w:rsidR="00497E42">
        <w:t>applicant’s</w:t>
      </w:r>
      <w:r w:rsidR="00C866BF">
        <w:t xml:space="preserve"> costs because </w:t>
      </w:r>
      <w:r w:rsidR="00C6194A">
        <w:t xml:space="preserve">TCBs </w:t>
      </w:r>
      <w:r w:rsidR="00C866BF">
        <w:t xml:space="preserve">already certify approximately 98% of all RF equipment.  Further, the benefits are significant because applicants for equipment certification </w:t>
      </w:r>
      <w:r w:rsidR="00DF7B71">
        <w:t xml:space="preserve">would be able to have all types of devices approved by a TCB and obtain approvals more quickly.  </w:t>
      </w:r>
      <w:r w:rsidR="00EB0243">
        <w:t xml:space="preserve">We seek comment on </w:t>
      </w:r>
      <w:r w:rsidR="002D5E77">
        <w:t xml:space="preserve">these </w:t>
      </w:r>
      <w:r w:rsidR="00EB0243">
        <w:t>proposal</w:t>
      </w:r>
      <w:r w:rsidR="002D5E77">
        <w:t>s</w:t>
      </w:r>
      <w:r w:rsidR="00EB0243">
        <w:t>.</w:t>
      </w:r>
      <w:bookmarkEnd w:id="175"/>
      <w:r w:rsidR="00152D94">
        <w:t xml:space="preserve">  </w:t>
      </w:r>
    </w:p>
    <w:p w:rsidR="00C60AD6" w:rsidRPr="00C60AD6" w:rsidRDefault="00AA099C" w:rsidP="000116C7">
      <w:pPr>
        <w:pStyle w:val="ParaNum"/>
        <w:widowControl/>
        <w:rPr>
          <w:rFonts w:eastAsia="TimesNewRoman"/>
        </w:rPr>
      </w:pPr>
      <w:r w:rsidRPr="00BD6C60">
        <w:rPr>
          <w:rFonts w:eastAsia="TimesNewRoman"/>
          <w:szCs w:val="22"/>
        </w:rPr>
        <w:t xml:space="preserve">We propose to eliminate the exclusion list </w:t>
      </w:r>
      <w:r>
        <w:rPr>
          <w:rFonts w:eastAsia="TimesNewRoman"/>
        </w:rPr>
        <w:t>and instead</w:t>
      </w:r>
      <w:r w:rsidR="00842A26">
        <w:t xml:space="preserve"> </w:t>
      </w:r>
      <w:r w:rsidR="00152D94">
        <w:t>codify</w:t>
      </w:r>
      <w:r w:rsidR="00842A26">
        <w:t xml:space="preserve"> </w:t>
      </w:r>
      <w:r w:rsidR="00294BAE">
        <w:t xml:space="preserve">a </w:t>
      </w:r>
      <w:r w:rsidR="00F10305">
        <w:t xml:space="preserve">procedure </w:t>
      </w:r>
      <w:r w:rsidR="00842A26">
        <w:t>that TCBs will use when they</w:t>
      </w:r>
      <w:r w:rsidR="00F10305">
        <w:t xml:space="preserve"> </w:t>
      </w:r>
      <w:r w:rsidR="00753E7A">
        <w:t xml:space="preserve">require guidance from the Commission to </w:t>
      </w:r>
      <w:r w:rsidR="00F10305">
        <w:t xml:space="preserve">certify a product </w:t>
      </w:r>
      <w:r w:rsidR="00842A26">
        <w:t>for which the rules</w:t>
      </w:r>
      <w:r w:rsidR="00F10305" w:rsidRPr="00BD6C60">
        <w:t xml:space="preserve">, requirements or measurement procedures are </w:t>
      </w:r>
      <w:r w:rsidR="00753E7A">
        <w:t xml:space="preserve">not </w:t>
      </w:r>
      <w:r w:rsidR="00F10305" w:rsidRPr="00BD6C60">
        <w:t>clear</w:t>
      </w:r>
      <w:r w:rsidR="00F10305">
        <w:t xml:space="preserve">.  </w:t>
      </w:r>
      <w:r w:rsidR="00ED6ABD">
        <w:t xml:space="preserve">We propose to call this the pre-approval guidance procedure.  </w:t>
      </w:r>
      <w:r w:rsidR="00294BAE">
        <w:t>Under this procedure, t</w:t>
      </w:r>
      <w:r w:rsidR="00F10305" w:rsidRPr="00BD6C60">
        <w:t xml:space="preserve">he </w:t>
      </w:r>
      <w:r w:rsidR="0014380B">
        <w:t>Commission</w:t>
      </w:r>
      <w:r w:rsidR="00F10305" w:rsidRPr="00BD6C60">
        <w:t xml:space="preserve"> will</w:t>
      </w:r>
      <w:r w:rsidR="0014380B">
        <w:t xml:space="preserve"> identify the types of devices </w:t>
      </w:r>
      <w:r w:rsidR="00543441">
        <w:t xml:space="preserve">or types of testing </w:t>
      </w:r>
      <w:r w:rsidR="0014380B">
        <w:t>for which</w:t>
      </w:r>
      <w:r w:rsidR="00F10305" w:rsidRPr="00BD6C60">
        <w:t xml:space="preserve"> </w:t>
      </w:r>
      <w:r w:rsidR="00F10305">
        <w:t xml:space="preserve">a </w:t>
      </w:r>
      <w:r w:rsidR="00F10305" w:rsidRPr="00BD6C60">
        <w:t xml:space="preserve">TCB will </w:t>
      </w:r>
      <w:r w:rsidR="00F10305">
        <w:t>be required</w:t>
      </w:r>
      <w:r w:rsidR="00F10305" w:rsidRPr="00BD6C60">
        <w:t xml:space="preserve"> to consult with the Commission before</w:t>
      </w:r>
      <w:r w:rsidR="00294BAE">
        <w:t xml:space="preserve"> granting certification.  These</w:t>
      </w:r>
      <w:r w:rsidR="00F10305" w:rsidRPr="00BD6C60">
        <w:t xml:space="preserve"> </w:t>
      </w:r>
      <w:r w:rsidR="00F10305">
        <w:t>may</w:t>
      </w:r>
      <w:r w:rsidR="00F10305" w:rsidRPr="00BD6C60">
        <w:t xml:space="preserve"> include, for example, </w:t>
      </w:r>
      <w:r w:rsidR="00D70A08">
        <w:t>devices operating under the</w:t>
      </w:r>
      <w:r w:rsidR="00F10305">
        <w:t xml:space="preserve"> Dynamic Frequency Selection (DFS), </w:t>
      </w:r>
      <w:r w:rsidR="00F10305" w:rsidRPr="00BD6C60">
        <w:t xml:space="preserve">Ultra Wide Band (UWB) </w:t>
      </w:r>
      <w:r w:rsidR="00F10305">
        <w:t>and</w:t>
      </w:r>
      <w:r w:rsidR="00F10305" w:rsidRPr="00BD6C60">
        <w:t xml:space="preserve"> </w:t>
      </w:r>
      <w:r w:rsidR="00D12A34">
        <w:t>TV Bands Device</w:t>
      </w:r>
      <w:r w:rsidR="00F10305" w:rsidRPr="00BD6C60">
        <w:t xml:space="preserve"> (</w:t>
      </w:r>
      <w:r w:rsidR="00D12A34">
        <w:t>TVBD</w:t>
      </w:r>
      <w:r w:rsidR="00F10305" w:rsidRPr="00BD6C60">
        <w:t xml:space="preserve">) rules under which the Commission is the only equipment approval body at the present time.  </w:t>
      </w:r>
      <w:r w:rsidR="00C6194A">
        <w:rPr>
          <w:szCs w:val="22"/>
        </w:rPr>
        <w:t>Under our proposed procedure, the Commission would have to</w:t>
      </w:r>
      <w:r w:rsidR="00C6194A" w:rsidRPr="00712D0F">
        <w:rPr>
          <w:szCs w:val="22"/>
        </w:rPr>
        <w:t xml:space="preserve"> give its concurrence </w:t>
      </w:r>
      <w:r w:rsidR="00C6194A">
        <w:rPr>
          <w:szCs w:val="22"/>
        </w:rPr>
        <w:t>before a</w:t>
      </w:r>
      <w:r w:rsidR="00C6194A" w:rsidRPr="00712D0F">
        <w:rPr>
          <w:szCs w:val="22"/>
        </w:rPr>
        <w:t xml:space="preserve"> TCB </w:t>
      </w:r>
      <w:r w:rsidR="00C6194A">
        <w:rPr>
          <w:szCs w:val="22"/>
        </w:rPr>
        <w:t>could</w:t>
      </w:r>
      <w:r w:rsidR="00C6194A" w:rsidRPr="00712D0F">
        <w:rPr>
          <w:szCs w:val="22"/>
        </w:rPr>
        <w:t xml:space="preserve"> grant </w:t>
      </w:r>
      <w:r w:rsidR="00C6194A">
        <w:rPr>
          <w:szCs w:val="22"/>
        </w:rPr>
        <w:t>an</w:t>
      </w:r>
      <w:r w:rsidR="00C6194A" w:rsidRPr="00712D0F">
        <w:rPr>
          <w:szCs w:val="22"/>
        </w:rPr>
        <w:t xml:space="preserve"> application</w:t>
      </w:r>
      <w:r w:rsidR="00C6194A">
        <w:rPr>
          <w:szCs w:val="22"/>
        </w:rPr>
        <w:t xml:space="preserve">.  The Commission also </w:t>
      </w:r>
      <w:r w:rsidR="002F7B06">
        <w:rPr>
          <w:szCs w:val="22"/>
        </w:rPr>
        <w:t xml:space="preserve">would </w:t>
      </w:r>
      <w:r w:rsidR="00C6194A">
        <w:rPr>
          <w:szCs w:val="22"/>
        </w:rPr>
        <w:t xml:space="preserve">advise a TCB if additional information or equipment testing is required or if the equipment cannot be approved because it does not comply with the Commission’s rules.  </w:t>
      </w:r>
      <w:r w:rsidR="00F10305" w:rsidRPr="00BD6C60">
        <w:t>In this manner, although ultimate</w:t>
      </w:r>
      <w:r w:rsidR="00F10305">
        <w:t>ly the</w:t>
      </w:r>
      <w:r w:rsidR="00F10305" w:rsidRPr="00BD6C60">
        <w:t xml:space="preserve"> authorization is granted by a TCB, the Commission </w:t>
      </w:r>
      <w:r w:rsidR="00753E7A">
        <w:t>will continue</w:t>
      </w:r>
      <w:r w:rsidR="00F10305" w:rsidRPr="00BD6C60">
        <w:t xml:space="preserve"> to exercise the necessary control and oversight of </w:t>
      </w:r>
      <w:r w:rsidR="002B1272">
        <w:t>particular</w:t>
      </w:r>
      <w:r w:rsidR="00F10305" w:rsidRPr="00BD6C60">
        <w:t xml:space="preserve"> areas of the rules until such time that we determine these areas can be considered routine</w:t>
      </w:r>
      <w:r w:rsidR="00A30BAD">
        <w:t xml:space="preserve"> and these additional oversight procedures will not be needed</w:t>
      </w:r>
      <w:r w:rsidR="00F10305" w:rsidRPr="00BD6C60">
        <w:t>.</w:t>
      </w:r>
      <w:r w:rsidR="00F10305">
        <w:t xml:space="preserve">  </w:t>
      </w:r>
      <w:r w:rsidR="00473F37">
        <w:t xml:space="preserve">We expect that having TCBs process applications for equipment currently on the exclusion list under the proposed pre-approval guidance procedure will speed processing because TCBs will perform all of the routine application review, while OET will need to review only those portions of an application that require additional oversight. </w:t>
      </w:r>
      <w:r w:rsidR="00C60AD6">
        <w:t>We seek comment on this proposal.</w:t>
      </w:r>
    </w:p>
    <w:p w:rsidR="00F10305" w:rsidRPr="00EC6C07" w:rsidRDefault="00F10305" w:rsidP="000116C7">
      <w:pPr>
        <w:pStyle w:val="ParaNum"/>
        <w:widowControl/>
        <w:rPr>
          <w:rFonts w:eastAsia="TimesNewRoman"/>
        </w:rPr>
      </w:pPr>
      <w:r>
        <w:t xml:space="preserve">The current permit-but-ask process does </w:t>
      </w:r>
      <w:r w:rsidR="00B81A5E">
        <w:t xml:space="preserve">not fully </w:t>
      </w:r>
      <w:r w:rsidR="002B1272">
        <w:t>integrate</w:t>
      </w:r>
      <w:r>
        <w:t xml:space="preserve"> the inquiry/response function in the KDB with the application processing function in the </w:t>
      </w:r>
      <w:r w:rsidR="005027F5">
        <w:t>Equipment Authorization System (</w:t>
      </w:r>
      <w:r>
        <w:t>EAS</w:t>
      </w:r>
      <w:r w:rsidR="005027F5">
        <w:t>)</w:t>
      </w:r>
      <w:r w:rsidR="006D3ECB">
        <w:t xml:space="preserve">.  This process requires a TCB to </w:t>
      </w:r>
      <w:r w:rsidR="00F157DD">
        <w:t xml:space="preserve">first </w:t>
      </w:r>
      <w:r w:rsidR="006D3ECB">
        <w:t xml:space="preserve">send a request through the KDB for </w:t>
      </w:r>
      <w:r w:rsidR="00F157DD">
        <w:t xml:space="preserve">Commission </w:t>
      </w:r>
      <w:r w:rsidR="006D3ECB">
        <w:t xml:space="preserve">guidance on processing an application on the permit-but-ask list.  </w:t>
      </w:r>
      <w:r w:rsidR="00F157DD">
        <w:t xml:space="preserve">The TCB then uploads files for Commission review using the EAS, which is a separate system from the KDB.  Any further communications between the Commission and a TCB are made using the KDB.  Therefore, both the Commission and TCBs must cross reference </w:t>
      </w:r>
      <w:r w:rsidR="00F157DD">
        <w:lastRenderedPageBreak/>
        <w:t>application files and related communications that are stored on different electronic systems.</w:t>
      </w:r>
      <w:r>
        <w:t xml:space="preserve">  As a result,</w:t>
      </w:r>
      <w:r w:rsidR="00C11744">
        <w:t xml:space="preserve"> the process has sometimes been time consuming</w:t>
      </w:r>
      <w:r>
        <w:t xml:space="preserve"> for </w:t>
      </w:r>
      <w:r w:rsidR="0061568F">
        <w:t>applicants and TCBs</w:t>
      </w:r>
      <w:r>
        <w:t xml:space="preserve">.  We </w:t>
      </w:r>
      <w:r w:rsidR="00277168">
        <w:t xml:space="preserve">intend </w:t>
      </w:r>
      <w:r>
        <w:t xml:space="preserve">to fully integrate the </w:t>
      </w:r>
      <w:r w:rsidR="00ED6ABD">
        <w:t>pre-approval guidance</w:t>
      </w:r>
      <w:r w:rsidR="00294BAE">
        <w:t xml:space="preserve"> procedure</w:t>
      </w:r>
      <w:r>
        <w:t xml:space="preserve"> with the EAS, thereby improving Commission response time while continuing to provide necessary guidance for new equipment representing new technologies.  </w:t>
      </w:r>
    </w:p>
    <w:p w:rsidR="00F10305" w:rsidRPr="00294BAE" w:rsidRDefault="00281B2B" w:rsidP="000116C7">
      <w:pPr>
        <w:pStyle w:val="ParaNum"/>
        <w:widowControl/>
        <w:rPr>
          <w:rFonts w:eastAsia="TimesNewRoman"/>
          <w:szCs w:val="22"/>
        </w:rPr>
      </w:pPr>
      <w:r>
        <w:t>Under our present process, t</w:t>
      </w:r>
      <w:r w:rsidR="00B81A5E">
        <w:t>he Commission may</w:t>
      </w:r>
      <w:r w:rsidR="00F10305">
        <w:t xml:space="preserve"> </w:t>
      </w:r>
      <w:r w:rsidR="00B81A5E">
        <w:t>test</w:t>
      </w:r>
      <w:r w:rsidR="00F10305">
        <w:t xml:space="preserve"> a sample </w:t>
      </w:r>
      <w:r w:rsidR="0061568F">
        <w:t xml:space="preserve">of certain types of equipment </w:t>
      </w:r>
      <w:r w:rsidR="00D70A08">
        <w:t>before it gives a</w:t>
      </w:r>
      <w:r w:rsidR="00F10305">
        <w:t xml:space="preserve"> TCB permission to issue a grant of certification.  For example, for equipment subject to the Dynamic Frequency Selection (DFS) requirements in Part 15, Subpart E, the Commission requires a sample of the equipment being considered for certification be tested at the Commission’s Laboratory prior to the grant of certification being issued.</w:t>
      </w:r>
      <w:r w:rsidR="00A265E0">
        <w:rPr>
          <w:rStyle w:val="FootnoteReference"/>
        </w:rPr>
        <w:footnoteReference w:id="60"/>
      </w:r>
      <w:r w:rsidR="00F10305">
        <w:t xml:space="preserve">  We propose </w:t>
      </w:r>
      <w:r w:rsidR="00A265E0">
        <w:t xml:space="preserve">to provide </w:t>
      </w:r>
      <w:r w:rsidR="00F10305">
        <w:t xml:space="preserve">that the </w:t>
      </w:r>
      <w:r w:rsidR="00ED6ABD">
        <w:t>pre-approval guidance</w:t>
      </w:r>
      <w:r w:rsidR="00B81A5E">
        <w:t xml:space="preserve"> procedure </w:t>
      </w:r>
      <w:r w:rsidR="00A265E0">
        <w:t xml:space="preserve">include the option for the Commission to conduct </w:t>
      </w:r>
      <w:r w:rsidR="00F10305">
        <w:t xml:space="preserve">pre-grant sample testing </w:t>
      </w:r>
      <w:r w:rsidR="00251FEB">
        <w:t>to ensure that the Commission is able to request samples of devices to verify their compliance with the rules</w:t>
      </w:r>
      <w:r w:rsidR="00F10305">
        <w:t xml:space="preserve">.  </w:t>
      </w:r>
      <w:r w:rsidR="00F10305" w:rsidRPr="00BD6C60">
        <w:t>We seek comments on this proposal.</w:t>
      </w:r>
    </w:p>
    <w:p w:rsidR="001151B6" w:rsidRPr="00294BAE" w:rsidRDefault="00C60AD6" w:rsidP="000116C7">
      <w:pPr>
        <w:pStyle w:val="ParaNum"/>
        <w:widowControl/>
        <w:rPr>
          <w:rFonts w:eastAsia="TimesNewRoman"/>
          <w:szCs w:val="22"/>
        </w:rPr>
      </w:pPr>
      <w:r>
        <w:t>In sum</w:t>
      </w:r>
      <w:r w:rsidR="00277168">
        <w:t>mary</w:t>
      </w:r>
      <w:r>
        <w:t xml:space="preserve">, the proposed </w:t>
      </w:r>
      <w:r w:rsidR="00ED6ABD">
        <w:t>pre-approval guidance</w:t>
      </w:r>
      <w:r w:rsidR="00294BAE">
        <w:t xml:space="preserve"> procedure </w:t>
      </w:r>
      <w:r>
        <w:t>would</w:t>
      </w:r>
      <w:r w:rsidR="00294BAE">
        <w:t xml:space="preserve"> </w:t>
      </w:r>
      <w:r w:rsidR="00A265E0">
        <w:t>function</w:t>
      </w:r>
      <w:r w:rsidR="00294BAE">
        <w:t xml:space="preserve"> as follows:</w:t>
      </w:r>
    </w:p>
    <w:p w:rsidR="001151B6" w:rsidRDefault="00F710E6" w:rsidP="000116C7">
      <w:pPr>
        <w:widowControl/>
        <w:numPr>
          <w:ilvl w:val="2"/>
          <w:numId w:val="7"/>
        </w:numPr>
      </w:pPr>
      <w:r>
        <w:t xml:space="preserve">The Commission will issue a KDB </w:t>
      </w:r>
      <w:proofErr w:type="gramStart"/>
      <w:r w:rsidR="00FE5AF9">
        <w:t xml:space="preserve">publication </w:t>
      </w:r>
      <w:r w:rsidR="005A145C" w:rsidRPr="005A145C">
        <w:t>identifying the categories of equipment or types of testing</w:t>
      </w:r>
      <w:r w:rsidR="001151B6">
        <w:t xml:space="preserve"> that come</w:t>
      </w:r>
      <w:proofErr w:type="gramEnd"/>
      <w:r w:rsidR="001151B6">
        <w:t xml:space="preserve"> under </w:t>
      </w:r>
      <w:r>
        <w:t xml:space="preserve">the </w:t>
      </w:r>
      <w:r w:rsidR="005A145C">
        <w:t>pre-approval guidance</w:t>
      </w:r>
      <w:r w:rsidR="001151B6">
        <w:t xml:space="preserve"> procedure</w:t>
      </w:r>
      <w:r>
        <w:t>.  This list</w:t>
      </w:r>
      <w:r w:rsidR="00294BAE">
        <w:t xml:space="preserve"> will include </w:t>
      </w:r>
      <w:r w:rsidR="001151B6">
        <w:t xml:space="preserve">devices </w:t>
      </w:r>
      <w:r w:rsidR="00281B2B">
        <w:t xml:space="preserve">currently </w:t>
      </w:r>
      <w:r w:rsidR="001151B6">
        <w:t xml:space="preserve">on </w:t>
      </w:r>
      <w:r w:rsidR="00281B2B">
        <w:t xml:space="preserve">the </w:t>
      </w:r>
      <w:r w:rsidR="001151B6">
        <w:t xml:space="preserve">exclusion and </w:t>
      </w:r>
      <w:r w:rsidR="00294BAE">
        <w:t>permit-but-ask lis</w:t>
      </w:r>
      <w:r w:rsidR="001151B6">
        <w:t>ts</w:t>
      </w:r>
      <w:r w:rsidR="00043972">
        <w:t>.</w:t>
      </w:r>
    </w:p>
    <w:p w:rsidR="00277168" w:rsidRDefault="00277168" w:rsidP="000116C7">
      <w:pPr>
        <w:widowControl/>
        <w:ind w:left="2160"/>
      </w:pPr>
    </w:p>
    <w:p w:rsidR="005A145C" w:rsidRDefault="00C67AD4" w:rsidP="000116C7">
      <w:pPr>
        <w:widowControl/>
        <w:numPr>
          <w:ilvl w:val="2"/>
          <w:numId w:val="7"/>
        </w:numPr>
      </w:pPr>
      <w:r>
        <w:t>The</w:t>
      </w:r>
      <w:r w:rsidR="005A145C" w:rsidRPr="005A145C">
        <w:t xml:space="preserve"> TCB </w:t>
      </w:r>
      <w:r w:rsidR="005A145C">
        <w:t>will</w:t>
      </w:r>
      <w:r w:rsidR="005A145C" w:rsidRPr="005A145C">
        <w:t xml:space="preserve"> perform an initial review of the application and determine the issues on which it needs to obtain guidance from the Commission.  It </w:t>
      </w:r>
      <w:r w:rsidR="005A145C">
        <w:t>will</w:t>
      </w:r>
      <w:r w:rsidR="005A145C" w:rsidRPr="005A145C">
        <w:t xml:space="preserve"> then contact the Commission to obtain guidance on those issues</w:t>
      </w:r>
      <w:r w:rsidR="00C0305F">
        <w:t xml:space="preserve"> by electronically submitting relevant exhibits</w:t>
      </w:r>
      <w:r w:rsidR="005A145C" w:rsidRPr="005A145C">
        <w:t>.</w:t>
      </w:r>
    </w:p>
    <w:p w:rsidR="00277168" w:rsidRDefault="00277168" w:rsidP="000116C7">
      <w:pPr>
        <w:widowControl/>
      </w:pPr>
    </w:p>
    <w:p w:rsidR="001151B6" w:rsidRDefault="00294BAE" w:rsidP="000116C7">
      <w:pPr>
        <w:widowControl/>
        <w:numPr>
          <w:ilvl w:val="2"/>
          <w:numId w:val="7"/>
        </w:numPr>
      </w:pPr>
      <w:r>
        <w:t xml:space="preserve">The </w:t>
      </w:r>
      <w:r w:rsidR="001151B6">
        <w:t xml:space="preserve">TCB </w:t>
      </w:r>
      <w:r>
        <w:t xml:space="preserve">will review the </w:t>
      </w:r>
      <w:r w:rsidR="001151B6">
        <w:t>application</w:t>
      </w:r>
      <w:r w:rsidR="00043972">
        <w:t xml:space="preserve"> </w:t>
      </w:r>
      <w:r w:rsidR="005A145C">
        <w:t xml:space="preserve">in accordance with the Commission’s guidance </w:t>
      </w:r>
      <w:r w:rsidR="00043972">
        <w:t>to determine whether the equipment complies with the Commission’s rules.</w:t>
      </w:r>
    </w:p>
    <w:p w:rsidR="00277168" w:rsidRDefault="00277168" w:rsidP="000116C7">
      <w:pPr>
        <w:widowControl/>
        <w:ind w:left="2160"/>
      </w:pPr>
    </w:p>
    <w:p w:rsidR="00C0305F" w:rsidRDefault="00C0305F" w:rsidP="000116C7">
      <w:pPr>
        <w:widowControl/>
        <w:numPr>
          <w:ilvl w:val="2"/>
          <w:numId w:val="7"/>
        </w:numPr>
      </w:pPr>
      <w:r>
        <w:t>The Commission may request and test a sample before the application can be granted.</w:t>
      </w:r>
    </w:p>
    <w:p w:rsidR="00277168" w:rsidRDefault="00277168" w:rsidP="000116C7">
      <w:pPr>
        <w:widowControl/>
        <w:ind w:left="2160"/>
      </w:pPr>
    </w:p>
    <w:p w:rsidR="001151B6" w:rsidRDefault="00294BAE" w:rsidP="000116C7">
      <w:pPr>
        <w:widowControl/>
        <w:numPr>
          <w:ilvl w:val="2"/>
          <w:numId w:val="7"/>
        </w:numPr>
      </w:pPr>
      <w:r>
        <w:t xml:space="preserve">The </w:t>
      </w:r>
      <w:r w:rsidR="001151B6">
        <w:t xml:space="preserve">TCB </w:t>
      </w:r>
      <w:r>
        <w:t>will electronically submit</w:t>
      </w:r>
      <w:r w:rsidR="001151B6">
        <w:t xml:space="preserve"> all exhibits to </w:t>
      </w:r>
      <w:r>
        <w:t>the Commission</w:t>
      </w:r>
      <w:r w:rsidR="001151B6">
        <w:t xml:space="preserve"> along with </w:t>
      </w:r>
      <w:r>
        <w:t xml:space="preserve">a </w:t>
      </w:r>
      <w:r w:rsidR="00B95697">
        <w:t xml:space="preserve">recommendation </w:t>
      </w:r>
      <w:r w:rsidR="001151B6">
        <w:t xml:space="preserve">to grant </w:t>
      </w:r>
      <w:r w:rsidR="00B95697">
        <w:t xml:space="preserve">or dismiss </w:t>
      </w:r>
      <w:r>
        <w:t>the application</w:t>
      </w:r>
      <w:r w:rsidR="00043972">
        <w:t>.</w:t>
      </w:r>
    </w:p>
    <w:p w:rsidR="00277168" w:rsidRDefault="00277168" w:rsidP="000116C7">
      <w:pPr>
        <w:widowControl/>
        <w:ind w:left="2160"/>
        <w:rPr>
          <w:szCs w:val="22"/>
        </w:rPr>
      </w:pPr>
    </w:p>
    <w:p w:rsidR="005A145C" w:rsidRDefault="005A145C" w:rsidP="000116C7">
      <w:pPr>
        <w:widowControl/>
        <w:numPr>
          <w:ilvl w:val="2"/>
          <w:numId w:val="7"/>
        </w:numPr>
        <w:rPr>
          <w:szCs w:val="22"/>
        </w:rPr>
      </w:pPr>
      <w:r>
        <w:rPr>
          <w:szCs w:val="22"/>
        </w:rPr>
        <w:t>The</w:t>
      </w:r>
      <w:r w:rsidRPr="00712D0F">
        <w:rPr>
          <w:szCs w:val="22"/>
        </w:rPr>
        <w:t xml:space="preserve"> Commission will give its concurrence for the TCB to grant the application</w:t>
      </w:r>
      <w:r>
        <w:rPr>
          <w:szCs w:val="22"/>
        </w:rPr>
        <w:t xml:space="preserve"> if it determines that</w:t>
      </w:r>
      <w:r w:rsidRPr="00712D0F">
        <w:rPr>
          <w:szCs w:val="22"/>
        </w:rPr>
        <w:t xml:space="preserve"> the eq</w:t>
      </w:r>
      <w:r>
        <w:rPr>
          <w:szCs w:val="22"/>
        </w:rPr>
        <w:t>uipment complies with the rules.  The Commission will advise the TCB if additional information or equipment testing is required, or if the equipment cannot be approved because it does not comply with the Commission’s rules.</w:t>
      </w:r>
    </w:p>
    <w:p w:rsidR="00F710E6" w:rsidRPr="00C60AD6" w:rsidRDefault="00F710E6" w:rsidP="000116C7">
      <w:pPr>
        <w:widowControl/>
        <w:ind w:left="1800"/>
        <w:rPr>
          <w:rFonts w:eastAsia="TimesNewRoman"/>
          <w:szCs w:val="22"/>
        </w:rPr>
      </w:pPr>
    </w:p>
    <w:p w:rsidR="001151B6" w:rsidRDefault="00C60AD6" w:rsidP="000116C7">
      <w:pPr>
        <w:pStyle w:val="StyleParaNumLeft1"/>
        <w:numPr>
          <w:ilvl w:val="0"/>
          <w:numId w:val="0"/>
        </w:numPr>
      </w:pPr>
      <w:r>
        <w:t xml:space="preserve">We seek comment on this proposed procedure and </w:t>
      </w:r>
      <w:r w:rsidR="00251FEB">
        <w:t xml:space="preserve">on </w:t>
      </w:r>
      <w:r>
        <w:t>any additions or modifications th</w:t>
      </w:r>
      <w:r w:rsidR="00F710E6">
        <w:t>at may be required.</w:t>
      </w:r>
    </w:p>
    <w:p w:rsidR="00595105" w:rsidRDefault="0031641C" w:rsidP="000116C7">
      <w:pPr>
        <w:pStyle w:val="ParaNum"/>
        <w:widowControl/>
        <w:rPr>
          <w:rFonts w:eastAsia="TimesNewRoman"/>
        </w:rPr>
      </w:pPr>
      <w:bookmarkStart w:id="176" w:name="_Toc289272127"/>
      <w:bookmarkStart w:id="177" w:name="_Toc292693324"/>
      <w:bookmarkStart w:id="178" w:name="_Toc292693392"/>
      <w:bookmarkStart w:id="179" w:name="_Toc323028025"/>
      <w:bookmarkStart w:id="180" w:name="_Toc324843292"/>
      <w:bookmarkStart w:id="181" w:name="_Toc324864709"/>
      <w:bookmarkStart w:id="182" w:name="_Toc324929576"/>
      <w:bookmarkStart w:id="183" w:name="_Toc324929700"/>
      <w:bookmarkStart w:id="184" w:name="_Toc325013626"/>
      <w:bookmarkStart w:id="185" w:name="_Toc325013956"/>
      <w:bookmarkStart w:id="186" w:name="_Toc325014164"/>
      <w:bookmarkStart w:id="187" w:name="_Toc325016813"/>
      <w:bookmarkStart w:id="188" w:name="_Toc325030443"/>
      <w:r>
        <w:t xml:space="preserve">Under the current rules, </w:t>
      </w:r>
      <w:bookmarkEnd w:id="176"/>
      <w:bookmarkEnd w:id="177"/>
      <w:bookmarkEnd w:id="178"/>
      <w:bookmarkEnd w:id="179"/>
      <w:bookmarkEnd w:id="180"/>
      <w:bookmarkEnd w:id="181"/>
      <w:bookmarkEnd w:id="182"/>
      <w:bookmarkEnd w:id="183"/>
      <w:bookmarkEnd w:id="184"/>
      <w:bookmarkEnd w:id="185"/>
      <w:bookmarkEnd w:id="186"/>
      <w:bookmarkEnd w:id="187"/>
      <w:bookmarkEnd w:id="188"/>
      <w:proofErr w:type="gramStart"/>
      <w:r>
        <w:rPr>
          <w:rFonts w:eastAsia="TimesNewRoman"/>
        </w:rPr>
        <w:t>a</w:t>
      </w:r>
      <w:r w:rsidR="00595105" w:rsidRPr="002D4248">
        <w:rPr>
          <w:rFonts w:eastAsia="TimesNewRoman"/>
        </w:rPr>
        <w:t>n</w:t>
      </w:r>
      <w:r w:rsidR="00595105">
        <w:rPr>
          <w:rFonts w:eastAsia="TimesNewRoman"/>
        </w:rPr>
        <w:t xml:space="preserve"> application for certification of RF equipment is made by filing FCC Form 731</w:t>
      </w:r>
      <w:proofErr w:type="gramEnd"/>
      <w:r w:rsidR="00595105">
        <w:rPr>
          <w:rFonts w:eastAsia="TimesNewRoman"/>
        </w:rPr>
        <w:t xml:space="preserve"> and the supporting information required by the rules, including a measurement report, instruction manuals, and equipment photographs and diagrams.</w:t>
      </w:r>
      <w:r w:rsidR="00595105">
        <w:rPr>
          <w:rStyle w:val="FootnoteReference"/>
          <w:rFonts w:eastAsia="TimesNewRoman"/>
          <w:szCs w:val="22"/>
        </w:rPr>
        <w:footnoteReference w:id="61"/>
      </w:r>
      <w:r w:rsidR="00595105">
        <w:rPr>
          <w:rFonts w:eastAsia="TimesNewRoman"/>
        </w:rPr>
        <w:t xml:space="preserve">  For equipment certified by the </w:t>
      </w:r>
      <w:r w:rsidR="00595105">
        <w:rPr>
          <w:rFonts w:eastAsia="TimesNewRoman"/>
        </w:rPr>
        <w:lastRenderedPageBreak/>
        <w:t>Commission, the application form and supporting information must be filed electronically with the EAS at the URL specified in the rules.</w:t>
      </w:r>
      <w:r w:rsidR="00595105">
        <w:rPr>
          <w:rStyle w:val="FootnoteReference"/>
          <w:rFonts w:eastAsia="TimesNewRoman"/>
          <w:szCs w:val="22"/>
        </w:rPr>
        <w:footnoteReference w:id="62"/>
      </w:r>
      <w:r w:rsidR="00595105">
        <w:rPr>
          <w:rFonts w:eastAsia="TimesNewRoman"/>
        </w:rPr>
        <w:t xml:space="preserve">  For equipment certified by TCBs, the applicant files </w:t>
      </w:r>
      <w:r w:rsidR="00290083">
        <w:rPr>
          <w:rFonts w:eastAsia="TimesNewRoman"/>
        </w:rPr>
        <w:t>the information required by Form 731 and</w:t>
      </w:r>
      <w:r w:rsidR="00595105">
        <w:rPr>
          <w:rFonts w:eastAsia="TimesNewRoman"/>
        </w:rPr>
        <w:t xml:space="preserve"> all re</w:t>
      </w:r>
      <w:r w:rsidR="00290083">
        <w:rPr>
          <w:rFonts w:eastAsia="TimesNewRoman"/>
        </w:rPr>
        <w:t>quired</w:t>
      </w:r>
      <w:r w:rsidR="00595105">
        <w:rPr>
          <w:rFonts w:eastAsia="TimesNewRoman"/>
        </w:rPr>
        <w:t xml:space="preserve"> exhibits directly with a TCB.</w:t>
      </w:r>
      <w:r w:rsidR="002B2C55" w:rsidRPr="002B2C55">
        <w:rPr>
          <w:rFonts w:eastAsia="TimesNewRoman"/>
        </w:rPr>
        <w:t xml:space="preserve"> </w:t>
      </w:r>
      <w:r w:rsidR="002B2C55" w:rsidRPr="00ED038A">
        <w:rPr>
          <w:rFonts w:eastAsia="TimesNewRoman"/>
        </w:rPr>
        <w:t>The Commission’s rules also require that applicants, to be eligible for any instrument of authorization from the Commission, must certify that they comply with the Implementation of t</w:t>
      </w:r>
      <w:r w:rsidR="002B2C55">
        <w:rPr>
          <w:rFonts w:eastAsia="TimesNewRoman"/>
        </w:rPr>
        <w:t>he Anti-Drug Abuse Act of 1988</w:t>
      </w:r>
      <w:r w:rsidR="002B2C55">
        <w:rPr>
          <w:rStyle w:val="FootnoteReference"/>
          <w:rFonts w:eastAsia="TimesNewRoman"/>
        </w:rPr>
        <w:footnoteReference w:id="63"/>
      </w:r>
      <w:r w:rsidR="002B2C55">
        <w:rPr>
          <w:rFonts w:eastAsia="TimesNewRoman"/>
        </w:rPr>
        <w:t xml:space="preserve"> </w:t>
      </w:r>
      <w:r w:rsidR="002B2C55" w:rsidRPr="00ED038A">
        <w:rPr>
          <w:rFonts w:eastAsia="TimesNewRoman"/>
        </w:rPr>
        <w:t>and are responsible for ensuring that statements made in an application for authorization are true and correct to the best of their knowledge and belief.</w:t>
      </w:r>
      <w:r w:rsidR="002B2C55">
        <w:rPr>
          <w:rStyle w:val="FootnoteReference"/>
          <w:rFonts w:eastAsia="TimesNewRoman"/>
        </w:rPr>
        <w:footnoteReference w:id="64"/>
      </w:r>
      <w:r w:rsidR="002B2C55">
        <w:rPr>
          <w:rFonts w:eastAsia="TimesNewRoman"/>
        </w:rPr>
        <w:t xml:space="preserve">  Signatures required on the application may be in electronic format.</w:t>
      </w:r>
      <w:r w:rsidR="002B2C55">
        <w:rPr>
          <w:rStyle w:val="FootnoteReference"/>
          <w:rFonts w:eastAsia="TimesNewRoman"/>
        </w:rPr>
        <w:footnoteReference w:id="65"/>
      </w:r>
    </w:p>
    <w:p w:rsidR="00ED038A" w:rsidRPr="005E26DD" w:rsidRDefault="00ED038A" w:rsidP="000116C7">
      <w:pPr>
        <w:pStyle w:val="ParaNum"/>
        <w:widowControl/>
        <w:rPr>
          <w:rFonts w:eastAsia="TimesNewRoman"/>
        </w:rPr>
      </w:pPr>
      <w:r w:rsidRPr="00ED038A">
        <w:rPr>
          <w:rFonts w:eastAsia="TimesNewRoman"/>
        </w:rPr>
        <w:t xml:space="preserve">We propose to modify our rules to clarify the responsibilities of applicants for equipment authorization and </w:t>
      </w:r>
      <w:r w:rsidR="0016573E">
        <w:rPr>
          <w:rFonts w:eastAsia="TimesNewRoman"/>
        </w:rPr>
        <w:t xml:space="preserve">of </w:t>
      </w:r>
      <w:r w:rsidRPr="00ED038A">
        <w:rPr>
          <w:rFonts w:eastAsia="TimesNewRoman"/>
        </w:rPr>
        <w:t xml:space="preserve">the TCBs that will process these applications through the Commission’s electronic systems. </w:t>
      </w:r>
      <w:r w:rsidR="007C5FA4">
        <w:rPr>
          <w:rFonts w:eastAsia="TimesNewRoman"/>
        </w:rPr>
        <w:t xml:space="preserve"> </w:t>
      </w:r>
      <w:r w:rsidRPr="00ED038A">
        <w:rPr>
          <w:rFonts w:eastAsia="TimesNewRoman"/>
        </w:rPr>
        <w:t xml:space="preserve">We propose to modify Section 2.911 to state that applicants shall send a written, signed request for equipment authorization to a TCB. </w:t>
      </w:r>
      <w:r w:rsidR="004658CE">
        <w:rPr>
          <w:rFonts w:eastAsia="TimesNewRoman"/>
        </w:rPr>
        <w:t xml:space="preserve"> </w:t>
      </w:r>
      <w:r w:rsidR="002B2C55">
        <w:rPr>
          <w:rFonts w:eastAsia="TimesNewRoman"/>
        </w:rPr>
        <w:t>We would continue to permit signatures in electronic format</w:t>
      </w:r>
      <w:r w:rsidR="002B2C55" w:rsidRPr="00ED038A">
        <w:rPr>
          <w:rFonts w:eastAsia="TimesNewRoman"/>
        </w:rPr>
        <w:t xml:space="preserve">. </w:t>
      </w:r>
      <w:r w:rsidR="002B2C55">
        <w:rPr>
          <w:rFonts w:eastAsia="TimesNewRoman"/>
        </w:rPr>
        <w:t xml:space="preserve"> We also propose to modify the rule to make explicit that a</w:t>
      </w:r>
      <w:r w:rsidR="002B2C55" w:rsidRPr="00ED038A">
        <w:rPr>
          <w:rFonts w:eastAsia="TimesNewRoman"/>
        </w:rPr>
        <w:t>pplicants provide the TCB with the information required by Form 731</w:t>
      </w:r>
      <w:r w:rsidR="002B2C55">
        <w:rPr>
          <w:rFonts w:eastAsia="TimesNewRoman"/>
        </w:rPr>
        <w:t xml:space="preserve"> in writing or electronic form</w:t>
      </w:r>
      <w:r w:rsidR="007623BE">
        <w:rPr>
          <w:rFonts w:eastAsia="TimesNewRoman"/>
        </w:rPr>
        <w:t>at</w:t>
      </w:r>
      <w:r w:rsidR="002B2C55" w:rsidRPr="00ED038A">
        <w:rPr>
          <w:rFonts w:eastAsia="TimesNewRoman"/>
        </w:rPr>
        <w:t xml:space="preserve">, including all exhibits that the TCB requires to process the application and to complete Form 731 in the Commission electronic system. </w:t>
      </w:r>
      <w:r w:rsidR="002B2C55">
        <w:rPr>
          <w:rFonts w:eastAsia="TimesNewRoman"/>
        </w:rPr>
        <w:t xml:space="preserve"> </w:t>
      </w:r>
      <w:r w:rsidR="002B2C55" w:rsidRPr="00ED038A">
        <w:rPr>
          <w:rFonts w:eastAsia="TimesNewRoman"/>
        </w:rPr>
        <w:t xml:space="preserve">For example, applicants </w:t>
      </w:r>
      <w:r w:rsidR="002B2C55">
        <w:rPr>
          <w:rFonts w:eastAsia="TimesNewRoman"/>
        </w:rPr>
        <w:t>would have to</w:t>
      </w:r>
      <w:r w:rsidR="002B2C55" w:rsidRPr="00ED038A">
        <w:rPr>
          <w:rFonts w:eastAsia="TimesNewRoman"/>
        </w:rPr>
        <w:t xml:space="preserve"> provide the TCB with an FCC Registration Number</w:t>
      </w:r>
      <w:r w:rsidR="002B2C55">
        <w:rPr>
          <w:rFonts w:eastAsia="TimesNewRoman"/>
        </w:rPr>
        <w:t xml:space="preserve"> (FRN)</w:t>
      </w:r>
      <w:r w:rsidR="002B2C55" w:rsidRPr="00ED038A">
        <w:rPr>
          <w:rFonts w:eastAsia="TimesNewRoman"/>
        </w:rPr>
        <w:t xml:space="preserve"> and a grantee code</w:t>
      </w:r>
      <w:r w:rsidR="002B2C55">
        <w:rPr>
          <w:rFonts w:eastAsia="TimesNewRoman"/>
        </w:rPr>
        <w:t xml:space="preserve"> if </w:t>
      </w:r>
      <w:proofErr w:type="gramStart"/>
      <w:r w:rsidR="002B2C55">
        <w:rPr>
          <w:rFonts w:eastAsia="TimesNewRoman"/>
        </w:rPr>
        <w:t>these have already been assigned to the applicant by the Commission</w:t>
      </w:r>
      <w:proofErr w:type="gramEnd"/>
      <w:r w:rsidR="002B2C55" w:rsidRPr="00ED038A">
        <w:rPr>
          <w:rFonts w:eastAsia="TimesNewRoman"/>
        </w:rPr>
        <w:t>.</w:t>
      </w:r>
      <w:r w:rsidR="002B2C55">
        <w:rPr>
          <w:rStyle w:val="FootnoteReference"/>
          <w:rFonts w:eastAsia="TimesNewRoman"/>
        </w:rPr>
        <w:footnoteReference w:id="66"/>
      </w:r>
      <w:r w:rsidR="002B2C55" w:rsidRPr="00ED038A">
        <w:rPr>
          <w:rFonts w:eastAsia="TimesNewRoman"/>
        </w:rPr>
        <w:t xml:space="preserve">  </w:t>
      </w:r>
      <w:r w:rsidR="002B2C55">
        <w:rPr>
          <w:rFonts w:eastAsia="TimesNewRoman"/>
        </w:rPr>
        <w:t xml:space="preserve">We further propose that an applicant </w:t>
      </w:r>
      <w:r w:rsidR="002B2C55" w:rsidRPr="00ED038A">
        <w:rPr>
          <w:rFonts w:eastAsia="TimesNewRoman"/>
        </w:rPr>
        <w:t xml:space="preserve">must provide the TCB with signed written </w:t>
      </w:r>
      <w:r w:rsidR="002B2C55">
        <w:rPr>
          <w:rFonts w:eastAsia="TimesNewRoman"/>
        </w:rPr>
        <w:t>certifications stating that it complies with Implementation of the Anti-Drug Abuse Act of 1988 and that all statements made in the application are correct to the best of its knowledge and belief.  Additionally, we propose that t</w:t>
      </w:r>
      <w:r w:rsidR="002B2C55" w:rsidRPr="00ED038A">
        <w:rPr>
          <w:rFonts w:eastAsia="TimesNewRoman"/>
        </w:rPr>
        <w:t xml:space="preserve">he TCB must submit </w:t>
      </w:r>
      <w:r w:rsidR="002B2C55">
        <w:rPr>
          <w:rFonts w:eastAsia="TimesNewRoman"/>
        </w:rPr>
        <w:t>the applicant’s certifications as exhibits when it uploads Form 731 applications to the Commission.</w:t>
      </w:r>
      <w:r w:rsidR="002B2C55">
        <w:rPr>
          <w:rStyle w:val="FootnoteReference"/>
          <w:rFonts w:eastAsia="TimesNewRoman"/>
        </w:rPr>
        <w:footnoteReference w:id="67"/>
      </w:r>
      <w:r w:rsidR="002B2C55" w:rsidRPr="00ED038A">
        <w:rPr>
          <w:rFonts w:eastAsia="TimesNewRoman"/>
        </w:rPr>
        <w:t xml:space="preserve"> </w:t>
      </w:r>
      <w:r w:rsidR="002B2C55">
        <w:rPr>
          <w:rFonts w:eastAsia="TimesNewRoman"/>
        </w:rPr>
        <w:t xml:space="preserve"> </w:t>
      </w:r>
      <w:r w:rsidR="005E26DD">
        <w:rPr>
          <w:rFonts w:eastAsia="TimesNewRoman"/>
        </w:rPr>
        <w:t xml:space="preserve">We are </w:t>
      </w:r>
      <w:r w:rsidR="00C67AD4">
        <w:rPr>
          <w:rFonts w:eastAsia="TimesNewRoman"/>
        </w:rPr>
        <w:t xml:space="preserve">also </w:t>
      </w:r>
      <w:r w:rsidR="005E26DD">
        <w:rPr>
          <w:rFonts w:eastAsia="TimesNewRoman"/>
        </w:rPr>
        <w:t xml:space="preserve">proposing to incorporate </w:t>
      </w:r>
      <w:r w:rsidR="0016573E">
        <w:rPr>
          <w:rFonts w:eastAsia="TimesNewRoman"/>
        </w:rPr>
        <w:t xml:space="preserve">into Section 2.911 </w:t>
      </w:r>
      <w:r w:rsidR="005E26DD">
        <w:rPr>
          <w:rFonts w:eastAsia="TimesNewRoman"/>
        </w:rPr>
        <w:t xml:space="preserve">the requirement from Section 2.913 that </w:t>
      </w:r>
      <w:proofErr w:type="gramStart"/>
      <w:r w:rsidR="005E26DD">
        <w:rPr>
          <w:rFonts w:eastAsia="TimesNewRoman"/>
        </w:rPr>
        <w:t>applications must be accompanied by the appropriate fees</w:t>
      </w:r>
      <w:proofErr w:type="gramEnd"/>
      <w:r w:rsidR="005E26DD">
        <w:rPr>
          <w:rFonts w:eastAsia="TimesNewRoman"/>
        </w:rPr>
        <w:t xml:space="preserve"> since new applicants for certification must submit a fee to obtain a grantee code, and this function could be handled by a TCB if an applicant authorizes a TCB to do so.</w:t>
      </w:r>
      <w:r w:rsidR="006D701D">
        <w:rPr>
          <w:rStyle w:val="FootnoteReference"/>
          <w:rFonts w:eastAsia="TimesNewRoman"/>
        </w:rPr>
        <w:footnoteReference w:id="68"/>
      </w:r>
      <w:r w:rsidR="005E26DD">
        <w:rPr>
          <w:rFonts w:eastAsia="TimesNewRoman"/>
        </w:rPr>
        <w:t xml:space="preserve">  However, because that is the only equipment authorization fee </w:t>
      </w:r>
      <w:r w:rsidR="00467754">
        <w:rPr>
          <w:rFonts w:eastAsia="TimesNewRoman"/>
        </w:rPr>
        <w:t xml:space="preserve">listed in Section 1.1103 of the rules </w:t>
      </w:r>
      <w:r w:rsidR="005E26DD">
        <w:rPr>
          <w:rFonts w:eastAsia="TimesNewRoman"/>
        </w:rPr>
        <w:t xml:space="preserve">that a TCB </w:t>
      </w:r>
      <w:r w:rsidR="00D12A34">
        <w:rPr>
          <w:rFonts w:eastAsia="TimesNewRoman"/>
        </w:rPr>
        <w:t xml:space="preserve">or an applicant </w:t>
      </w:r>
      <w:r w:rsidR="00C67AD4">
        <w:rPr>
          <w:rFonts w:eastAsia="TimesNewRoman"/>
        </w:rPr>
        <w:t>might</w:t>
      </w:r>
      <w:r w:rsidR="005E26DD">
        <w:rPr>
          <w:rFonts w:eastAsia="TimesNewRoman"/>
        </w:rPr>
        <w:t xml:space="preserve"> need to submit</w:t>
      </w:r>
      <w:r w:rsidR="00467754">
        <w:rPr>
          <w:rFonts w:eastAsia="TimesNewRoman"/>
        </w:rPr>
        <w:t xml:space="preserve"> to the Commission</w:t>
      </w:r>
      <w:r w:rsidR="005E26DD">
        <w:rPr>
          <w:rFonts w:eastAsia="TimesNewRoman"/>
        </w:rPr>
        <w:t xml:space="preserve">, we propose to modify Section 1.1103 to eliminate </w:t>
      </w:r>
      <w:r w:rsidR="00467754">
        <w:rPr>
          <w:rFonts w:eastAsia="TimesNewRoman"/>
        </w:rPr>
        <w:t>equipment authorization</w:t>
      </w:r>
      <w:r w:rsidR="00C67AD4">
        <w:rPr>
          <w:rFonts w:eastAsia="TimesNewRoman"/>
        </w:rPr>
        <w:t xml:space="preserve"> </w:t>
      </w:r>
      <w:r w:rsidR="005E26DD">
        <w:rPr>
          <w:rFonts w:eastAsia="TimesNewRoman"/>
        </w:rPr>
        <w:t xml:space="preserve">fees that would no longer be </w:t>
      </w:r>
      <w:r w:rsidR="00467754">
        <w:rPr>
          <w:rFonts w:eastAsia="TimesNewRoman"/>
        </w:rPr>
        <w:t>collected</w:t>
      </w:r>
      <w:r w:rsidR="005E26DD">
        <w:rPr>
          <w:rFonts w:eastAsia="TimesNewRoman"/>
        </w:rPr>
        <w:t xml:space="preserve"> </w:t>
      </w:r>
      <w:r w:rsidR="00D12A34">
        <w:rPr>
          <w:rFonts w:eastAsia="TimesNewRoman"/>
        </w:rPr>
        <w:t xml:space="preserve">by the Commission </w:t>
      </w:r>
      <w:r w:rsidR="005E26DD">
        <w:rPr>
          <w:rFonts w:eastAsia="TimesNewRoman"/>
        </w:rPr>
        <w:t>if TCBs approve all equipment subject to certification.</w:t>
      </w:r>
      <w:r w:rsidR="006D701D">
        <w:rPr>
          <w:rStyle w:val="FootnoteReference"/>
          <w:rFonts w:eastAsia="TimesNewRoman"/>
        </w:rPr>
        <w:footnoteReference w:id="69"/>
      </w:r>
      <w:r w:rsidR="006D701D">
        <w:rPr>
          <w:rFonts w:eastAsia="TimesNewRoman"/>
        </w:rPr>
        <w:t xml:space="preserve">  </w:t>
      </w:r>
      <w:r w:rsidR="0097528F">
        <w:rPr>
          <w:rFonts w:eastAsia="TimesNewRoman"/>
        </w:rPr>
        <w:t xml:space="preserve">We do not expect that these proposals will be burdensome because TCBs should already be obtaining </w:t>
      </w:r>
      <w:r w:rsidR="002B2C55">
        <w:rPr>
          <w:rFonts w:eastAsia="TimesNewRoman"/>
        </w:rPr>
        <w:t>the required certifications and</w:t>
      </w:r>
      <w:r w:rsidR="005D54B6">
        <w:rPr>
          <w:rFonts w:eastAsia="TimesNewRoman"/>
        </w:rPr>
        <w:t xml:space="preserve"> </w:t>
      </w:r>
      <w:r w:rsidR="0097528F">
        <w:rPr>
          <w:rFonts w:eastAsia="TimesNewRoman"/>
        </w:rPr>
        <w:t xml:space="preserve">any </w:t>
      </w:r>
      <w:r w:rsidR="002B2C55">
        <w:rPr>
          <w:rFonts w:eastAsia="TimesNewRoman"/>
        </w:rPr>
        <w:t xml:space="preserve">other </w:t>
      </w:r>
      <w:r w:rsidR="0097528F">
        <w:rPr>
          <w:rFonts w:eastAsia="TimesNewRoman"/>
        </w:rPr>
        <w:t xml:space="preserve">information that they need from applicants to complete their Form 731.  </w:t>
      </w:r>
      <w:r w:rsidR="006D701D">
        <w:rPr>
          <w:rFonts w:eastAsia="TimesNewRoman"/>
        </w:rPr>
        <w:t>We seek comment on these proposals.</w:t>
      </w:r>
    </w:p>
    <w:p w:rsidR="00595105" w:rsidRPr="00A31344" w:rsidRDefault="00595105" w:rsidP="000116C7">
      <w:pPr>
        <w:pStyle w:val="ParaNum"/>
        <w:widowControl/>
        <w:rPr>
          <w:rFonts w:eastAsia="TimesNewRoman"/>
          <w:szCs w:val="22"/>
        </w:rPr>
      </w:pPr>
      <w:r w:rsidRPr="00BD6C60">
        <w:rPr>
          <w:rFonts w:eastAsia="TimesNewRoman"/>
        </w:rPr>
        <w:lastRenderedPageBreak/>
        <w:t xml:space="preserve"> </w:t>
      </w:r>
      <w:bookmarkStart w:id="189" w:name="_Ref333589406"/>
      <w:r w:rsidRPr="00BD6C60">
        <w:rPr>
          <w:rFonts w:eastAsia="TimesNewRoman"/>
        </w:rPr>
        <w:t xml:space="preserve">The </w:t>
      </w:r>
      <w:r>
        <w:rPr>
          <w:rFonts w:eastAsia="TimesNewRoman"/>
        </w:rPr>
        <w:t xml:space="preserve">rules </w:t>
      </w:r>
      <w:r w:rsidR="00290083">
        <w:rPr>
          <w:rFonts w:eastAsia="TimesNewRoman"/>
        </w:rPr>
        <w:t xml:space="preserve">currently </w:t>
      </w:r>
      <w:r>
        <w:rPr>
          <w:rFonts w:eastAsia="TimesNewRoman"/>
        </w:rPr>
        <w:t xml:space="preserve">require that a TCB supply the Commission with </w:t>
      </w:r>
      <w:r w:rsidRPr="00BD6C60">
        <w:rPr>
          <w:rFonts w:eastAsia="TimesNewRoman"/>
        </w:rPr>
        <w:t>electronic cop</w:t>
      </w:r>
      <w:r>
        <w:rPr>
          <w:rFonts w:eastAsia="TimesNewRoman"/>
        </w:rPr>
        <w:t>ies of FCC Form 731 and the</w:t>
      </w:r>
      <w:r w:rsidRPr="00BD6C60">
        <w:rPr>
          <w:rFonts w:eastAsia="TimesNewRoman"/>
        </w:rPr>
        <w:t xml:space="preserve"> grant of equipment authorization</w:t>
      </w:r>
      <w:r>
        <w:rPr>
          <w:rFonts w:eastAsia="TimesNewRoman"/>
        </w:rPr>
        <w:t xml:space="preserve"> for each RF device certified by the TCB</w:t>
      </w:r>
      <w:r w:rsidRPr="00BD6C60">
        <w:rPr>
          <w:rFonts w:eastAsia="TimesNewRoman"/>
        </w:rPr>
        <w:t xml:space="preserve">.  </w:t>
      </w:r>
      <w:r>
        <w:rPr>
          <w:rFonts w:eastAsia="TimesNewRoman"/>
        </w:rPr>
        <w:t xml:space="preserve">The rules do not require </w:t>
      </w:r>
      <w:r w:rsidR="00290083">
        <w:rPr>
          <w:rFonts w:eastAsia="TimesNewRoman"/>
        </w:rPr>
        <w:t>TCB</w:t>
      </w:r>
      <w:r w:rsidR="006D701D">
        <w:rPr>
          <w:rFonts w:eastAsia="TimesNewRoman"/>
        </w:rPr>
        <w:t>s</w:t>
      </w:r>
      <w:r w:rsidR="00290083">
        <w:rPr>
          <w:rFonts w:eastAsia="TimesNewRoman"/>
        </w:rPr>
        <w:t xml:space="preserve"> to submit</w:t>
      </w:r>
      <w:r>
        <w:rPr>
          <w:rFonts w:eastAsia="TimesNewRoman"/>
        </w:rPr>
        <w:t xml:space="preserve"> </w:t>
      </w:r>
      <w:r w:rsidRPr="00BD6C60">
        <w:rPr>
          <w:rFonts w:eastAsia="TimesNewRoman"/>
        </w:rPr>
        <w:t xml:space="preserve">other supporting information from the certification application, </w:t>
      </w:r>
      <w:r>
        <w:rPr>
          <w:rFonts w:eastAsia="TimesNewRoman"/>
        </w:rPr>
        <w:t>but they</w:t>
      </w:r>
      <w:r w:rsidRPr="00BD6C60">
        <w:rPr>
          <w:rFonts w:eastAsia="TimesNewRoman"/>
        </w:rPr>
        <w:t xml:space="preserve"> specify that </w:t>
      </w:r>
      <w:r>
        <w:rPr>
          <w:rFonts w:eastAsia="TimesNewRoman"/>
        </w:rPr>
        <w:t>the Commission</w:t>
      </w:r>
      <w:r w:rsidRPr="00BD6C60">
        <w:rPr>
          <w:rFonts w:eastAsia="TimesNewRoman"/>
        </w:rPr>
        <w:t xml:space="preserve"> can </w:t>
      </w:r>
      <w:r w:rsidR="00290083">
        <w:rPr>
          <w:rFonts w:eastAsia="TimesNewRoman"/>
        </w:rPr>
        <w:t>request</w:t>
      </w:r>
      <w:r w:rsidRPr="00BD6C60">
        <w:rPr>
          <w:rFonts w:eastAsia="TimesNewRoman"/>
        </w:rPr>
        <w:t xml:space="preserve"> the complete application</w:t>
      </w:r>
      <w:r w:rsidR="00290083">
        <w:rPr>
          <w:rFonts w:eastAsia="TimesNewRoman"/>
        </w:rPr>
        <w:t xml:space="preserve"> and exhibits</w:t>
      </w:r>
      <w:r w:rsidRPr="00BD6C60">
        <w:rPr>
          <w:rFonts w:eastAsia="TimesNewRoman"/>
        </w:rPr>
        <w:t xml:space="preserve"> from </w:t>
      </w:r>
      <w:r w:rsidR="00290083">
        <w:rPr>
          <w:rFonts w:eastAsia="TimesNewRoman"/>
        </w:rPr>
        <w:t>a</w:t>
      </w:r>
      <w:r w:rsidRPr="00BD6C60">
        <w:rPr>
          <w:rFonts w:eastAsia="TimesNewRoman"/>
        </w:rPr>
        <w:t xml:space="preserve"> TCB if </w:t>
      </w:r>
      <w:r>
        <w:rPr>
          <w:rFonts w:eastAsia="TimesNewRoman"/>
        </w:rPr>
        <w:t>it</w:t>
      </w:r>
      <w:r w:rsidRPr="00BD6C60">
        <w:rPr>
          <w:rFonts w:eastAsia="TimesNewRoman"/>
        </w:rPr>
        <w:t xml:space="preserve"> need</w:t>
      </w:r>
      <w:r>
        <w:rPr>
          <w:rFonts w:eastAsia="TimesNewRoman"/>
        </w:rPr>
        <w:t>s</w:t>
      </w:r>
      <w:r w:rsidRPr="00BD6C60">
        <w:rPr>
          <w:rFonts w:eastAsia="TimesNewRoman"/>
        </w:rPr>
        <w:t xml:space="preserve"> additional information about a particular </w:t>
      </w:r>
      <w:r w:rsidR="00FA3B1C">
        <w:rPr>
          <w:rFonts w:eastAsia="TimesNewRoman"/>
        </w:rPr>
        <w:t>device</w:t>
      </w:r>
      <w:r w:rsidRPr="00BD6C60">
        <w:rPr>
          <w:rFonts w:eastAsia="TimesNewRoman"/>
        </w:rPr>
        <w:t>.</w:t>
      </w:r>
      <w:r w:rsidRPr="00BD6C60">
        <w:rPr>
          <w:rStyle w:val="FootnoteReference"/>
          <w:rFonts w:eastAsia="TimesNewRoman"/>
          <w:szCs w:val="22"/>
        </w:rPr>
        <w:footnoteReference w:id="70"/>
      </w:r>
      <w:r w:rsidRPr="00BD6C60">
        <w:rPr>
          <w:rFonts w:eastAsia="TimesNewRoman"/>
        </w:rPr>
        <w:t xml:space="preserve">  We have found that for the Commission to effectively perform its </w:t>
      </w:r>
      <w:r>
        <w:rPr>
          <w:rFonts w:eastAsia="TimesNewRoman"/>
        </w:rPr>
        <w:t xml:space="preserve">program </w:t>
      </w:r>
      <w:r w:rsidRPr="00BD6C60">
        <w:rPr>
          <w:rFonts w:eastAsia="TimesNewRoman"/>
        </w:rPr>
        <w:t xml:space="preserve">oversight and enforcement role, it is necessary to have the TCB submit a complete copy of the certification application to the database, including all the photographs, user manuals and test reports.  </w:t>
      </w:r>
      <w:r>
        <w:rPr>
          <w:rFonts w:eastAsia="TimesNewRoman"/>
        </w:rPr>
        <w:t>We therefore routinely request that TCBs submit complete information for each certification application that they approve.</w:t>
      </w:r>
      <w:bookmarkEnd w:id="189"/>
    </w:p>
    <w:p w:rsidR="00595105" w:rsidRPr="001F4C66" w:rsidRDefault="00595105" w:rsidP="000116C7">
      <w:pPr>
        <w:pStyle w:val="ParaNum"/>
        <w:widowControl/>
        <w:rPr>
          <w:rFonts w:eastAsia="TimesNewRoman"/>
          <w:szCs w:val="22"/>
        </w:rPr>
      </w:pPr>
      <w:r w:rsidRPr="00BD6C60">
        <w:rPr>
          <w:rFonts w:eastAsia="TimesNewRoman"/>
        </w:rPr>
        <w:t xml:space="preserve">We propose to amend </w:t>
      </w:r>
      <w:r w:rsidR="00BA70F6">
        <w:rPr>
          <w:rFonts w:eastAsia="TimesNewRoman"/>
        </w:rPr>
        <w:t>Section 2.926(g)(1) of the rules</w:t>
      </w:r>
      <w:r w:rsidRPr="00BD6C60">
        <w:rPr>
          <w:rFonts w:eastAsia="TimesNewRoman"/>
        </w:rPr>
        <w:t xml:space="preserve"> to </w:t>
      </w:r>
      <w:r>
        <w:rPr>
          <w:rFonts w:eastAsia="TimesNewRoman"/>
        </w:rPr>
        <w:t>require</w:t>
      </w:r>
      <w:r w:rsidRPr="00BD6C60">
        <w:rPr>
          <w:rFonts w:eastAsia="TimesNewRoman"/>
        </w:rPr>
        <w:t xml:space="preserve"> that TCBs provide </w:t>
      </w:r>
      <w:r>
        <w:rPr>
          <w:rFonts w:eastAsia="TimesNewRoman"/>
        </w:rPr>
        <w:t xml:space="preserve">the Commission with </w:t>
      </w:r>
      <w:r w:rsidRPr="00BD6C60">
        <w:rPr>
          <w:rFonts w:eastAsia="TimesNewRoman"/>
        </w:rPr>
        <w:t xml:space="preserve">a complete copy of </w:t>
      </w:r>
      <w:r>
        <w:rPr>
          <w:rFonts w:eastAsia="TimesNewRoman"/>
        </w:rPr>
        <w:t>each</w:t>
      </w:r>
      <w:r w:rsidRPr="00BD6C60">
        <w:rPr>
          <w:rFonts w:eastAsia="TimesNewRoman"/>
        </w:rPr>
        <w:t xml:space="preserve"> certification application</w:t>
      </w:r>
      <w:r w:rsidR="006D701D">
        <w:rPr>
          <w:rFonts w:eastAsia="TimesNewRoman"/>
        </w:rPr>
        <w:t xml:space="preserve"> that they process</w:t>
      </w:r>
      <w:r>
        <w:rPr>
          <w:rFonts w:eastAsia="TimesNewRoman"/>
        </w:rPr>
        <w:t>, including all exhibits required by the Commission’s rules,</w:t>
      </w:r>
      <w:r w:rsidRPr="00BD6C60">
        <w:rPr>
          <w:rFonts w:eastAsia="TimesNewRoman"/>
        </w:rPr>
        <w:t xml:space="preserve"> prior to issuance of a grant of certification</w:t>
      </w:r>
      <w:r w:rsidR="006402B8">
        <w:rPr>
          <w:rFonts w:eastAsia="TimesNewRoman"/>
        </w:rPr>
        <w:t xml:space="preserve"> or dismissal of the application</w:t>
      </w:r>
      <w:r w:rsidRPr="00BD6C60">
        <w:rPr>
          <w:rFonts w:eastAsia="TimesNewRoman"/>
        </w:rPr>
        <w:t>.</w:t>
      </w:r>
      <w:r w:rsidR="002D5E77">
        <w:rPr>
          <w:rStyle w:val="FootnoteReference"/>
          <w:rFonts w:eastAsia="TimesNewRoman"/>
        </w:rPr>
        <w:footnoteReference w:id="71"/>
      </w:r>
      <w:r w:rsidRPr="00BD6C60">
        <w:rPr>
          <w:rFonts w:eastAsia="TimesNewRoman"/>
        </w:rPr>
        <w:t xml:space="preserve">  </w:t>
      </w:r>
      <w:r w:rsidR="00113369">
        <w:rPr>
          <w:rFonts w:eastAsia="TimesNewRoman"/>
        </w:rPr>
        <w:t xml:space="preserve">The TCB would grant or dismiss equipment authorization applications through the Commission’s electronic </w:t>
      </w:r>
      <w:r w:rsidR="00AC1145">
        <w:rPr>
          <w:rFonts w:eastAsia="TimesNewRoman"/>
        </w:rPr>
        <w:t>EAS</w:t>
      </w:r>
      <w:r w:rsidR="00113369">
        <w:rPr>
          <w:rFonts w:eastAsia="TimesNewRoman"/>
        </w:rPr>
        <w:t xml:space="preserve">. </w:t>
      </w:r>
      <w:r w:rsidR="005A26EE">
        <w:rPr>
          <w:rFonts w:eastAsia="TimesNewRoman"/>
        </w:rPr>
        <w:t xml:space="preserve"> </w:t>
      </w:r>
      <w:r w:rsidR="00BA70F6">
        <w:rPr>
          <w:rFonts w:eastAsia="TimesNewRoman"/>
        </w:rPr>
        <w:t xml:space="preserve">We also propose to move </w:t>
      </w:r>
      <w:r w:rsidR="009E593F">
        <w:rPr>
          <w:rFonts w:eastAsia="TimesNewRoman"/>
        </w:rPr>
        <w:t xml:space="preserve">to this section </w:t>
      </w:r>
      <w:r w:rsidR="00BA70F6">
        <w:rPr>
          <w:rFonts w:eastAsia="TimesNewRoman"/>
        </w:rPr>
        <w:t>the language concerning the confidentiality of application exhibits from Section 2.</w:t>
      </w:r>
      <w:r w:rsidR="00C85CF7">
        <w:rPr>
          <w:rFonts w:eastAsia="TimesNewRoman"/>
        </w:rPr>
        <w:t>962</w:t>
      </w:r>
      <w:r w:rsidR="00BA70F6">
        <w:rPr>
          <w:rFonts w:eastAsia="TimesNewRoman"/>
        </w:rPr>
        <w:t>(g)(4) and remove the remainder of Section 2.</w:t>
      </w:r>
      <w:r w:rsidR="00C85CF7">
        <w:rPr>
          <w:rFonts w:eastAsia="TimesNewRoman"/>
        </w:rPr>
        <w:t>962</w:t>
      </w:r>
      <w:r w:rsidR="00BA70F6">
        <w:rPr>
          <w:rFonts w:eastAsia="TimesNewRoman"/>
        </w:rPr>
        <w:t xml:space="preserve">(g)(4) as unnecessary since it refers to full applications being sent to the Commission upon request.  </w:t>
      </w:r>
      <w:r>
        <w:rPr>
          <w:rFonts w:eastAsia="TimesNewRoman"/>
        </w:rPr>
        <w:t>Th</w:t>
      </w:r>
      <w:r w:rsidR="00BA70F6">
        <w:rPr>
          <w:rFonts w:eastAsia="TimesNewRoman"/>
        </w:rPr>
        <w:t>ese</w:t>
      </w:r>
      <w:r>
        <w:rPr>
          <w:rFonts w:eastAsia="TimesNewRoman"/>
        </w:rPr>
        <w:t xml:space="preserve"> proposed change</w:t>
      </w:r>
      <w:r w:rsidR="00BA70F6">
        <w:rPr>
          <w:rFonts w:eastAsia="TimesNewRoman"/>
        </w:rPr>
        <w:t>s</w:t>
      </w:r>
      <w:r>
        <w:rPr>
          <w:rFonts w:eastAsia="TimesNewRoman"/>
        </w:rPr>
        <w:t xml:space="preserve"> will codify the current Commission practice of obtaining complete information for all equipment certified by TCBs prior to the issuance of a grant</w:t>
      </w:r>
      <w:r w:rsidR="008F131B">
        <w:rPr>
          <w:rFonts w:eastAsia="TimesNewRoman"/>
        </w:rPr>
        <w:t>, and will provide notice to the Commission and other TCBs concerning which applications were dismissed</w:t>
      </w:r>
      <w:r>
        <w:rPr>
          <w:rFonts w:eastAsia="TimesNewRoman"/>
        </w:rPr>
        <w:t xml:space="preserve">.  </w:t>
      </w:r>
      <w:r w:rsidR="009E593F">
        <w:rPr>
          <w:rFonts w:eastAsia="TimesNewRoman"/>
        </w:rPr>
        <w:t xml:space="preserve">The changes would </w:t>
      </w:r>
      <w:r>
        <w:rPr>
          <w:rFonts w:eastAsia="TimesNewRoman"/>
        </w:rPr>
        <w:t xml:space="preserve">not result in any </w:t>
      </w:r>
      <w:r w:rsidR="0012409A">
        <w:rPr>
          <w:rFonts w:eastAsia="TimesNewRoman"/>
        </w:rPr>
        <w:t xml:space="preserve">significantly </w:t>
      </w:r>
      <w:r>
        <w:rPr>
          <w:rFonts w:eastAsia="TimesNewRoman"/>
        </w:rPr>
        <w:t xml:space="preserve">increased burden for TCBs because they already supply </w:t>
      </w:r>
      <w:r w:rsidR="009E593F">
        <w:rPr>
          <w:rFonts w:eastAsia="TimesNewRoman"/>
        </w:rPr>
        <w:t>the complete application and all exhibits</w:t>
      </w:r>
      <w:r>
        <w:rPr>
          <w:rFonts w:eastAsia="TimesNewRoman"/>
        </w:rPr>
        <w:t xml:space="preserve"> to the Commission</w:t>
      </w:r>
      <w:r w:rsidR="0012409A">
        <w:rPr>
          <w:rFonts w:eastAsia="TimesNewRoman"/>
        </w:rPr>
        <w:t xml:space="preserve"> for equipment that they approve, and we expect that the number of dismissed applications that they would have to submit to the Commission </w:t>
      </w:r>
      <w:r w:rsidR="00AC1145">
        <w:rPr>
          <w:rFonts w:eastAsia="TimesNewRoman"/>
        </w:rPr>
        <w:t>will be</w:t>
      </w:r>
      <w:r w:rsidR="0012409A">
        <w:rPr>
          <w:rFonts w:eastAsia="TimesNewRoman"/>
        </w:rPr>
        <w:t xml:space="preserve"> small in comparison</w:t>
      </w:r>
      <w:r w:rsidR="005A26EE">
        <w:rPr>
          <w:rFonts w:eastAsia="TimesNewRoman"/>
        </w:rPr>
        <w:t xml:space="preserve"> to those they grant</w:t>
      </w:r>
      <w:r>
        <w:rPr>
          <w:rFonts w:eastAsia="TimesNewRoman"/>
        </w:rPr>
        <w:t xml:space="preserve">.  </w:t>
      </w:r>
      <w:r w:rsidRPr="00BD6C60">
        <w:rPr>
          <w:rFonts w:eastAsia="TimesNewRoman"/>
        </w:rPr>
        <w:t>We seek comment on th</w:t>
      </w:r>
      <w:r w:rsidR="00BA70F6">
        <w:rPr>
          <w:rFonts w:eastAsia="TimesNewRoman"/>
        </w:rPr>
        <w:t>ese</w:t>
      </w:r>
      <w:r w:rsidRPr="00BD6C60">
        <w:rPr>
          <w:rFonts w:eastAsia="TimesNewRoman"/>
        </w:rPr>
        <w:t xml:space="preserve"> proposal</w:t>
      </w:r>
      <w:r w:rsidR="00BA70F6">
        <w:rPr>
          <w:rFonts w:eastAsia="TimesNewRoman"/>
        </w:rPr>
        <w:t>s</w:t>
      </w:r>
      <w:r w:rsidRPr="00BD6C60">
        <w:rPr>
          <w:rFonts w:eastAsia="TimesNewRoman"/>
        </w:rPr>
        <w:t>.</w:t>
      </w:r>
    </w:p>
    <w:p w:rsidR="001F4C66" w:rsidRPr="00CA630F" w:rsidRDefault="001F4C66" w:rsidP="000116C7">
      <w:pPr>
        <w:pStyle w:val="ParaNum"/>
        <w:widowControl/>
        <w:rPr>
          <w:rFonts w:eastAsia="TimesNewRoman"/>
          <w:szCs w:val="22"/>
        </w:rPr>
      </w:pPr>
      <w:r>
        <w:rPr>
          <w:rFonts w:eastAsia="TimesNewRoman"/>
        </w:rPr>
        <w:t xml:space="preserve">We also propose to make a number of minor revisions to the Part 2 rules to reflect the fact that TCBs would approve all RF equipment subject to the Part 2 certification requirement.  In particular, we note that the following sections refer to certification applications being processed by the Commission and propose to modify the language in </w:t>
      </w:r>
      <w:r w:rsidR="007951D0">
        <w:rPr>
          <w:rFonts w:eastAsia="TimesNewRoman"/>
        </w:rPr>
        <w:t>these sections</w:t>
      </w:r>
      <w:r>
        <w:rPr>
          <w:rFonts w:eastAsia="TimesNewRoman"/>
        </w:rPr>
        <w:t xml:space="preserve"> to reflect our proposals that TCBs </w:t>
      </w:r>
      <w:r w:rsidR="00917D01">
        <w:rPr>
          <w:rFonts w:eastAsia="TimesNewRoman"/>
        </w:rPr>
        <w:t xml:space="preserve">will </w:t>
      </w:r>
      <w:r>
        <w:rPr>
          <w:rFonts w:eastAsia="TimesNewRoman"/>
        </w:rPr>
        <w:t xml:space="preserve">process all certification applications: 2.901 (Basis and purpose), 2.907 (Certification), 2.909 (Responsible party), 2.915 (Grant of application), 2.917 (Dismissal of application), 2.919 (Denial of application), 2.921 (Hearing on application), 2.924 (Marketing of electrically identical equipment…), 2.925 (Identification of equipment), 2.926 (FCC identifier), 2.927 (Limitations on grants), 2.929 (Changes in name, address, ownership or control of grantee), 2.932 (Modification of equipment), </w:t>
      </w:r>
      <w:r w:rsidR="007951D0">
        <w:rPr>
          <w:rFonts w:eastAsia="TimesNewRoman"/>
        </w:rPr>
        <w:t xml:space="preserve">2.933 (Change in identification of equipment), 2.947 (Measurement procedure), and 2.1043 (Changes in certificated equipment).  We seek comment on this proposal and whether there are any other sections in Part 2 </w:t>
      </w:r>
      <w:r w:rsidR="009D5F37">
        <w:rPr>
          <w:rFonts w:eastAsia="TimesNewRoman"/>
        </w:rPr>
        <w:t xml:space="preserve">or other rule parts </w:t>
      </w:r>
      <w:r w:rsidR="007951D0">
        <w:rPr>
          <w:rFonts w:eastAsia="TimesNewRoman"/>
        </w:rPr>
        <w:t>that need to be modified if TCBs approve all RF equipment requiring certification.</w:t>
      </w:r>
    </w:p>
    <w:p w:rsidR="00595105" w:rsidRDefault="00595105" w:rsidP="000116C7">
      <w:pPr>
        <w:pStyle w:val="Heading3"/>
        <w:widowControl/>
      </w:pPr>
      <w:bookmarkStart w:id="190" w:name="_Toc289272128"/>
      <w:bookmarkStart w:id="191" w:name="_Toc292693325"/>
      <w:bookmarkStart w:id="192" w:name="_Toc292693393"/>
      <w:bookmarkStart w:id="193" w:name="_Toc323028026"/>
      <w:bookmarkStart w:id="194" w:name="_Toc324843293"/>
      <w:bookmarkStart w:id="195" w:name="_Toc324864710"/>
      <w:bookmarkStart w:id="196" w:name="_Toc324929577"/>
      <w:bookmarkStart w:id="197" w:name="_Toc324929701"/>
      <w:bookmarkStart w:id="198" w:name="_Toc325013627"/>
      <w:bookmarkStart w:id="199" w:name="_Toc325013957"/>
      <w:bookmarkStart w:id="200" w:name="_Toc325014165"/>
      <w:bookmarkStart w:id="201" w:name="_Toc325016814"/>
      <w:bookmarkStart w:id="202" w:name="_Toc325030444"/>
      <w:bookmarkStart w:id="203" w:name="_Toc326243794"/>
      <w:bookmarkStart w:id="204" w:name="_Toc326243991"/>
      <w:bookmarkStart w:id="205" w:name="_Toc327450764"/>
      <w:bookmarkStart w:id="206" w:name="_Toc330288212"/>
      <w:bookmarkStart w:id="207" w:name="_Toc330367182"/>
      <w:bookmarkStart w:id="208" w:name="_Toc331420770"/>
      <w:bookmarkStart w:id="209" w:name="_Toc331604650"/>
      <w:bookmarkStart w:id="210" w:name="_Toc332121625"/>
      <w:bookmarkStart w:id="211" w:name="_Toc332204302"/>
      <w:bookmarkStart w:id="212" w:name="_Toc332894805"/>
      <w:bookmarkStart w:id="213" w:name="_Toc333581618"/>
      <w:bookmarkStart w:id="214" w:name="_Toc333936410"/>
      <w:bookmarkStart w:id="215" w:name="_Toc335141619"/>
      <w:bookmarkStart w:id="216" w:name="_Toc335291362"/>
      <w:bookmarkStart w:id="217" w:name="_Toc335291415"/>
      <w:bookmarkStart w:id="218" w:name="_Toc335291475"/>
      <w:bookmarkStart w:id="219" w:name="_Toc335291545"/>
      <w:bookmarkStart w:id="220" w:name="_Toc335291683"/>
      <w:bookmarkStart w:id="221" w:name="_Toc335291735"/>
      <w:bookmarkStart w:id="222" w:name="_Toc335631613"/>
      <w:bookmarkStart w:id="223" w:name="_Toc335632655"/>
      <w:bookmarkStart w:id="224" w:name="_Toc335632727"/>
      <w:bookmarkStart w:id="225" w:name="_Toc337649165"/>
      <w:r w:rsidRPr="00800B79">
        <w:t xml:space="preserve">Post </w:t>
      </w:r>
      <w:r w:rsidR="007E5B4E">
        <w:t>m</w:t>
      </w:r>
      <w:r w:rsidRPr="00800B79">
        <w:t xml:space="preserve">arket </w:t>
      </w:r>
      <w:r w:rsidR="007E5B4E">
        <w:t>s</w:t>
      </w:r>
      <w:r w:rsidRPr="00800B79">
        <w:t>urveillance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647824" w:rsidRDefault="00093F23" w:rsidP="000116C7">
      <w:pPr>
        <w:pStyle w:val="ParaNum"/>
        <w:widowControl/>
        <w:tabs>
          <w:tab w:val="num" w:pos="360"/>
        </w:tabs>
        <w:rPr>
          <w:szCs w:val="22"/>
        </w:rPr>
      </w:pPr>
      <w:r>
        <w:rPr>
          <w:szCs w:val="22"/>
        </w:rPr>
        <w:t>TCBs must be accredited to demonstrate that they comply with the Commission’s TCB qualification criteria based on ISO/IEC Guide 65</w:t>
      </w:r>
      <w:r w:rsidR="004122BC">
        <w:rPr>
          <w:szCs w:val="22"/>
        </w:rPr>
        <w:t>,</w:t>
      </w:r>
      <w:r w:rsidR="004122BC">
        <w:rPr>
          <w:rFonts w:eastAsia="TimesNewRoman"/>
        </w:rPr>
        <w:t xml:space="preserve"> </w:t>
      </w:r>
      <w:r w:rsidR="004122BC" w:rsidRPr="00794291">
        <w:rPr>
          <w:rFonts w:eastAsia="TimesNewRoman"/>
          <w:i/>
        </w:rPr>
        <w:t>General requirements for bodies operating product certification systems</w:t>
      </w:r>
      <w:r>
        <w:rPr>
          <w:szCs w:val="22"/>
        </w:rPr>
        <w:t>.</w:t>
      </w:r>
      <w:r>
        <w:rPr>
          <w:rStyle w:val="FootnoteReference"/>
          <w:szCs w:val="22"/>
        </w:rPr>
        <w:footnoteReference w:id="72"/>
      </w:r>
      <w:r>
        <w:rPr>
          <w:szCs w:val="22"/>
        </w:rPr>
        <w:t xml:space="preserve">  </w:t>
      </w:r>
      <w:r w:rsidR="00595105" w:rsidRPr="00BD6C60">
        <w:rPr>
          <w:szCs w:val="22"/>
        </w:rPr>
        <w:t xml:space="preserve">Section 2.962(g)(2) </w:t>
      </w:r>
      <w:r>
        <w:rPr>
          <w:szCs w:val="22"/>
        </w:rPr>
        <w:t>states that, in accordance with ISO/IEC Guide 65,</w:t>
      </w:r>
      <w:r w:rsidR="00595105" w:rsidRPr="00BD6C60">
        <w:rPr>
          <w:szCs w:val="22"/>
        </w:rPr>
        <w:t xml:space="preserve"> a TCB </w:t>
      </w:r>
      <w:r>
        <w:rPr>
          <w:szCs w:val="22"/>
        </w:rPr>
        <w:t>is required to</w:t>
      </w:r>
      <w:r w:rsidR="00595105" w:rsidRPr="00BD6C60">
        <w:rPr>
          <w:szCs w:val="22"/>
        </w:rPr>
        <w:t xml:space="preserve"> conduct appropriate post</w:t>
      </w:r>
      <w:r w:rsidR="00595105" w:rsidRPr="00BD6C60">
        <w:rPr>
          <w:szCs w:val="22"/>
        </w:rPr>
        <w:noBreakHyphen/>
        <w:t>market surveillance activities</w:t>
      </w:r>
      <w:r w:rsidR="00595105">
        <w:rPr>
          <w:szCs w:val="22"/>
        </w:rPr>
        <w:t xml:space="preserve"> on equipment that it certifies</w:t>
      </w:r>
      <w:r w:rsidR="00595105" w:rsidRPr="00BD6C60">
        <w:rPr>
          <w:szCs w:val="22"/>
        </w:rPr>
        <w:t>.</w:t>
      </w:r>
      <w:r w:rsidR="00595105" w:rsidRPr="00BD6C60">
        <w:rPr>
          <w:rStyle w:val="FootnoteReference"/>
          <w:szCs w:val="22"/>
        </w:rPr>
        <w:footnoteReference w:id="73"/>
      </w:r>
      <w:r w:rsidR="00595105" w:rsidRPr="00BD6C60">
        <w:rPr>
          <w:szCs w:val="22"/>
        </w:rPr>
        <w:t xml:space="preserve">  </w:t>
      </w:r>
      <w:r w:rsidR="008A2A8E">
        <w:rPr>
          <w:szCs w:val="22"/>
        </w:rPr>
        <w:t xml:space="preserve">This </w:t>
      </w:r>
      <w:r w:rsidR="009D5F37">
        <w:rPr>
          <w:szCs w:val="22"/>
        </w:rPr>
        <w:lastRenderedPageBreak/>
        <w:t xml:space="preserve">rule </w:t>
      </w:r>
      <w:r w:rsidR="008A2A8E">
        <w:rPr>
          <w:szCs w:val="22"/>
        </w:rPr>
        <w:t>section</w:t>
      </w:r>
      <w:r w:rsidR="00595105">
        <w:rPr>
          <w:szCs w:val="22"/>
        </w:rPr>
        <w:t xml:space="preserve"> require</w:t>
      </w:r>
      <w:r w:rsidR="008A2A8E">
        <w:rPr>
          <w:szCs w:val="22"/>
        </w:rPr>
        <w:t>s</w:t>
      </w:r>
      <w:r w:rsidR="00595105">
        <w:rPr>
          <w:szCs w:val="22"/>
        </w:rPr>
        <w:t xml:space="preserve"> that t</w:t>
      </w:r>
      <w:r w:rsidR="00595105" w:rsidRPr="00BD6C60">
        <w:rPr>
          <w:szCs w:val="22"/>
        </w:rPr>
        <w:t xml:space="preserve">hese activities be based on </w:t>
      </w:r>
      <w:r w:rsidR="00595105">
        <w:rPr>
          <w:szCs w:val="22"/>
        </w:rPr>
        <w:t>“</w:t>
      </w:r>
      <w:r w:rsidR="00595105" w:rsidRPr="00BD6C60">
        <w:rPr>
          <w:szCs w:val="22"/>
        </w:rPr>
        <w:t>type testing</w:t>
      </w:r>
      <w:r w:rsidR="00595105">
        <w:rPr>
          <w:szCs w:val="22"/>
        </w:rPr>
        <w:t>”</w:t>
      </w:r>
      <w:r w:rsidR="00595105" w:rsidRPr="00BD6C60">
        <w:rPr>
          <w:szCs w:val="22"/>
        </w:rPr>
        <w:t xml:space="preserve"> </w:t>
      </w:r>
      <w:r w:rsidR="00595105">
        <w:rPr>
          <w:szCs w:val="22"/>
        </w:rPr>
        <w:t>(</w:t>
      </w:r>
      <w:r w:rsidR="00595105">
        <w:rPr>
          <w:i/>
          <w:szCs w:val="22"/>
        </w:rPr>
        <w:t>i.e.,</w:t>
      </w:r>
      <w:r w:rsidR="00595105">
        <w:rPr>
          <w:szCs w:val="22"/>
        </w:rPr>
        <w:t xml:space="preserve"> sample testing) of </w:t>
      </w:r>
      <w:r w:rsidR="00595105" w:rsidRPr="00BD6C60">
        <w:rPr>
          <w:szCs w:val="22"/>
        </w:rPr>
        <w:t>samples of the product types that the TCB has certified.  Other types of surveillance activities of a product that has been certified are permitted provided they are no more onerous than type testing.</w:t>
      </w:r>
      <w:r w:rsidR="008A2A8E">
        <w:rPr>
          <w:rStyle w:val="FootnoteReference"/>
          <w:szCs w:val="22"/>
        </w:rPr>
        <w:footnoteReference w:id="74"/>
      </w:r>
      <w:r w:rsidR="00595105" w:rsidRPr="00BD6C60">
        <w:rPr>
          <w:szCs w:val="22"/>
        </w:rPr>
        <w:t xml:space="preserve">  </w:t>
      </w:r>
      <w:r w:rsidR="008A2A8E">
        <w:rPr>
          <w:szCs w:val="22"/>
        </w:rPr>
        <w:t xml:space="preserve">This </w:t>
      </w:r>
      <w:r w:rsidR="009D5F37">
        <w:rPr>
          <w:szCs w:val="22"/>
        </w:rPr>
        <w:t xml:space="preserve">rule </w:t>
      </w:r>
      <w:r w:rsidR="008A2A8E">
        <w:rPr>
          <w:szCs w:val="22"/>
        </w:rPr>
        <w:t>section also states that the Commission may at any time request a list of products certified by a certification body and request copies of product evaluation reports.</w:t>
      </w:r>
      <w:r w:rsidR="008A2A8E">
        <w:rPr>
          <w:rStyle w:val="FootnoteReference"/>
          <w:szCs w:val="22"/>
        </w:rPr>
        <w:footnoteReference w:id="75"/>
      </w:r>
      <w:r w:rsidR="008A2A8E">
        <w:rPr>
          <w:szCs w:val="22"/>
        </w:rPr>
        <w:t xml:space="preserve">  In addition, t</w:t>
      </w:r>
      <w:r w:rsidR="008A2A8E" w:rsidRPr="00BD6C60">
        <w:rPr>
          <w:szCs w:val="22"/>
        </w:rPr>
        <w:t>he Commission may request that a TCB perform post-market surveillance of a specific product it has certified.</w:t>
      </w:r>
      <w:r w:rsidR="008A2A8E" w:rsidRPr="00BD6C60">
        <w:rPr>
          <w:rStyle w:val="FootnoteReference"/>
          <w:szCs w:val="22"/>
        </w:rPr>
        <w:footnoteReference w:id="76"/>
      </w:r>
      <w:r w:rsidR="008A2A8E" w:rsidRPr="00BD6C60">
        <w:rPr>
          <w:szCs w:val="22"/>
        </w:rPr>
        <w:t xml:space="preserve">  The Commission </w:t>
      </w:r>
      <w:r w:rsidR="00F73E06">
        <w:rPr>
          <w:szCs w:val="22"/>
        </w:rPr>
        <w:t>has authority to require grantees of certification</w:t>
      </w:r>
      <w:r w:rsidR="008A2A8E" w:rsidRPr="00BD6C60">
        <w:rPr>
          <w:szCs w:val="22"/>
        </w:rPr>
        <w:t xml:space="preserve"> to submit samples for </w:t>
      </w:r>
      <w:r>
        <w:rPr>
          <w:szCs w:val="22"/>
        </w:rPr>
        <w:t>testing</w:t>
      </w:r>
      <w:r w:rsidR="008A2A8E" w:rsidRPr="00BD6C60">
        <w:rPr>
          <w:szCs w:val="22"/>
        </w:rPr>
        <w:t xml:space="preserve"> at the </w:t>
      </w:r>
      <w:r>
        <w:rPr>
          <w:szCs w:val="22"/>
        </w:rPr>
        <w:t>FCC</w:t>
      </w:r>
      <w:r w:rsidR="008A2A8E">
        <w:rPr>
          <w:szCs w:val="22"/>
        </w:rPr>
        <w:t xml:space="preserve"> </w:t>
      </w:r>
      <w:r w:rsidR="008A2A8E" w:rsidRPr="00BD6C60">
        <w:rPr>
          <w:szCs w:val="22"/>
        </w:rPr>
        <w:t>Laboratory</w:t>
      </w:r>
      <w:r w:rsidR="008A2A8E">
        <w:rPr>
          <w:szCs w:val="22"/>
        </w:rPr>
        <w:t xml:space="preserve">, but there is no </w:t>
      </w:r>
      <w:r w:rsidR="00244376">
        <w:rPr>
          <w:szCs w:val="22"/>
        </w:rPr>
        <w:t>rule that specifically states that</w:t>
      </w:r>
      <w:r w:rsidR="008A2A8E">
        <w:rPr>
          <w:szCs w:val="22"/>
        </w:rPr>
        <w:t xml:space="preserve"> a TCB </w:t>
      </w:r>
      <w:r w:rsidR="00244376">
        <w:rPr>
          <w:szCs w:val="22"/>
        </w:rPr>
        <w:t>may</w:t>
      </w:r>
      <w:r w:rsidR="008A2A8E">
        <w:rPr>
          <w:szCs w:val="22"/>
        </w:rPr>
        <w:t xml:space="preserve"> request samples </w:t>
      </w:r>
      <w:r w:rsidR="00F73E06">
        <w:rPr>
          <w:szCs w:val="22"/>
        </w:rPr>
        <w:t xml:space="preserve">directly </w:t>
      </w:r>
      <w:r w:rsidR="008A2A8E">
        <w:rPr>
          <w:szCs w:val="22"/>
        </w:rPr>
        <w:t>from the grantee of certification</w:t>
      </w:r>
      <w:r w:rsidR="008A2A8E" w:rsidRPr="00BD6C60">
        <w:rPr>
          <w:szCs w:val="22"/>
        </w:rPr>
        <w:t>.</w:t>
      </w:r>
      <w:r w:rsidR="008A2A8E" w:rsidRPr="00BD6C60">
        <w:rPr>
          <w:rStyle w:val="FootnoteReference"/>
          <w:szCs w:val="22"/>
        </w:rPr>
        <w:footnoteReference w:id="77"/>
      </w:r>
      <w:r w:rsidR="008A2A8E" w:rsidRPr="00BD6C60">
        <w:rPr>
          <w:szCs w:val="22"/>
        </w:rPr>
        <w:t xml:space="preserve">  </w:t>
      </w:r>
    </w:p>
    <w:p w:rsidR="00595105" w:rsidRPr="00BD6C60" w:rsidRDefault="00647824" w:rsidP="000116C7">
      <w:pPr>
        <w:pStyle w:val="ParaNum"/>
        <w:widowControl/>
        <w:tabs>
          <w:tab w:val="num" w:pos="360"/>
        </w:tabs>
        <w:rPr>
          <w:szCs w:val="22"/>
        </w:rPr>
      </w:pPr>
      <w:r>
        <w:rPr>
          <w:szCs w:val="22"/>
        </w:rPr>
        <w:t xml:space="preserve">OET has delegated authority </w:t>
      </w:r>
      <w:r w:rsidR="009D5F37">
        <w:rPr>
          <w:szCs w:val="22"/>
        </w:rPr>
        <w:t xml:space="preserve">under the Commission’s rules </w:t>
      </w:r>
      <w:r>
        <w:rPr>
          <w:szCs w:val="22"/>
        </w:rPr>
        <w:t xml:space="preserve">to develop </w:t>
      </w:r>
      <w:r w:rsidR="00093F23">
        <w:rPr>
          <w:szCs w:val="22"/>
        </w:rPr>
        <w:t xml:space="preserve">the </w:t>
      </w:r>
      <w:r>
        <w:rPr>
          <w:szCs w:val="22"/>
        </w:rPr>
        <w:t>procedures that TCBs will use for performing post-market surveillance.</w:t>
      </w:r>
      <w:r>
        <w:rPr>
          <w:rStyle w:val="FootnoteReference"/>
          <w:szCs w:val="22"/>
        </w:rPr>
        <w:footnoteReference w:id="78"/>
      </w:r>
      <w:r>
        <w:rPr>
          <w:szCs w:val="22"/>
        </w:rPr>
        <w:t xml:space="preserve">  OET</w:t>
      </w:r>
      <w:r w:rsidR="00595105" w:rsidRPr="00BD6C60">
        <w:rPr>
          <w:szCs w:val="22"/>
        </w:rPr>
        <w:t xml:space="preserve"> has provided </w:t>
      </w:r>
      <w:r w:rsidR="00093F23">
        <w:rPr>
          <w:szCs w:val="22"/>
        </w:rPr>
        <w:t>information</w:t>
      </w:r>
      <w:r w:rsidR="00595105" w:rsidRPr="00BD6C60">
        <w:rPr>
          <w:szCs w:val="22"/>
        </w:rPr>
        <w:t xml:space="preserve"> </w:t>
      </w:r>
      <w:r w:rsidR="00595105">
        <w:rPr>
          <w:szCs w:val="22"/>
        </w:rPr>
        <w:t xml:space="preserve">to TCBs </w:t>
      </w:r>
      <w:r w:rsidR="00F73E06">
        <w:rPr>
          <w:szCs w:val="22"/>
        </w:rPr>
        <w:t>on</w:t>
      </w:r>
      <w:r w:rsidR="00F73E06" w:rsidRPr="00BD6C60">
        <w:rPr>
          <w:szCs w:val="22"/>
        </w:rPr>
        <w:t xml:space="preserve"> performing post</w:t>
      </w:r>
      <w:r w:rsidR="00F73E06" w:rsidRPr="00BD6C60">
        <w:rPr>
          <w:szCs w:val="22"/>
        </w:rPr>
        <w:noBreakHyphen/>
        <w:t xml:space="preserve">market surveillance </w:t>
      </w:r>
      <w:r w:rsidR="00595105" w:rsidRPr="00BD6C60">
        <w:rPr>
          <w:szCs w:val="22"/>
        </w:rPr>
        <w:t>in KDB Publication No. 610077.</w:t>
      </w:r>
      <w:r w:rsidRPr="00647824">
        <w:rPr>
          <w:rStyle w:val="FootnoteReference"/>
          <w:szCs w:val="22"/>
        </w:rPr>
        <w:t xml:space="preserve"> </w:t>
      </w:r>
      <w:r w:rsidRPr="00BD6C60">
        <w:rPr>
          <w:rStyle w:val="FootnoteReference"/>
          <w:szCs w:val="22"/>
        </w:rPr>
        <w:footnoteReference w:id="79"/>
      </w:r>
      <w:r w:rsidR="00595105" w:rsidRPr="00BD6C60">
        <w:rPr>
          <w:szCs w:val="22"/>
        </w:rPr>
        <w:t xml:space="preserve">  </w:t>
      </w:r>
      <w:r w:rsidR="00BB7B75">
        <w:rPr>
          <w:szCs w:val="22"/>
        </w:rPr>
        <w:t xml:space="preserve">This publication requires TCBs to develop a sample test plan and describes the criteria TCBs must use in selecting samples.  </w:t>
      </w:r>
      <w:r w:rsidR="00595105" w:rsidRPr="00BD6C60">
        <w:rPr>
          <w:szCs w:val="22"/>
        </w:rPr>
        <w:t xml:space="preserve">TCBs </w:t>
      </w:r>
      <w:r w:rsidR="00F73E06">
        <w:rPr>
          <w:szCs w:val="22"/>
        </w:rPr>
        <w:t>must</w:t>
      </w:r>
      <w:r w:rsidR="00595105" w:rsidRPr="00BD6C60">
        <w:rPr>
          <w:szCs w:val="22"/>
        </w:rPr>
        <w:t xml:space="preserve"> perform post-market surveillance testing on </w:t>
      </w:r>
      <w:r w:rsidR="00690577">
        <w:rPr>
          <w:szCs w:val="22"/>
        </w:rPr>
        <w:t xml:space="preserve">at least </w:t>
      </w:r>
      <w:r w:rsidR="00D343C0">
        <w:rPr>
          <w:szCs w:val="22"/>
        </w:rPr>
        <w:t>five</w:t>
      </w:r>
      <w:r w:rsidR="00595105" w:rsidRPr="00BD6C60">
        <w:rPr>
          <w:szCs w:val="22"/>
        </w:rPr>
        <w:t xml:space="preserve"> percent of the products that they certify each year</w:t>
      </w:r>
      <w:r w:rsidR="00BB7B75">
        <w:rPr>
          <w:szCs w:val="22"/>
        </w:rPr>
        <w:t>.  This publication also describes how TCBs should obtain and evaluate samples and requires that they</w:t>
      </w:r>
      <w:r w:rsidR="00595105" w:rsidRPr="00BD6C60">
        <w:rPr>
          <w:szCs w:val="22"/>
        </w:rPr>
        <w:t xml:space="preserve"> submit a report </w:t>
      </w:r>
      <w:r w:rsidR="00BB7B75">
        <w:rPr>
          <w:szCs w:val="22"/>
        </w:rPr>
        <w:t>o</w:t>
      </w:r>
      <w:r w:rsidR="00595105" w:rsidRPr="00BD6C60">
        <w:rPr>
          <w:szCs w:val="22"/>
        </w:rPr>
        <w:t>n their finding</w:t>
      </w:r>
      <w:r w:rsidR="00595105">
        <w:rPr>
          <w:szCs w:val="22"/>
        </w:rPr>
        <w:t>s</w:t>
      </w:r>
      <w:r w:rsidR="00BB7B75">
        <w:rPr>
          <w:szCs w:val="22"/>
        </w:rPr>
        <w:t xml:space="preserve"> to OET</w:t>
      </w:r>
      <w:r w:rsidR="00595105" w:rsidRPr="00BD6C60">
        <w:rPr>
          <w:szCs w:val="22"/>
        </w:rPr>
        <w:t xml:space="preserve">.  </w:t>
      </w:r>
    </w:p>
    <w:p w:rsidR="00302901" w:rsidRDefault="00595105" w:rsidP="000116C7">
      <w:pPr>
        <w:pStyle w:val="ParaNum"/>
        <w:widowControl/>
        <w:tabs>
          <w:tab w:val="num" w:pos="360"/>
        </w:tabs>
        <w:rPr>
          <w:rStyle w:val="StyleParaNumItalicChar"/>
          <w:i w:val="0"/>
        </w:rPr>
      </w:pPr>
      <w:r w:rsidRPr="00C06792">
        <w:rPr>
          <w:rStyle w:val="StyleParaNumItalicChar"/>
        </w:rPr>
        <w:t>Proposa</w:t>
      </w:r>
      <w:r>
        <w:rPr>
          <w:rStyle w:val="StyleParaNumItalicChar"/>
        </w:rPr>
        <w:t>l</w:t>
      </w:r>
      <w:r w:rsidRPr="00C06792">
        <w:rPr>
          <w:rStyle w:val="StyleParaNumItalicChar"/>
        </w:rPr>
        <w:t>s.</w:t>
      </w:r>
      <w:r w:rsidRPr="00BD6C60">
        <w:rPr>
          <w:szCs w:val="22"/>
        </w:rPr>
        <w:t xml:space="preserve">  </w:t>
      </w:r>
      <w:r w:rsidR="00647824">
        <w:rPr>
          <w:szCs w:val="22"/>
        </w:rPr>
        <w:t xml:space="preserve">We propose to </w:t>
      </w:r>
      <w:r w:rsidR="000D586D">
        <w:rPr>
          <w:szCs w:val="22"/>
        </w:rPr>
        <w:t>modify the rules on post-market surveillance to more clearly define the responsibilities of TCBs</w:t>
      </w:r>
      <w:r w:rsidR="00647824">
        <w:rPr>
          <w:szCs w:val="22"/>
        </w:rPr>
        <w:t xml:space="preserve">.  </w:t>
      </w:r>
      <w:r w:rsidR="005757D5">
        <w:rPr>
          <w:szCs w:val="22"/>
        </w:rPr>
        <w:t>Specifically</w:t>
      </w:r>
      <w:r w:rsidR="000D586D">
        <w:rPr>
          <w:szCs w:val="22"/>
        </w:rPr>
        <w:t xml:space="preserve">, we propose to </w:t>
      </w:r>
      <w:r w:rsidR="00244376">
        <w:rPr>
          <w:szCs w:val="22"/>
        </w:rPr>
        <w:t>modify Section 2.962 to indicate</w:t>
      </w:r>
      <w:r w:rsidR="000D586D">
        <w:rPr>
          <w:szCs w:val="22"/>
        </w:rPr>
        <w:t xml:space="preserve"> that OET </w:t>
      </w:r>
      <w:r w:rsidR="009E31E4">
        <w:rPr>
          <w:szCs w:val="22"/>
        </w:rPr>
        <w:t>publish</w:t>
      </w:r>
      <w:r w:rsidR="0051353C">
        <w:rPr>
          <w:szCs w:val="22"/>
        </w:rPr>
        <w:t>es</w:t>
      </w:r>
      <w:r w:rsidR="009E31E4">
        <w:rPr>
          <w:szCs w:val="22"/>
        </w:rPr>
        <w:t xml:space="preserve"> a KDB on</w:t>
      </w:r>
      <w:r w:rsidR="000D586D">
        <w:rPr>
          <w:szCs w:val="22"/>
        </w:rPr>
        <w:t xml:space="preserve"> TCB </w:t>
      </w:r>
      <w:r w:rsidR="00647824">
        <w:rPr>
          <w:rStyle w:val="StyleParaNumItalicChar"/>
          <w:i w:val="0"/>
        </w:rPr>
        <w:t>post-market surveillance requirements</w:t>
      </w:r>
      <w:r w:rsidR="00244376">
        <w:rPr>
          <w:rStyle w:val="StyleParaNumItalicChar"/>
          <w:i w:val="0"/>
        </w:rPr>
        <w:t>,</w:t>
      </w:r>
      <w:r w:rsidR="000D586D">
        <w:rPr>
          <w:rStyle w:val="StyleParaNumItalicChar"/>
          <w:i w:val="0"/>
        </w:rPr>
        <w:t xml:space="preserve"> and that this document provide</w:t>
      </w:r>
      <w:r w:rsidR="006D3C65">
        <w:rPr>
          <w:rStyle w:val="StyleParaNumItalicChar"/>
          <w:i w:val="0"/>
        </w:rPr>
        <w:t>s</w:t>
      </w:r>
      <w:r w:rsidR="000D586D">
        <w:rPr>
          <w:rStyle w:val="StyleParaNumItalicChar"/>
          <w:i w:val="0"/>
        </w:rPr>
        <w:t xml:space="preserve"> specific information such as the number and types of samples that a TCB must test.  </w:t>
      </w:r>
      <w:r w:rsidR="005757D5">
        <w:rPr>
          <w:rStyle w:val="StyleParaNumItalicChar"/>
          <w:i w:val="0"/>
        </w:rPr>
        <w:t xml:space="preserve">We also </w:t>
      </w:r>
      <w:r w:rsidR="00F64081">
        <w:rPr>
          <w:rStyle w:val="StyleParaNumItalicChar"/>
          <w:i w:val="0"/>
        </w:rPr>
        <w:t xml:space="preserve">propose to provide TCBs with </w:t>
      </w:r>
      <w:r w:rsidR="00244376">
        <w:rPr>
          <w:rStyle w:val="StyleParaNumItalicChar"/>
          <w:i w:val="0"/>
        </w:rPr>
        <w:t>clear</w:t>
      </w:r>
      <w:r w:rsidR="00F64081">
        <w:rPr>
          <w:rStyle w:val="StyleParaNumItalicChar"/>
          <w:i w:val="0"/>
        </w:rPr>
        <w:t xml:space="preserve"> authority to request samples of equipment </w:t>
      </w:r>
      <w:r w:rsidR="005757D5">
        <w:rPr>
          <w:rStyle w:val="StyleParaNumItalicChar"/>
          <w:i w:val="0"/>
        </w:rPr>
        <w:t xml:space="preserve">that </w:t>
      </w:r>
      <w:r w:rsidR="00F64081">
        <w:rPr>
          <w:rStyle w:val="StyleParaNumItalicChar"/>
          <w:i w:val="0"/>
        </w:rPr>
        <w:t xml:space="preserve">they have certified directly from the grantee of certification.  In this regard, we note that there are currently </w:t>
      </w:r>
      <w:r w:rsidR="002B2BC2">
        <w:rPr>
          <w:rStyle w:val="StyleParaNumItalicChar"/>
          <w:i w:val="0"/>
        </w:rPr>
        <w:t>six</w:t>
      </w:r>
      <w:r w:rsidR="00F64081">
        <w:rPr>
          <w:rStyle w:val="StyleParaNumItalicChar"/>
          <w:i w:val="0"/>
        </w:rPr>
        <w:t xml:space="preserve"> different sections in Part 2 of the rules that address the submission of equipment samples for testing, so we are proposing to </w:t>
      </w:r>
      <w:r w:rsidR="00761E31">
        <w:rPr>
          <w:rStyle w:val="StyleParaNumItalicChar"/>
          <w:i w:val="0"/>
        </w:rPr>
        <w:t>merge</w:t>
      </w:r>
      <w:r w:rsidR="005757D5">
        <w:rPr>
          <w:rStyle w:val="StyleParaNumItalicChar"/>
          <w:i w:val="0"/>
        </w:rPr>
        <w:t xml:space="preserve"> these </w:t>
      </w:r>
      <w:r w:rsidR="00082E98">
        <w:rPr>
          <w:rStyle w:val="StyleParaNumItalicChar"/>
          <w:i w:val="0"/>
        </w:rPr>
        <w:t>and create</w:t>
      </w:r>
      <w:r w:rsidR="005757D5">
        <w:rPr>
          <w:rStyle w:val="StyleParaNumItalicChar"/>
          <w:i w:val="0"/>
        </w:rPr>
        <w:t xml:space="preserve"> </w:t>
      </w:r>
      <w:r w:rsidR="00082E98">
        <w:rPr>
          <w:rStyle w:val="StyleParaNumItalicChar"/>
          <w:i w:val="0"/>
        </w:rPr>
        <w:t>a single</w:t>
      </w:r>
      <w:r w:rsidR="005757D5">
        <w:rPr>
          <w:rStyle w:val="StyleParaNumItalicChar"/>
          <w:i w:val="0"/>
        </w:rPr>
        <w:t xml:space="preserve"> </w:t>
      </w:r>
      <w:r w:rsidR="00F64081">
        <w:rPr>
          <w:rStyle w:val="StyleParaNumItalicChar"/>
          <w:i w:val="0"/>
        </w:rPr>
        <w:t>rule section</w:t>
      </w:r>
      <w:r w:rsidR="005757D5">
        <w:rPr>
          <w:rStyle w:val="StyleParaNumItalicChar"/>
          <w:i w:val="0"/>
        </w:rPr>
        <w:t xml:space="preserve"> that addresses equipment sample requests</w:t>
      </w:r>
      <w:r w:rsidR="00F64081">
        <w:rPr>
          <w:rStyle w:val="StyleParaNumItalicChar"/>
          <w:i w:val="0"/>
        </w:rPr>
        <w:t>.</w:t>
      </w:r>
      <w:r w:rsidR="00F64081">
        <w:rPr>
          <w:rStyle w:val="FootnoteReference"/>
          <w:iCs/>
        </w:rPr>
        <w:footnoteReference w:id="80"/>
      </w:r>
      <w:r w:rsidR="00F64081">
        <w:rPr>
          <w:rStyle w:val="StyleParaNumItalicChar"/>
          <w:i w:val="0"/>
        </w:rPr>
        <w:t xml:space="preserve">  </w:t>
      </w:r>
    </w:p>
    <w:p w:rsidR="009E31E4" w:rsidRDefault="00342B58" w:rsidP="000116C7">
      <w:pPr>
        <w:pStyle w:val="ParaNum"/>
        <w:widowControl/>
        <w:tabs>
          <w:tab w:val="num" w:pos="360"/>
        </w:tabs>
        <w:rPr>
          <w:rStyle w:val="StyleParaNumItalicChar"/>
          <w:i w:val="0"/>
        </w:rPr>
      </w:pPr>
      <w:r>
        <w:rPr>
          <w:rStyle w:val="StyleParaNumItalicChar"/>
          <w:i w:val="0"/>
        </w:rPr>
        <w:t>O</w:t>
      </w:r>
      <w:r w:rsidR="00302901">
        <w:rPr>
          <w:rStyle w:val="StyleParaNumItalicChar"/>
          <w:i w:val="0"/>
        </w:rPr>
        <w:t>ET</w:t>
      </w:r>
      <w:r w:rsidR="005757D5">
        <w:rPr>
          <w:rStyle w:val="StyleParaNumItalicChar"/>
          <w:i w:val="0"/>
        </w:rPr>
        <w:t xml:space="preserve"> may </w:t>
      </w:r>
      <w:r>
        <w:rPr>
          <w:rStyle w:val="StyleParaNumItalicChar"/>
          <w:i w:val="0"/>
        </w:rPr>
        <w:t>want TCBs</w:t>
      </w:r>
      <w:r w:rsidR="005757D5">
        <w:rPr>
          <w:rStyle w:val="StyleParaNumItalicChar"/>
          <w:i w:val="0"/>
        </w:rPr>
        <w:t xml:space="preserve"> to perform post-market surveillance on </w:t>
      </w:r>
      <w:r>
        <w:rPr>
          <w:rStyle w:val="StyleParaNumItalicChar"/>
          <w:i w:val="0"/>
        </w:rPr>
        <w:t xml:space="preserve">specific </w:t>
      </w:r>
      <w:r w:rsidR="005757D5">
        <w:rPr>
          <w:rStyle w:val="StyleParaNumItalicChar"/>
          <w:i w:val="0"/>
        </w:rPr>
        <w:t>devices or categories of equipment</w:t>
      </w:r>
      <w:r>
        <w:rPr>
          <w:rStyle w:val="StyleParaNumItalicChar"/>
          <w:i w:val="0"/>
        </w:rPr>
        <w:t xml:space="preserve"> due to concerns about </w:t>
      </w:r>
      <w:r w:rsidR="00302901">
        <w:rPr>
          <w:rStyle w:val="StyleParaNumItalicChar"/>
          <w:i w:val="0"/>
        </w:rPr>
        <w:t>interference or</w:t>
      </w:r>
      <w:r>
        <w:rPr>
          <w:rStyle w:val="StyleParaNumItalicChar"/>
          <w:i w:val="0"/>
        </w:rPr>
        <w:t xml:space="preserve"> </w:t>
      </w:r>
      <w:r w:rsidR="00E83F9D">
        <w:rPr>
          <w:rStyle w:val="StyleParaNumItalicChar"/>
          <w:i w:val="0"/>
        </w:rPr>
        <w:t xml:space="preserve">equipment </w:t>
      </w:r>
      <w:r>
        <w:rPr>
          <w:rStyle w:val="StyleParaNumItalicChar"/>
          <w:i w:val="0"/>
        </w:rPr>
        <w:t xml:space="preserve">non-compliance.  In such cases, </w:t>
      </w:r>
      <w:r w:rsidR="00302901">
        <w:rPr>
          <w:rStyle w:val="StyleParaNumItalicChar"/>
          <w:i w:val="0"/>
        </w:rPr>
        <w:t xml:space="preserve">we propose that OET would send a sample request directly to the grantee of certification and request that the grantee submit the sample directly to the TCB that </w:t>
      </w:r>
      <w:r w:rsidR="000D586D">
        <w:rPr>
          <w:szCs w:val="22"/>
        </w:rPr>
        <w:t>performed the original certification for evaluation</w:t>
      </w:r>
      <w:r w:rsidR="000D586D" w:rsidRPr="00BD6C60">
        <w:rPr>
          <w:szCs w:val="22"/>
        </w:rPr>
        <w:t xml:space="preserve">.  </w:t>
      </w:r>
      <w:r w:rsidR="007F6D92">
        <w:rPr>
          <w:szCs w:val="22"/>
        </w:rPr>
        <w:t xml:space="preserve">OET </w:t>
      </w:r>
      <w:r w:rsidR="00C847EC">
        <w:rPr>
          <w:szCs w:val="22"/>
        </w:rPr>
        <w:t>will also notify the TCB that we have requested that the grantee submit a sample</w:t>
      </w:r>
      <w:r w:rsidR="000B15C5">
        <w:rPr>
          <w:szCs w:val="22"/>
        </w:rPr>
        <w:t>,</w:t>
      </w:r>
      <w:r w:rsidR="00C847EC">
        <w:rPr>
          <w:szCs w:val="22"/>
        </w:rPr>
        <w:t xml:space="preserve"> and that the TCB must test </w:t>
      </w:r>
      <w:r w:rsidR="000B15C5">
        <w:rPr>
          <w:szCs w:val="22"/>
        </w:rPr>
        <w:t>the</w:t>
      </w:r>
      <w:r w:rsidR="00C847EC">
        <w:rPr>
          <w:szCs w:val="22"/>
        </w:rPr>
        <w:t xml:space="preserve"> device.  </w:t>
      </w:r>
      <w:r w:rsidR="000D586D" w:rsidRPr="00BD6C60">
        <w:rPr>
          <w:szCs w:val="22"/>
        </w:rPr>
        <w:t xml:space="preserve">Any equipment samples requested by the Commission for testing by a TCB would be included in the minimum required post-market surveillance testing by the TCB.  </w:t>
      </w:r>
      <w:r w:rsidR="00302901">
        <w:rPr>
          <w:szCs w:val="22"/>
        </w:rPr>
        <w:t xml:space="preserve">We also propose that </w:t>
      </w:r>
      <w:r w:rsidR="00467C7B">
        <w:rPr>
          <w:szCs w:val="22"/>
        </w:rPr>
        <w:t xml:space="preserve">failure of </w:t>
      </w:r>
      <w:r w:rsidR="00302901">
        <w:rPr>
          <w:rStyle w:val="StyleParaNumItalicChar"/>
          <w:i w:val="0"/>
        </w:rPr>
        <w:t xml:space="preserve">a grantee to submit a sample to a TCB within 21 days </w:t>
      </w:r>
      <w:r w:rsidR="00467C7B">
        <w:rPr>
          <w:rStyle w:val="StyleParaNumItalicChar"/>
          <w:i w:val="0"/>
        </w:rPr>
        <w:t>may be cause for the Commission to take actions</w:t>
      </w:r>
      <w:r w:rsidR="00467C7B" w:rsidRPr="00467C7B">
        <w:rPr>
          <w:rStyle w:val="StyleParaNumItalicChar"/>
          <w:i w:val="0"/>
        </w:rPr>
        <w:t xml:space="preserve"> such as suspending action on </w:t>
      </w:r>
      <w:r w:rsidR="000F0433">
        <w:rPr>
          <w:rStyle w:val="StyleParaNumItalicChar"/>
          <w:i w:val="0"/>
        </w:rPr>
        <w:t xml:space="preserve">other </w:t>
      </w:r>
      <w:r w:rsidR="00467C7B" w:rsidRPr="00467C7B">
        <w:rPr>
          <w:rStyle w:val="StyleParaNumItalicChar"/>
          <w:i w:val="0"/>
        </w:rPr>
        <w:t xml:space="preserve">applications for equipment authorization submitted by </w:t>
      </w:r>
      <w:r w:rsidR="00467C7B">
        <w:rPr>
          <w:rStyle w:val="StyleParaNumItalicChar"/>
          <w:i w:val="0"/>
        </w:rPr>
        <w:t>that</w:t>
      </w:r>
      <w:r w:rsidR="00467C7B" w:rsidRPr="00467C7B">
        <w:rPr>
          <w:rStyle w:val="StyleParaNumItalicChar"/>
          <w:i w:val="0"/>
        </w:rPr>
        <w:t xml:space="preserve"> </w:t>
      </w:r>
      <w:r w:rsidR="00467C7B" w:rsidRPr="00467C7B">
        <w:rPr>
          <w:rStyle w:val="StyleParaNumItalicChar"/>
          <w:i w:val="0"/>
        </w:rPr>
        <w:lastRenderedPageBreak/>
        <w:t xml:space="preserve">grantee or </w:t>
      </w:r>
      <w:r w:rsidR="00467C7B">
        <w:rPr>
          <w:rStyle w:val="StyleParaNumItalicChar"/>
          <w:i w:val="0"/>
        </w:rPr>
        <w:t xml:space="preserve">issuing monetary </w:t>
      </w:r>
      <w:r w:rsidR="00467C7B" w:rsidRPr="00467C7B">
        <w:rPr>
          <w:rStyle w:val="StyleParaNumItalicChar"/>
          <w:i w:val="0"/>
        </w:rPr>
        <w:t>forfeitures pursuant to §1.80 of this chapter.  The Commission may consider extensions of time upon submission of a showing of good cause.</w:t>
      </w:r>
      <w:r w:rsidR="00302901">
        <w:rPr>
          <w:rStyle w:val="StyleParaNumItalicChar"/>
          <w:i w:val="0"/>
        </w:rPr>
        <w:t xml:space="preserve">  </w:t>
      </w:r>
    </w:p>
    <w:p w:rsidR="00302901" w:rsidRDefault="009E31E4" w:rsidP="000116C7">
      <w:pPr>
        <w:pStyle w:val="ParaNum"/>
        <w:widowControl/>
        <w:tabs>
          <w:tab w:val="num" w:pos="360"/>
        </w:tabs>
        <w:rPr>
          <w:rStyle w:val="StyleParaNumItalicChar"/>
          <w:i w:val="0"/>
        </w:rPr>
      </w:pPr>
      <w:r>
        <w:rPr>
          <w:rStyle w:val="StyleParaNumItalicChar"/>
          <w:i w:val="0"/>
        </w:rPr>
        <w:t xml:space="preserve">We propose that, if the TCB determines that the equipment does not comply with the Commission’s requirements for such devices, the TCB shall immediately notify the grantee and the Commission in writing. </w:t>
      </w:r>
      <w:r w:rsidR="003C02ED">
        <w:rPr>
          <w:rStyle w:val="StyleParaNumItalicChar"/>
          <w:i w:val="0"/>
        </w:rPr>
        <w:t xml:space="preserve"> </w:t>
      </w:r>
      <w:r w:rsidR="00B94267">
        <w:rPr>
          <w:rStyle w:val="StyleParaNumItalicChar"/>
          <w:i w:val="0"/>
        </w:rPr>
        <w:t>We also propose that the grantee must provide the TCB with information on the corrective action that it has taken to bring the equipment into compliance and that t</w:t>
      </w:r>
      <w:r w:rsidR="0023679F">
        <w:rPr>
          <w:rStyle w:val="StyleParaNumItalicChar"/>
          <w:i w:val="0"/>
        </w:rPr>
        <w:t>he TCB</w:t>
      </w:r>
      <w:r>
        <w:rPr>
          <w:rStyle w:val="StyleParaNumItalicChar"/>
          <w:i w:val="0"/>
        </w:rPr>
        <w:t xml:space="preserve"> will have 30 days to </w:t>
      </w:r>
      <w:r w:rsidR="00B94267">
        <w:rPr>
          <w:rStyle w:val="StyleParaNumItalicChar"/>
          <w:i w:val="0"/>
        </w:rPr>
        <w:t xml:space="preserve">submit a </w:t>
      </w:r>
      <w:r>
        <w:rPr>
          <w:rStyle w:val="StyleParaNumItalicChar"/>
          <w:i w:val="0"/>
        </w:rPr>
        <w:t>report</w:t>
      </w:r>
      <w:r w:rsidR="00B94267">
        <w:rPr>
          <w:rStyle w:val="StyleParaNumItalicChar"/>
          <w:i w:val="0"/>
        </w:rPr>
        <w:t xml:space="preserve"> </w:t>
      </w:r>
      <w:r w:rsidR="000B15C5">
        <w:rPr>
          <w:rStyle w:val="StyleParaNumItalicChar"/>
          <w:i w:val="0"/>
        </w:rPr>
        <w:t xml:space="preserve">on </w:t>
      </w:r>
      <w:r w:rsidR="00B94267">
        <w:rPr>
          <w:rStyle w:val="StyleParaNumItalicChar"/>
          <w:i w:val="0"/>
        </w:rPr>
        <w:t>these actions</w:t>
      </w:r>
      <w:r>
        <w:rPr>
          <w:rStyle w:val="StyleParaNumItalicChar"/>
          <w:i w:val="0"/>
        </w:rPr>
        <w:t xml:space="preserve"> to the Commission. </w:t>
      </w:r>
      <w:r w:rsidR="00C847EC">
        <w:rPr>
          <w:rStyle w:val="StyleParaNumItalicChar"/>
          <w:i w:val="0"/>
        </w:rPr>
        <w:t xml:space="preserve"> </w:t>
      </w:r>
      <w:r w:rsidR="00302901">
        <w:rPr>
          <w:rStyle w:val="StyleParaNumItalicChar"/>
          <w:i w:val="0"/>
        </w:rPr>
        <w:t xml:space="preserve">We further propose </w:t>
      </w:r>
      <w:r w:rsidR="003C02ED">
        <w:rPr>
          <w:rStyle w:val="StyleParaNumItalicChar"/>
          <w:i w:val="0"/>
        </w:rPr>
        <w:t xml:space="preserve">to require </w:t>
      </w:r>
      <w:r w:rsidR="00302901">
        <w:rPr>
          <w:rStyle w:val="StyleParaNumItalicChar"/>
          <w:i w:val="0"/>
        </w:rPr>
        <w:t xml:space="preserve">that TCBs submit </w:t>
      </w:r>
      <w:r>
        <w:rPr>
          <w:rStyle w:val="StyleParaNumItalicChar"/>
          <w:i w:val="0"/>
        </w:rPr>
        <w:t xml:space="preserve">periodic </w:t>
      </w:r>
      <w:r w:rsidR="00302901">
        <w:rPr>
          <w:rStyle w:val="StyleParaNumItalicChar"/>
          <w:i w:val="0"/>
        </w:rPr>
        <w:t>report</w:t>
      </w:r>
      <w:r>
        <w:rPr>
          <w:rStyle w:val="StyleParaNumItalicChar"/>
          <w:i w:val="0"/>
        </w:rPr>
        <w:t>s</w:t>
      </w:r>
      <w:r w:rsidR="00302901">
        <w:rPr>
          <w:rStyle w:val="StyleParaNumItalicChar"/>
          <w:i w:val="0"/>
        </w:rPr>
        <w:t xml:space="preserve"> of their post-market surveillance activities</w:t>
      </w:r>
      <w:r w:rsidR="00CA5EB3">
        <w:rPr>
          <w:rStyle w:val="StyleParaNumItalicChar"/>
          <w:i w:val="0"/>
        </w:rPr>
        <w:t xml:space="preserve"> and findings by a date determined by OET, but </w:t>
      </w:r>
      <w:r w:rsidR="00343181">
        <w:rPr>
          <w:rStyle w:val="StyleParaNumItalicChar"/>
          <w:i w:val="0"/>
        </w:rPr>
        <w:t xml:space="preserve">we </w:t>
      </w:r>
      <w:r w:rsidR="00CA5EB3">
        <w:rPr>
          <w:rStyle w:val="StyleParaNumItalicChar"/>
          <w:i w:val="0"/>
        </w:rPr>
        <w:t xml:space="preserve">are not proposing </w:t>
      </w:r>
      <w:r w:rsidR="009072B0">
        <w:rPr>
          <w:rStyle w:val="StyleParaNumItalicChar"/>
          <w:i w:val="0"/>
        </w:rPr>
        <w:t xml:space="preserve">to </w:t>
      </w:r>
      <w:r w:rsidR="00CA5EB3">
        <w:rPr>
          <w:rStyle w:val="StyleParaNumItalicChar"/>
          <w:i w:val="0"/>
        </w:rPr>
        <w:t>specify the date in the rules to provide OET with the flexibility to modify it if necessary</w:t>
      </w:r>
      <w:r w:rsidR="00302901">
        <w:rPr>
          <w:rStyle w:val="StyleParaNumItalicChar"/>
          <w:i w:val="0"/>
        </w:rPr>
        <w:t>.</w:t>
      </w:r>
      <w:r w:rsidR="00CA5EB3">
        <w:rPr>
          <w:rStyle w:val="FootnoteReference"/>
          <w:iCs/>
        </w:rPr>
        <w:footnoteReference w:id="81"/>
      </w:r>
      <w:r w:rsidR="00CA5EB3">
        <w:rPr>
          <w:rStyle w:val="StyleParaNumItalicChar"/>
          <w:i w:val="0"/>
        </w:rPr>
        <w:t xml:space="preserve">  </w:t>
      </w:r>
      <w:r w:rsidR="005D54B6">
        <w:rPr>
          <w:rStyle w:val="StyleParaNumItalicChar"/>
          <w:i w:val="0"/>
        </w:rPr>
        <w:t>We do not expect that these proposals will impose any new costs on TCBs or grantees of certification because TCBs must already perform post-market surveillance testing on at least 5% of the devices they approve, and grantees are already required to supply a test sample upon request.</w:t>
      </w:r>
    </w:p>
    <w:p w:rsidR="00302901" w:rsidRDefault="00302901" w:rsidP="000116C7">
      <w:pPr>
        <w:pStyle w:val="ParaNum"/>
        <w:widowControl/>
        <w:tabs>
          <w:tab w:val="num" w:pos="360"/>
        </w:tabs>
        <w:rPr>
          <w:rStyle w:val="StyleParaNumItalicChar"/>
          <w:i w:val="0"/>
        </w:rPr>
      </w:pPr>
      <w:r>
        <w:rPr>
          <w:szCs w:val="22"/>
        </w:rPr>
        <w:t xml:space="preserve">We seek comment on these proposals.  </w:t>
      </w:r>
      <w:r w:rsidR="00D343C0">
        <w:rPr>
          <w:rStyle w:val="StyleParaNumItalicChar"/>
          <w:i w:val="0"/>
        </w:rPr>
        <w:t xml:space="preserve"> </w:t>
      </w:r>
      <w:r w:rsidR="000B15C5">
        <w:rPr>
          <w:rStyle w:val="StyleParaNumItalicChar"/>
          <w:i w:val="0"/>
        </w:rPr>
        <w:t xml:space="preserve">We also seek comment on </w:t>
      </w:r>
      <w:r w:rsidR="00D343C0">
        <w:rPr>
          <w:rStyle w:val="StyleParaNumItalicChar"/>
          <w:i w:val="0"/>
        </w:rPr>
        <w:t xml:space="preserve">how </w:t>
      </w:r>
      <w:r w:rsidR="009D5F37">
        <w:rPr>
          <w:rStyle w:val="StyleParaNumItalicChar"/>
          <w:i w:val="0"/>
        </w:rPr>
        <w:t xml:space="preserve">we </w:t>
      </w:r>
      <w:r w:rsidR="00D343C0">
        <w:rPr>
          <w:rStyle w:val="StyleParaNumItalicChar"/>
          <w:i w:val="0"/>
        </w:rPr>
        <w:t xml:space="preserve">would coordinate </w:t>
      </w:r>
      <w:r w:rsidR="000B15C5">
        <w:rPr>
          <w:rStyle w:val="StyleParaNumItalicChar"/>
          <w:i w:val="0"/>
        </w:rPr>
        <w:t xml:space="preserve">sample requests </w:t>
      </w:r>
      <w:r w:rsidR="00D343C0">
        <w:rPr>
          <w:rStyle w:val="StyleParaNumItalicChar"/>
          <w:i w:val="0"/>
        </w:rPr>
        <w:t xml:space="preserve">to </w:t>
      </w:r>
      <w:r w:rsidR="000B15C5">
        <w:rPr>
          <w:rStyle w:val="StyleParaNumItalicChar"/>
          <w:i w:val="0"/>
        </w:rPr>
        <w:t xml:space="preserve">ensure that the Commission and TCBs do not </w:t>
      </w:r>
      <w:r w:rsidR="00D343C0">
        <w:rPr>
          <w:rStyle w:val="StyleParaNumItalicChar"/>
          <w:i w:val="0"/>
        </w:rPr>
        <w:t xml:space="preserve">send duplicate requests </w:t>
      </w:r>
      <w:r w:rsidR="000B15C5">
        <w:rPr>
          <w:rStyle w:val="StyleParaNumItalicChar"/>
          <w:i w:val="0"/>
        </w:rPr>
        <w:t xml:space="preserve">for the same device </w:t>
      </w:r>
      <w:r w:rsidR="00D343C0">
        <w:rPr>
          <w:rStyle w:val="StyleParaNumItalicChar"/>
          <w:i w:val="0"/>
        </w:rPr>
        <w:t xml:space="preserve">or requests for </w:t>
      </w:r>
      <w:r w:rsidR="004A7EEA">
        <w:rPr>
          <w:rStyle w:val="StyleParaNumItalicChar"/>
          <w:i w:val="0"/>
        </w:rPr>
        <w:t xml:space="preserve">more </w:t>
      </w:r>
      <w:r w:rsidR="00D343C0">
        <w:rPr>
          <w:rStyle w:val="StyleParaNumItalicChar"/>
          <w:i w:val="0"/>
        </w:rPr>
        <w:t xml:space="preserve">samples </w:t>
      </w:r>
      <w:r w:rsidR="004A7EEA">
        <w:rPr>
          <w:rStyle w:val="StyleParaNumItalicChar"/>
          <w:i w:val="0"/>
        </w:rPr>
        <w:t>than the</w:t>
      </w:r>
      <w:r w:rsidR="00D343C0">
        <w:rPr>
          <w:rStyle w:val="StyleParaNumItalicChar"/>
          <w:i w:val="0"/>
        </w:rPr>
        <w:t xml:space="preserve"> TCB</w:t>
      </w:r>
      <w:r w:rsidR="004A7EEA">
        <w:rPr>
          <w:rStyle w:val="StyleParaNumItalicChar"/>
          <w:i w:val="0"/>
        </w:rPr>
        <w:t xml:space="preserve"> is required to test</w:t>
      </w:r>
      <w:r w:rsidR="000B15C5">
        <w:rPr>
          <w:rStyle w:val="StyleParaNumItalicChar"/>
          <w:i w:val="0"/>
        </w:rPr>
        <w:t>.</w:t>
      </w:r>
      <w:r w:rsidR="00D343C0">
        <w:rPr>
          <w:rStyle w:val="StyleParaNumItalicChar"/>
          <w:i w:val="0"/>
        </w:rPr>
        <w:t xml:space="preserve">  </w:t>
      </w:r>
      <w:r>
        <w:rPr>
          <w:rStyle w:val="StyleParaNumItalicChar"/>
          <w:i w:val="0"/>
        </w:rPr>
        <w:t>We further seek comment on</w:t>
      </w:r>
      <w:r w:rsidRPr="00302901">
        <w:t xml:space="preserve"> </w:t>
      </w:r>
      <w:r>
        <w:rPr>
          <w:rStyle w:val="StyleParaNumItalicChar"/>
          <w:i w:val="0"/>
        </w:rPr>
        <w:t>whether</w:t>
      </w:r>
      <w:r w:rsidRPr="00302901">
        <w:rPr>
          <w:rStyle w:val="StyleParaNumItalicChar"/>
          <w:i w:val="0"/>
        </w:rPr>
        <w:t xml:space="preserve"> there </w:t>
      </w:r>
      <w:r w:rsidR="00244376">
        <w:rPr>
          <w:rStyle w:val="StyleParaNumItalicChar"/>
          <w:i w:val="0"/>
        </w:rPr>
        <w:t xml:space="preserve">should </w:t>
      </w:r>
      <w:r w:rsidRPr="00302901">
        <w:rPr>
          <w:rStyle w:val="StyleParaNumItalicChar"/>
          <w:i w:val="0"/>
        </w:rPr>
        <w:t xml:space="preserve">be </w:t>
      </w:r>
      <w:proofErr w:type="gramStart"/>
      <w:r w:rsidRPr="00302901">
        <w:rPr>
          <w:rStyle w:val="StyleParaNumItalicChar"/>
          <w:i w:val="0"/>
        </w:rPr>
        <w:t>cross-checking</w:t>
      </w:r>
      <w:proofErr w:type="gramEnd"/>
      <w:r w:rsidRPr="00302901">
        <w:rPr>
          <w:rStyle w:val="StyleParaNumItalicChar"/>
          <w:i w:val="0"/>
        </w:rPr>
        <w:t xml:space="preserve"> </w:t>
      </w:r>
      <w:r w:rsidR="007F6D92">
        <w:rPr>
          <w:rStyle w:val="StyleParaNumItalicChar"/>
          <w:i w:val="0"/>
        </w:rPr>
        <w:t>among</w:t>
      </w:r>
      <w:r w:rsidR="007F6D92" w:rsidRPr="00302901">
        <w:rPr>
          <w:rStyle w:val="StyleParaNumItalicChar"/>
          <w:i w:val="0"/>
        </w:rPr>
        <w:t xml:space="preserve"> </w:t>
      </w:r>
      <w:r w:rsidRPr="00302901">
        <w:rPr>
          <w:rStyle w:val="StyleParaNumItalicChar"/>
          <w:i w:val="0"/>
        </w:rPr>
        <w:t xml:space="preserve">TCBs, so </w:t>
      </w:r>
      <w:r>
        <w:rPr>
          <w:rStyle w:val="StyleParaNumItalicChar"/>
          <w:i w:val="0"/>
        </w:rPr>
        <w:t xml:space="preserve">that </w:t>
      </w:r>
      <w:r w:rsidRPr="00302901">
        <w:rPr>
          <w:rStyle w:val="StyleParaNumItalicChar"/>
          <w:i w:val="0"/>
        </w:rPr>
        <w:t xml:space="preserve">a TCB </w:t>
      </w:r>
      <w:r>
        <w:rPr>
          <w:rStyle w:val="StyleParaNumItalicChar"/>
          <w:i w:val="0"/>
        </w:rPr>
        <w:t>would</w:t>
      </w:r>
      <w:r w:rsidRPr="00302901">
        <w:rPr>
          <w:rStyle w:val="StyleParaNumItalicChar"/>
          <w:i w:val="0"/>
        </w:rPr>
        <w:t xml:space="preserve"> test</w:t>
      </w:r>
      <w:r>
        <w:rPr>
          <w:rStyle w:val="StyleParaNumItalicChar"/>
          <w:i w:val="0"/>
        </w:rPr>
        <w:t xml:space="preserve"> some</w:t>
      </w:r>
      <w:r w:rsidRPr="00302901">
        <w:rPr>
          <w:rStyle w:val="StyleParaNumItalicChar"/>
          <w:i w:val="0"/>
        </w:rPr>
        <w:t xml:space="preserve"> equi</w:t>
      </w:r>
      <w:r>
        <w:rPr>
          <w:rStyle w:val="StyleParaNumItalicChar"/>
          <w:i w:val="0"/>
        </w:rPr>
        <w:t xml:space="preserve">pment that another TCB approved.  If so, how would we determine which </w:t>
      </w:r>
      <w:r w:rsidR="007A7F59">
        <w:rPr>
          <w:rStyle w:val="StyleParaNumItalicChar"/>
          <w:i w:val="0"/>
        </w:rPr>
        <w:t xml:space="preserve">sampled </w:t>
      </w:r>
      <w:r>
        <w:rPr>
          <w:rStyle w:val="StyleParaNumItalicChar"/>
          <w:i w:val="0"/>
        </w:rPr>
        <w:t xml:space="preserve">equipment is </w:t>
      </w:r>
      <w:r w:rsidR="007A7F59">
        <w:rPr>
          <w:rStyle w:val="StyleParaNumItalicChar"/>
          <w:i w:val="0"/>
        </w:rPr>
        <w:t xml:space="preserve">to be </w:t>
      </w:r>
      <w:r>
        <w:rPr>
          <w:rStyle w:val="StyleParaNumItalicChar"/>
          <w:i w:val="0"/>
        </w:rPr>
        <w:t xml:space="preserve">tested by </w:t>
      </w:r>
      <w:r w:rsidR="00244376">
        <w:rPr>
          <w:rStyle w:val="StyleParaNumItalicChar"/>
          <w:i w:val="0"/>
        </w:rPr>
        <w:t>which</w:t>
      </w:r>
      <w:r>
        <w:rPr>
          <w:rStyle w:val="StyleParaNumItalicChar"/>
          <w:i w:val="0"/>
        </w:rPr>
        <w:t xml:space="preserve"> TCB?</w:t>
      </w:r>
      <w:r w:rsidR="00C85CF7">
        <w:rPr>
          <w:rStyle w:val="StyleParaNumItalicChar"/>
          <w:i w:val="0"/>
        </w:rPr>
        <w:t xml:space="preserve"> </w:t>
      </w:r>
      <w:r w:rsidR="003C02ED">
        <w:rPr>
          <w:rStyle w:val="StyleParaNumItalicChar"/>
          <w:i w:val="0"/>
        </w:rPr>
        <w:t xml:space="preserve"> </w:t>
      </w:r>
      <w:r w:rsidR="00C85CF7">
        <w:rPr>
          <w:rStyle w:val="StyleParaNumItalicChar"/>
          <w:i w:val="0"/>
        </w:rPr>
        <w:t xml:space="preserve">If </w:t>
      </w:r>
      <w:r w:rsidR="003C02ED">
        <w:rPr>
          <w:rStyle w:val="StyleParaNumItalicChar"/>
          <w:i w:val="0"/>
        </w:rPr>
        <w:t xml:space="preserve">a </w:t>
      </w:r>
      <w:r w:rsidR="007A7F59">
        <w:rPr>
          <w:rStyle w:val="StyleParaNumItalicChar"/>
          <w:i w:val="0"/>
        </w:rPr>
        <w:t xml:space="preserve">TCB is required to test a sample device approved by </w:t>
      </w:r>
      <w:r w:rsidR="00C85CF7">
        <w:rPr>
          <w:rStyle w:val="StyleParaNumItalicChar"/>
          <w:i w:val="0"/>
        </w:rPr>
        <w:t>a</w:t>
      </w:r>
      <w:r w:rsidR="007A7F59">
        <w:rPr>
          <w:rStyle w:val="StyleParaNumItalicChar"/>
          <w:i w:val="0"/>
        </w:rPr>
        <w:t xml:space="preserve"> different</w:t>
      </w:r>
      <w:r w:rsidR="00C85CF7">
        <w:rPr>
          <w:rStyle w:val="StyleParaNumItalicChar"/>
          <w:i w:val="0"/>
        </w:rPr>
        <w:t xml:space="preserve"> TCB</w:t>
      </w:r>
      <w:r w:rsidR="00236A43">
        <w:rPr>
          <w:rStyle w:val="StyleParaNumItalicChar"/>
          <w:i w:val="0"/>
        </w:rPr>
        <w:t>,</w:t>
      </w:r>
      <w:r w:rsidR="00C85CF7">
        <w:rPr>
          <w:rStyle w:val="StyleParaNumItalicChar"/>
          <w:i w:val="0"/>
        </w:rPr>
        <w:t xml:space="preserve"> who should bear the cost of testing and reporting? </w:t>
      </w:r>
      <w:r w:rsidR="004A7EEA">
        <w:rPr>
          <w:rStyle w:val="StyleParaNumItalicChar"/>
          <w:i w:val="0"/>
        </w:rPr>
        <w:t xml:space="preserve"> We also seek comment on ways that the Commission could obtain samples from the </w:t>
      </w:r>
      <w:r w:rsidR="00B1126A">
        <w:rPr>
          <w:rStyle w:val="StyleParaNumItalicChar"/>
          <w:i w:val="0"/>
        </w:rPr>
        <w:t xml:space="preserve">retail </w:t>
      </w:r>
      <w:r w:rsidR="004A7EEA">
        <w:rPr>
          <w:rStyle w:val="StyleParaNumItalicChar"/>
          <w:i w:val="0"/>
        </w:rPr>
        <w:t xml:space="preserve">market that are </w:t>
      </w:r>
      <w:r w:rsidR="00B1126A">
        <w:rPr>
          <w:rStyle w:val="StyleParaNumItalicChar"/>
          <w:i w:val="0"/>
        </w:rPr>
        <w:t>part of the oversight process</w:t>
      </w:r>
      <w:r w:rsidR="004A7EEA">
        <w:rPr>
          <w:rStyle w:val="StyleParaNumItalicChar"/>
          <w:i w:val="0"/>
        </w:rPr>
        <w:t xml:space="preserve">.  For example, could the grantee provide a voucher that the Commission could use to obtain a sample from a retail outlet of its choosing, or could the grantee arrange for the Commission to pick a sample at random from a distributor?  </w:t>
      </w:r>
      <w:r w:rsidR="00AD5280">
        <w:rPr>
          <w:rStyle w:val="StyleParaNumItalicChar"/>
          <w:i w:val="0"/>
        </w:rPr>
        <w:t xml:space="preserve">We note that in some cases, we may need special test software so that we can verify a device’s compliance with the rules.  We seek comment on how we should obtain any special test software for use with unmodified production devices that we obtain from the market.  </w:t>
      </w:r>
      <w:r w:rsidR="005D54B6">
        <w:rPr>
          <w:rStyle w:val="StyleParaNumItalicChar"/>
          <w:i w:val="0"/>
        </w:rPr>
        <w:t>We further seek comment on whether our proposals would impose any new costs on TCBs or grantees, and if so, whether the benefits of our proposals outweigh the costs.</w:t>
      </w:r>
    </w:p>
    <w:p w:rsidR="00595105" w:rsidRPr="003C62C3" w:rsidRDefault="00595105" w:rsidP="000116C7">
      <w:pPr>
        <w:pStyle w:val="Heading3"/>
        <w:widowControl/>
      </w:pPr>
      <w:bookmarkStart w:id="226" w:name="_Toc289272129"/>
      <w:bookmarkStart w:id="227" w:name="_Toc292693326"/>
      <w:bookmarkStart w:id="228" w:name="_Toc292693394"/>
      <w:bookmarkStart w:id="229" w:name="_Toc323028027"/>
      <w:bookmarkStart w:id="230" w:name="_Toc324843294"/>
      <w:bookmarkStart w:id="231" w:name="_Toc324864711"/>
      <w:bookmarkStart w:id="232" w:name="_Toc324929578"/>
      <w:bookmarkStart w:id="233" w:name="_Toc324929702"/>
      <w:bookmarkStart w:id="234" w:name="_Toc325013628"/>
      <w:bookmarkStart w:id="235" w:name="_Toc325013958"/>
      <w:bookmarkStart w:id="236" w:name="_Toc325014166"/>
      <w:bookmarkStart w:id="237" w:name="_Toc325016815"/>
      <w:bookmarkStart w:id="238" w:name="_Toc325030445"/>
      <w:bookmarkStart w:id="239" w:name="_Toc326243795"/>
      <w:bookmarkStart w:id="240" w:name="_Toc326243992"/>
      <w:bookmarkStart w:id="241" w:name="_Toc327450765"/>
      <w:bookmarkStart w:id="242" w:name="_Toc330288213"/>
      <w:bookmarkStart w:id="243" w:name="_Toc330367183"/>
      <w:bookmarkStart w:id="244" w:name="_Toc331420771"/>
      <w:bookmarkStart w:id="245" w:name="_Toc331604651"/>
      <w:bookmarkStart w:id="246" w:name="_Toc332121626"/>
      <w:bookmarkStart w:id="247" w:name="_Toc332204303"/>
      <w:bookmarkStart w:id="248" w:name="_Toc332894806"/>
      <w:bookmarkStart w:id="249" w:name="_Toc333581619"/>
      <w:bookmarkStart w:id="250" w:name="_Toc333936411"/>
      <w:bookmarkStart w:id="251" w:name="_Toc335141620"/>
      <w:bookmarkStart w:id="252" w:name="_Toc335291363"/>
      <w:bookmarkStart w:id="253" w:name="_Toc335291416"/>
      <w:bookmarkStart w:id="254" w:name="_Toc335291476"/>
      <w:bookmarkStart w:id="255" w:name="_Toc335291546"/>
      <w:bookmarkStart w:id="256" w:name="_Toc335291684"/>
      <w:bookmarkStart w:id="257" w:name="_Toc335291736"/>
      <w:bookmarkStart w:id="258" w:name="_Toc335631614"/>
      <w:bookmarkStart w:id="259" w:name="_Toc335632656"/>
      <w:bookmarkStart w:id="260" w:name="_Toc335632728"/>
      <w:bookmarkStart w:id="261" w:name="_Toc337649166"/>
      <w:r w:rsidRPr="003C62C3">
        <w:t>Assessing TCB performance</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0F645E" w:rsidRPr="002E1459" w:rsidRDefault="002E1459" w:rsidP="000116C7">
      <w:pPr>
        <w:pStyle w:val="ParaNum"/>
        <w:widowControl/>
      </w:pPr>
      <w:bookmarkStart w:id="262" w:name="_Ref334710889"/>
      <w:r>
        <w:rPr>
          <w:rFonts w:eastAsia="TimesNewRoman"/>
        </w:rPr>
        <w:t xml:space="preserve">Because we are proposing to allow TCBs to approve all RF equipment </w:t>
      </w:r>
      <w:r w:rsidR="008C3E0C">
        <w:rPr>
          <w:rFonts w:eastAsia="TimesNewRoman"/>
        </w:rPr>
        <w:t>that is subject to</w:t>
      </w:r>
      <w:r>
        <w:rPr>
          <w:rFonts w:eastAsia="TimesNewRoman"/>
        </w:rPr>
        <w:t xml:space="preserve"> certification, it </w:t>
      </w:r>
      <w:r w:rsidR="000F645E">
        <w:rPr>
          <w:rFonts w:eastAsia="TimesNewRoman"/>
        </w:rPr>
        <w:t>will become</w:t>
      </w:r>
      <w:r>
        <w:rPr>
          <w:rFonts w:eastAsia="TimesNewRoman"/>
        </w:rPr>
        <w:t xml:space="preserve"> increasingly important to</w:t>
      </w:r>
      <w:r w:rsidR="000F645E">
        <w:rPr>
          <w:rFonts w:eastAsia="TimesNewRoman"/>
        </w:rPr>
        <w:t xml:space="preserve"> ensure that </w:t>
      </w:r>
      <w:r w:rsidR="009072B0">
        <w:rPr>
          <w:rFonts w:eastAsia="TimesNewRoman"/>
        </w:rPr>
        <w:t xml:space="preserve">recognized </w:t>
      </w:r>
      <w:r w:rsidR="008A53C0">
        <w:rPr>
          <w:rFonts w:eastAsia="TimesNewRoman"/>
        </w:rPr>
        <w:t>TCB</w:t>
      </w:r>
      <w:r w:rsidR="007906AA">
        <w:rPr>
          <w:rFonts w:eastAsia="TimesNewRoman"/>
        </w:rPr>
        <w:t>s</w:t>
      </w:r>
      <w:r w:rsidR="000F645E">
        <w:rPr>
          <w:rFonts w:eastAsia="TimesNewRoman"/>
        </w:rPr>
        <w:t xml:space="preserve"> </w:t>
      </w:r>
      <w:r w:rsidR="008A53C0">
        <w:rPr>
          <w:rFonts w:eastAsia="TimesNewRoman"/>
        </w:rPr>
        <w:t xml:space="preserve">continue to </w:t>
      </w:r>
      <w:r w:rsidR="000F645E">
        <w:rPr>
          <w:rFonts w:eastAsia="TimesNewRoman"/>
        </w:rPr>
        <w:t xml:space="preserve">meet all relevant Commission requirements and </w:t>
      </w:r>
      <w:r w:rsidR="007A758D">
        <w:rPr>
          <w:rFonts w:eastAsia="TimesNewRoman"/>
        </w:rPr>
        <w:t xml:space="preserve">that </w:t>
      </w:r>
      <w:r w:rsidR="004E1C7E">
        <w:rPr>
          <w:rFonts w:eastAsia="TimesNewRoman"/>
        </w:rPr>
        <w:t xml:space="preserve">we minimize the possibility that equipment could be </w:t>
      </w:r>
      <w:r w:rsidR="007F6D92">
        <w:rPr>
          <w:rFonts w:eastAsia="TimesNewRoman"/>
        </w:rPr>
        <w:t>certified without</w:t>
      </w:r>
      <w:r w:rsidR="004E1C7E">
        <w:rPr>
          <w:rFonts w:eastAsia="TimesNewRoman"/>
        </w:rPr>
        <w:t xml:space="preserve"> fully comply</w:t>
      </w:r>
      <w:r w:rsidR="007F6D92">
        <w:rPr>
          <w:rFonts w:eastAsia="TimesNewRoman"/>
        </w:rPr>
        <w:t>ing</w:t>
      </w:r>
      <w:r w:rsidR="004E1C7E">
        <w:rPr>
          <w:rFonts w:eastAsia="TimesNewRoman"/>
        </w:rPr>
        <w:t xml:space="preserve"> with our technical rules</w:t>
      </w:r>
      <w:r w:rsidR="000F645E">
        <w:rPr>
          <w:rFonts w:eastAsia="TimesNewRoman"/>
        </w:rPr>
        <w:t xml:space="preserve">.  For an organization to be </w:t>
      </w:r>
      <w:r w:rsidR="009072B0">
        <w:rPr>
          <w:rFonts w:eastAsia="TimesNewRoman"/>
        </w:rPr>
        <w:t xml:space="preserve">recognized </w:t>
      </w:r>
      <w:r w:rsidR="000F645E">
        <w:rPr>
          <w:rFonts w:eastAsia="TimesNewRoman"/>
        </w:rPr>
        <w:t xml:space="preserve">as a TCB, </w:t>
      </w:r>
      <w:r w:rsidR="007906AA">
        <w:rPr>
          <w:rFonts w:eastAsia="TimesNewRoman"/>
        </w:rPr>
        <w:t xml:space="preserve">the Commission requires </w:t>
      </w:r>
      <w:r w:rsidR="008C3E0C">
        <w:rPr>
          <w:rFonts w:eastAsia="TimesNewRoman"/>
        </w:rPr>
        <w:t xml:space="preserve">that </w:t>
      </w:r>
      <w:r w:rsidR="007906AA">
        <w:rPr>
          <w:rFonts w:eastAsia="TimesNewRoman"/>
        </w:rPr>
        <w:t>it be</w:t>
      </w:r>
      <w:r w:rsidR="000F645E">
        <w:rPr>
          <w:rFonts w:eastAsia="TimesNewRoman"/>
        </w:rPr>
        <w:t xml:space="preserve"> accredited to demonstrate compliance with ISO</w:t>
      </w:r>
      <w:r w:rsidR="0004460D">
        <w:rPr>
          <w:rFonts w:eastAsia="TimesNewRoman"/>
        </w:rPr>
        <w:t>/IEC</w:t>
      </w:r>
      <w:r w:rsidR="000F645E">
        <w:rPr>
          <w:rFonts w:eastAsia="TimesNewRoman"/>
        </w:rPr>
        <w:t xml:space="preserve"> Guide 65 for operating a certification body.  </w:t>
      </w:r>
      <w:r w:rsidR="00236A43">
        <w:t xml:space="preserve">The rules currently provide that </w:t>
      </w:r>
      <w:proofErr w:type="gramStart"/>
      <w:r w:rsidR="00236A43">
        <w:t>TCBs within the United States may be designated by the Commission after demonstrating that they are accredited in accordance with this guide by NIST or its recognized accrediting organization</w:t>
      </w:r>
      <w:proofErr w:type="gramEnd"/>
      <w:r w:rsidR="00236A43">
        <w:t>.</w:t>
      </w:r>
      <w:r w:rsidR="00236A43">
        <w:rPr>
          <w:rStyle w:val="FootnoteReference"/>
        </w:rPr>
        <w:footnoteReference w:id="82"/>
      </w:r>
      <w:r w:rsidR="00236A43">
        <w:t xml:space="preserve">  NIST recognizes ANSI and </w:t>
      </w:r>
      <w:r w:rsidR="00236A43" w:rsidRPr="00C20BCB">
        <w:t>A2LA</w:t>
      </w:r>
      <w:r w:rsidR="00236A43">
        <w:t xml:space="preserve"> to accredit prospective TCBs.  </w:t>
      </w:r>
      <w:r w:rsidR="000F645E">
        <w:rPr>
          <w:rFonts w:eastAsia="TimesNewRoman"/>
        </w:rPr>
        <w:t xml:space="preserve">TCBs outside the United States </w:t>
      </w:r>
      <w:r w:rsidR="008A53C0">
        <w:rPr>
          <w:rFonts w:eastAsia="TimesNewRoman"/>
        </w:rPr>
        <w:t xml:space="preserve">must be accredited </w:t>
      </w:r>
      <w:r w:rsidR="00236A43">
        <w:rPr>
          <w:rFonts w:eastAsia="TimesNewRoman"/>
        </w:rPr>
        <w:t xml:space="preserve">and designated </w:t>
      </w:r>
      <w:r w:rsidR="008A53C0">
        <w:rPr>
          <w:rFonts w:eastAsia="TimesNewRoman"/>
        </w:rPr>
        <w:t>by an authori</w:t>
      </w:r>
      <w:r w:rsidR="007055C6">
        <w:rPr>
          <w:rFonts w:eastAsia="TimesNewRoman"/>
        </w:rPr>
        <w:t>ty</w:t>
      </w:r>
      <w:r w:rsidR="008A53C0">
        <w:rPr>
          <w:rFonts w:eastAsia="TimesNewRoman"/>
        </w:rPr>
        <w:t xml:space="preserve"> recognized under the terms of an MRA</w:t>
      </w:r>
      <w:r w:rsidR="00236A43">
        <w:rPr>
          <w:rFonts w:eastAsia="TimesNewRoman"/>
        </w:rPr>
        <w:t xml:space="preserve">, and </w:t>
      </w:r>
      <w:proofErr w:type="gramStart"/>
      <w:r w:rsidR="00236A43">
        <w:rPr>
          <w:rFonts w:eastAsia="TimesNewRoman"/>
        </w:rPr>
        <w:t xml:space="preserve">their designation </w:t>
      </w:r>
      <w:r w:rsidR="00A960D0">
        <w:rPr>
          <w:rFonts w:eastAsia="TimesNewRoman"/>
        </w:rPr>
        <w:t xml:space="preserve">must be </w:t>
      </w:r>
      <w:r w:rsidR="00236A43">
        <w:rPr>
          <w:rFonts w:eastAsia="TimesNewRoman"/>
        </w:rPr>
        <w:t>recognized by the Commission</w:t>
      </w:r>
      <w:proofErr w:type="gramEnd"/>
      <w:r w:rsidR="008A53C0">
        <w:rPr>
          <w:rFonts w:eastAsia="TimesNewRoman"/>
        </w:rPr>
        <w:t>.</w:t>
      </w:r>
      <w:r w:rsidR="008A53C0">
        <w:rPr>
          <w:rStyle w:val="FootnoteReference"/>
          <w:rFonts w:eastAsia="TimesNewRoman"/>
        </w:rPr>
        <w:footnoteReference w:id="83"/>
      </w:r>
      <w:r w:rsidR="008A53C0">
        <w:rPr>
          <w:rFonts w:eastAsia="TimesNewRoman"/>
        </w:rPr>
        <w:t xml:space="preserve">  In addition, a</w:t>
      </w:r>
      <w:r w:rsidR="000F645E" w:rsidRPr="00847558">
        <w:t xml:space="preserve"> TCB must demonstrate expert knowledge of the regulations for each product type for which </w:t>
      </w:r>
      <w:r w:rsidR="003172DF">
        <w:t>it</w:t>
      </w:r>
      <w:r w:rsidR="000F645E" w:rsidRPr="00847558">
        <w:t xml:space="preserve"> seek</w:t>
      </w:r>
      <w:r w:rsidR="003172DF">
        <w:t>s</w:t>
      </w:r>
      <w:r w:rsidR="000F645E" w:rsidRPr="00847558">
        <w:t xml:space="preserve"> </w:t>
      </w:r>
      <w:r w:rsidR="009072B0">
        <w:t>recognition</w:t>
      </w:r>
      <w:r w:rsidR="000F645E" w:rsidRPr="00847558">
        <w:t xml:space="preserve">; recognize when interpretations of the rules or test procedures are necessary and demonstrate knowledge of how to obtain current and correct interpretations; and participate in </w:t>
      </w:r>
      <w:r w:rsidR="000F645E" w:rsidRPr="00847558">
        <w:lastRenderedPageBreak/>
        <w:t>consultative activities identified by the Commission to establish a common understanding and inte</w:t>
      </w:r>
      <w:r w:rsidR="000F645E">
        <w:t>rpretation of the regulations.</w:t>
      </w:r>
      <w:r w:rsidR="008A53C0">
        <w:rPr>
          <w:rStyle w:val="FootnoteReference"/>
        </w:rPr>
        <w:footnoteReference w:id="84"/>
      </w:r>
      <w:bookmarkEnd w:id="262"/>
      <w:r w:rsidR="005479E5">
        <w:t xml:space="preserve">  A prospective TCB</w:t>
      </w:r>
      <w:r w:rsidR="007F6D92">
        <w:t xml:space="preserve"> must demonstrate its </w:t>
      </w:r>
      <w:r w:rsidR="005479E5">
        <w:t>knowledge and expertise to the organization that performs the accreditation for compliance with ISO</w:t>
      </w:r>
      <w:r w:rsidR="0004460D">
        <w:t>/IEC</w:t>
      </w:r>
      <w:r w:rsidR="005479E5">
        <w:t xml:space="preserve"> Guide 65.  The Commission </w:t>
      </w:r>
      <w:r w:rsidR="00A35399">
        <w:t xml:space="preserve">has </w:t>
      </w:r>
      <w:r w:rsidR="005479E5">
        <w:t xml:space="preserve">prepared a checklist of the subject areas that </w:t>
      </w:r>
      <w:r w:rsidR="00A35399">
        <w:t>accreditors must assess</w:t>
      </w:r>
      <w:r w:rsidR="005479E5">
        <w:t>.</w:t>
      </w:r>
      <w:r w:rsidR="005479E5">
        <w:rPr>
          <w:rStyle w:val="FootnoteReference"/>
        </w:rPr>
        <w:footnoteReference w:id="85"/>
      </w:r>
    </w:p>
    <w:p w:rsidR="00595105" w:rsidRPr="00847558" w:rsidRDefault="004E1C7E" w:rsidP="000116C7">
      <w:pPr>
        <w:pStyle w:val="ParaNum"/>
        <w:widowControl/>
      </w:pPr>
      <w:r>
        <w:rPr>
          <w:rFonts w:eastAsia="TimesNewRoman"/>
        </w:rPr>
        <w:t>If</w:t>
      </w:r>
      <w:r w:rsidRPr="00847558">
        <w:rPr>
          <w:rFonts w:eastAsia="TimesNewRoman"/>
        </w:rPr>
        <w:t xml:space="preserve"> </w:t>
      </w:r>
      <w:r w:rsidR="00595105" w:rsidRPr="00847558">
        <w:rPr>
          <w:rFonts w:eastAsia="TimesNewRoman"/>
        </w:rPr>
        <w:t xml:space="preserve">the Commission has concerns regarding the performance of a TCB, </w:t>
      </w:r>
      <w:r w:rsidR="00847558">
        <w:rPr>
          <w:rFonts w:eastAsia="TimesNewRoman"/>
        </w:rPr>
        <w:t>it may</w:t>
      </w:r>
      <w:r w:rsidR="00595105" w:rsidRPr="00847558">
        <w:rPr>
          <w:rFonts w:eastAsia="TimesNewRoman"/>
        </w:rPr>
        <w:t xml:space="preserve"> initiate action to verify </w:t>
      </w:r>
      <w:r w:rsidR="00305FD5">
        <w:rPr>
          <w:rFonts w:eastAsia="TimesNewRoman"/>
        </w:rPr>
        <w:t>the TCB’s</w:t>
      </w:r>
      <w:r w:rsidR="00595105" w:rsidRPr="00847558">
        <w:rPr>
          <w:rFonts w:eastAsia="TimesNewRoman"/>
        </w:rPr>
        <w:t xml:space="preserve"> </w:t>
      </w:r>
      <w:r>
        <w:rPr>
          <w:rFonts w:eastAsia="TimesNewRoman"/>
        </w:rPr>
        <w:t xml:space="preserve">current </w:t>
      </w:r>
      <w:r w:rsidR="00595105" w:rsidRPr="00847558">
        <w:rPr>
          <w:rFonts w:eastAsia="TimesNewRoman"/>
        </w:rPr>
        <w:t xml:space="preserve">technical competence and conformity with the </w:t>
      </w:r>
      <w:r w:rsidR="00A960D0">
        <w:rPr>
          <w:rFonts w:eastAsia="TimesNewRoman"/>
        </w:rPr>
        <w:t xml:space="preserve">designation and </w:t>
      </w:r>
      <w:r w:rsidR="009072B0">
        <w:rPr>
          <w:rFonts w:eastAsia="TimesNewRoman"/>
        </w:rPr>
        <w:t>recognition</w:t>
      </w:r>
      <w:r w:rsidR="009072B0" w:rsidRPr="00847558">
        <w:rPr>
          <w:rFonts w:eastAsia="TimesNewRoman"/>
        </w:rPr>
        <w:t xml:space="preserve"> </w:t>
      </w:r>
      <w:r w:rsidR="00595105" w:rsidRPr="00847558">
        <w:rPr>
          <w:rFonts w:eastAsia="TimesNewRoman"/>
        </w:rPr>
        <w:t xml:space="preserve">requirements.  </w:t>
      </w:r>
      <w:r w:rsidR="007A758D">
        <w:rPr>
          <w:rFonts w:eastAsia="TimesNewRoman"/>
        </w:rPr>
        <w:t>In particular, t</w:t>
      </w:r>
      <w:r w:rsidR="00595105" w:rsidRPr="00847558">
        <w:rPr>
          <w:rFonts w:eastAsia="TimesNewRoman"/>
        </w:rPr>
        <w:t xml:space="preserve">he rules </w:t>
      </w:r>
      <w:r>
        <w:rPr>
          <w:rFonts w:eastAsia="TimesNewRoman"/>
        </w:rPr>
        <w:t>state that</w:t>
      </w:r>
      <w:r w:rsidRPr="00847558">
        <w:rPr>
          <w:rFonts w:eastAsia="TimesNewRoman"/>
        </w:rPr>
        <w:t xml:space="preserve"> </w:t>
      </w:r>
      <w:r w:rsidR="00595105" w:rsidRPr="00847558">
        <w:rPr>
          <w:rFonts w:eastAsia="TimesNewRoman"/>
        </w:rPr>
        <w:t xml:space="preserve">the </w:t>
      </w:r>
      <w:r w:rsidR="00595105" w:rsidRPr="00847558">
        <w:t xml:space="preserve">Commission </w:t>
      </w:r>
      <w:r>
        <w:t>will</w:t>
      </w:r>
      <w:r w:rsidRPr="00847558">
        <w:t xml:space="preserve"> </w:t>
      </w:r>
      <w:r w:rsidR="00595105" w:rsidRPr="00847558">
        <w:t xml:space="preserve">withdraw </w:t>
      </w:r>
      <w:r w:rsidR="00A960D0">
        <w:t>designation</w:t>
      </w:r>
      <w:r w:rsidR="00A960D0" w:rsidRPr="00847558">
        <w:t xml:space="preserve"> </w:t>
      </w:r>
      <w:r w:rsidR="00595105" w:rsidRPr="00847558">
        <w:t xml:space="preserve">of a </w:t>
      </w:r>
      <w:r w:rsidR="003172DF">
        <w:t xml:space="preserve">domestic </w:t>
      </w:r>
      <w:r w:rsidR="00595105" w:rsidRPr="00847558">
        <w:t xml:space="preserve">TCB if the TCB's accreditation is withdrawn, if the Commission determines there is just cause for withdrawing </w:t>
      </w:r>
      <w:r w:rsidR="00A960D0">
        <w:t>the designation</w:t>
      </w:r>
      <w:r w:rsidR="00595105" w:rsidRPr="00847558">
        <w:t xml:space="preserve">, or if the TCB no longer wants the </w:t>
      </w:r>
      <w:r w:rsidR="00A960D0">
        <w:t>designation</w:t>
      </w:r>
      <w:r w:rsidR="00595105" w:rsidRPr="00847558">
        <w:t xml:space="preserve">.  The </w:t>
      </w:r>
      <w:r w:rsidR="00B077C3">
        <w:t xml:space="preserve">rules state that the </w:t>
      </w:r>
      <w:r w:rsidR="00595105" w:rsidRPr="00847558">
        <w:t xml:space="preserve">Commission will provide a </w:t>
      </w:r>
      <w:r w:rsidR="007906AA">
        <w:t xml:space="preserve">domestic </w:t>
      </w:r>
      <w:r w:rsidR="00595105" w:rsidRPr="00847558">
        <w:t xml:space="preserve">TCB with </w:t>
      </w:r>
      <w:r w:rsidR="007906AA">
        <w:t xml:space="preserve">a </w:t>
      </w:r>
      <w:r w:rsidR="00595105" w:rsidRPr="00847558">
        <w:t>30</w:t>
      </w:r>
      <w:r w:rsidR="00595105" w:rsidRPr="00847558">
        <w:noBreakHyphen/>
        <w:t xml:space="preserve">day notice of its intention to withdraw </w:t>
      </w:r>
      <w:r w:rsidR="007906AA">
        <w:t>the TCB’s</w:t>
      </w:r>
      <w:r w:rsidR="00595105" w:rsidRPr="00847558">
        <w:t xml:space="preserve"> </w:t>
      </w:r>
      <w:r w:rsidR="00A960D0">
        <w:t>designation</w:t>
      </w:r>
      <w:r w:rsidR="00A960D0" w:rsidRPr="00847558">
        <w:t xml:space="preserve"> </w:t>
      </w:r>
      <w:r w:rsidR="00595105" w:rsidRPr="00847558">
        <w:t xml:space="preserve">and provide </w:t>
      </w:r>
      <w:r w:rsidR="007906AA">
        <w:t>it</w:t>
      </w:r>
      <w:r w:rsidR="00595105" w:rsidRPr="00847558">
        <w:t xml:space="preserve"> with an opportunity to respond.</w:t>
      </w:r>
      <w:r w:rsidR="00595105" w:rsidRPr="00847558">
        <w:rPr>
          <w:rStyle w:val="FootnoteReference"/>
          <w:szCs w:val="22"/>
        </w:rPr>
        <w:footnoteReference w:id="86"/>
      </w:r>
      <w:r w:rsidR="003172DF">
        <w:t xml:space="preserve">  </w:t>
      </w:r>
      <w:r w:rsidR="007A758D">
        <w:t xml:space="preserve">In the case of TCBs </w:t>
      </w:r>
      <w:r w:rsidR="009072B0">
        <w:t xml:space="preserve">recognized </w:t>
      </w:r>
      <w:r w:rsidR="007A758D">
        <w:t xml:space="preserve">pursuant to an MRA, each MRA describes a procedure for the Commission to </w:t>
      </w:r>
      <w:r w:rsidR="00104CD7">
        <w:t xml:space="preserve">follow to </w:t>
      </w:r>
      <w:r w:rsidR="007A758D">
        <w:t>challenge a TCB</w:t>
      </w:r>
      <w:r w:rsidR="00CA70B8">
        <w:t>’</w:t>
      </w:r>
      <w:r w:rsidR="007A758D">
        <w:t>s technical competence with the specified designating authority.  The Commission’s rules state that it will provide a TCB</w:t>
      </w:r>
      <w:r w:rsidR="00CA70B8">
        <w:t xml:space="preserve"> </w:t>
      </w:r>
      <w:r w:rsidR="006B2B81">
        <w:t xml:space="preserve">recognized under an MRA </w:t>
      </w:r>
      <w:r w:rsidR="00CA70B8">
        <w:t xml:space="preserve">at least 30 days to respond </w:t>
      </w:r>
      <w:r w:rsidR="007A758D">
        <w:t>in cases of disputes with respect to its designation or recognition and that it will consult with the United States Trade Representative (USTR) as necessary.</w:t>
      </w:r>
      <w:r w:rsidR="007A758D">
        <w:rPr>
          <w:rStyle w:val="FootnoteReference"/>
        </w:rPr>
        <w:footnoteReference w:id="87"/>
      </w:r>
      <w:r w:rsidR="000621A6">
        <w:t xml:space="preserve">  The Commission’s Enforcement Bureau may also investigate cases involving possible misconduct by TCBs and </w:t>
      </w:r>
      <w:r w:rsidR="00B73274">
        <w:t>will</w:t>
      </w:r>
      <w:r w:rsidR="000621A6">
        <w:t xml:space="preserve"> take appropriate actions as required.</w:t>
      </w:r>
    </w:p>
    <w:p w:rsidR="00595105" w:rsidRPr="00847558" w:rsidRDefault="00595105" w:rsidP="000116C7">
      <w:pPr>
        <w:pStyle w:val="ParaNum"/>
        <w:widowControl/>
      </w:pPr>
      <w:bookmarkStart w:id="263" w:name="_Ref334710905"/>
      <w:r w:rsidRPr="00847558">
        <w:t xml:space="preserve">At present, the rules describe </w:t>
      </w:r>
      <w:r w:rsidR="007A758D">
        <w:t xml:space="preserve">procedures only for </w:t>
      </w:r>
      <w:r w:rsidR="00A41B18">
        <w:t>the</w:t>
      </w:r>
      <w:r w:rsidR="007A758D">
        <w:t xml:space="preserve"> </w:t>
      </w:r>
      <w:r w:rsidRPr="00847558">
        <w:t xml:space="preserve">withdrawal of </w:t>
      </w:r>
      <w:r w:rsidR="0065609B">
        <w:t xml:space="preserve">the </w:t>
      </w:r>
      <w:r w:rsidR="00A960D0">
        <w:t xml:space="preserve">designation or </w:t>
      </w:r>
      <w:r w:rsidRPr="00847558">
        <w:t xml:space="preserve">recognition of a TCB </w:t>
      </w:r>
      <w:r w:rsidR="007906AA">
        <w:t>and do not specify any less severe actions that the Commission could take if it has concerns about the performance of a particular TCB</w:t>
      </w:r>
      <w:r w:rsidRPr="00847558">
        <w:t xml:space="preserve">.  </w:t>
      </w:r>
      <w:r w:rsidR="007A758D">
        <w:t>I</w:t>
      </w:r>
      <w:r w:rsidRPr="00847558">
        <w:t xml:space="preserve">f an organization wishes to </w:t>
      </w:r>
      <w:r w:rsidR="0065609B">
        <w:t>reapply to be a</w:t>
      </w:r>
      <w:r w:rsidRPr="00847558">
        <w:t xml:space="preserve"> TCB following withdrawal of </w:t>
      </w:r>
      <w:r w:rsidR="0065609B">
        <w:t>its</w:t>
      </w:r>
      <w:r w:rsidRPr="00847558">
        <w:t xml:space="preserve"> </w:t>
      </w:r>
      <w:r w:rsidR="00A960D0">
        <w:t xml:space="preserve">designation or </w:t>
      </w:r>
      <w:r w:rsidRPr="00847558">
        <w:t xml:space="preserve">recognition, it </w:t>
      </w:r>
      <w:r w:rsidR="0065609B">
        <w:t>must</w:t>
      </w:r>
      <w:r w:rsidRPr="00847558">
        <w:t xml:space="preserve"> </w:t>
      </w:r>
      <w:r w:rsidR="007906AA">
        <w:t>complete</w:t>
      </w:r>
      <w:r w:rsidRPr="00847558">
        <w:t xml:space="preserve"> </w:t>
      </w:r>
      <w:r w:rsidR="00104CD7">
        <w:t>a</w:t>
      </w:r>
      <w:r w:rsidR="007949FA">
        <w:t xml:space="preserve"> </w:t>
      </w:r>
      <w:r w:rsidR="00104CD7">
        <w:t xml:space="preserve">new </w:t>
      </w:r>
      <w:r w:rsidRPr="00847558">
        <w:t xml:space="preserve">evaluation and accreditation </w:t>
      </w:r>
      <w:r w:rsidR="00A41B18">
        <w:t xml:space="preserve">process </w:t>
      </w:r>
      <w:r w:rsidRPr="00847558">
        <w:t xml:space="preserve">to determine if </w:t>
      </w:r>
      <w:r w:rsidR="0065609B">
        <w:t>it</w:t>
      </w:r>
      <w:r w:rsidRPr="00847558">
        <w:t xml:space="preserve"> meet</w:t>
      </w:r>
      <w:r w:rsidR="00104CD7">
        <w:t>s</w:t>
      </w:r>
      <w:r w:rsidRPr="00847558">
        <w:t xml:space="preserve"> the designation criteria, which can be a </w:t>
      </w:r>
      <w:r w:rsidR="006E5A25">
        <w:t xml:space="preserve">lengthy and complex </w:t>
      </w:r>
      <w:r w:rsidR="00104CD7">
        <w:t>process</w:t>
      </w:r>
      <w:r w:rsidR="006E5A25">
        <w:t>.</w:t>
      </w:r>
      <w:r w:rsidR="00A41B18">
        <w:t xml:space="preserve">  </w:t>
      </w:r>
      <w:r w:rsidR="00305FD5">
        <w:t xml:space="preserve">Based on our experience with the TCB program, we have found cases where we have had concerns about a TCB’s performance, but did not believe that revoking its authority to </w:t>
      </w:r>
      <w:r w:rsidR="00104CD7">
        <w:t xml:space="preserve">certify equipment </w:t>
      </w:r>
      <w:r w:rsidR="00305FD5">
        <w:t xml:space="preserve">would be an appropriate remedy.  For example, </w:t>
      </w:r>
      <w:r w:rsidR="00A36006">
        <w:t>such cases could result when</w:t>
      </w:r>
      <w:r w:rsidR="006B2B81">
        <w:t xml:space="preserve"> </w:t>
      </w:r>
      <w:r w:rsidR="00A073F3">
        <w:t>a TCB misinterpret</w:t>
      </w:r>
      <w:r w:rsidR="006B2B81">
        <w:t>ed</w:t>
      </w:r>
      <w:r w:rsidR="00A073F3">
        <w:t xml:space="preserve"> the rules or measurement procedures, fail</w:t>
      </w:r>
      <w:r w:rsidR="006B2B81">
        <w:t>ed</w:t>
      </w:r>
      <w:r w:rsidR="00A073F3">
        <w:t xml:space="preserve"> to familiarize </w:t>
      </w:r>
      <w:proofErr w:type="gramStart"/>
      <w:r w:rsidR="00A073F3">
        <w:t>itself</w:t>
      </w:r>
      <w:proofErr w:type="gramEnd"/>
      <w:r w:rsidR="00A073F3">
        <w:t xml:space="preserve"> with the latest Commission guidance documents, or </w:t>
      </w:r>
      <w:r w:rsidR="006B2B81">
        <w:t xml:space="preserve">did </w:t>
      </w:r>
      <w:r w:rsidR="00A073F3">
        <w:t>not realiz</w:t>
      </w:r>
      <w:r w:rsidR="006B2B81">
        <w:t>e</w:t>
      </w:r>
      <w:r w:rsidR="00A073F3">
        <w:t xml:space="preserve"> when it need</w:t>
      </w:r>
      <w:r w:rsidR="006B2B81">
        <w:t>ed</w:t>
      </w:r>
      <w:r w:rsidR="00A073F3">
        <w:t xml:space="preserve"> to obtain addition</w:t>
      </w:r>
      <w:r w:rsidR="006B5FEC">
        <w:t>al</w:t>
      </w:r>
      <w:r w:rsidR="00A073F3">
        <w:t xml:space="preserve"> guidance from the Commission.  </w:t>
      </w:r>
      <w:r w:rsidR="00A36006">
        <w:t xml:space="preserve">We may discover concerns about TCB performance when auditing granted applications and discovering that applications are missing required exhibits or </w:t>
      </w:r>
      <w:r w:rsidR="00DF7B71">
        <w:t xml:space="preserve">that </w:t>
      </w:r>
      <w:r w:rsidR="00A36006">
        <w:t xml:space="preserve">we </w:t>
      </w:r>
      <w:proofErr w:type="gramStart"/>
      <w:r w:rsidR="00A36006">
        <w:t>can not</w:t>
      </w:r>
      <w:proofErr w:type="gramEnd"/>
      <w:r w:rsidR="00A36006">
        <w:t xml:space="preserve"> determine whether the equipment complies with all requirements in our rules.  </w:t>
      </w:r>
      <w:r w:rsidR="00A073F3">
        <w:t xml:space="preserve">We believe that cases such as these could be appropriately addressed </w:t>
      </w:r>
      <w:r w:rsidR="002C58AD">
        <w:t xml:space="preserve">in some </w:t>
      </w:r>
      <w:r w:rsidR="006B2B81">
        <w:t>instances</w:t>
      </w:r>
      <w:r w:rsidR="002C58AD">
        <w:t xml:space="preserve"> </w:t>
      </w:r>
      <w:r w:rsidR="00A073F3">
        <w:t xml:space="preserve">by </w:t>
      </w:r>
      <w:r w:rsidR="006B2B81">
        <w:t xml:space="preserve">simply </w:t>
      </w:r>
      <w:r w:rsidR="00A073F3">
        <w:t>having the TCB take corrective action</w:t>
      </w:r>
      <w:r w:rsidR="00104CD7">
        <w:t>,</w:t>
      </w:r>
      <w:r w:rsidR="00A073F3">
        <w:t xml:space="preserve"> such as </w:t>
      </w:r>
      <w:r w:rsidR="004137B1">
        <w:t xml:space="preserve">additional consultation with the Commission and </w:t>
      </w:r>
      <w:r w:rsidR="00A073F3">
        <w:t>better staff training</w:t>
      </w:r>
      <w:r w:rsidR="00104CD7">
        <w:t>.</w:t>
      </w:r>
      <w:bookmarkEnd w:id="263"/>
      <w:r w:rsidR="00A073F3">
        <w:t xml:space="preserve"> </w:t>
      </w:r>
      <w:r w:rsidR="009527DD">
        <w:t xml:space="preserve"> </w:t>
      </w:r>
    </w:p>
    <w:p w:rsidR="003D412B" w:rsidRPr="003D412B" w:rsidRDefault="00595105" w:rsidP="000116C7">
      <w:pPr>
        <w:pStyle w:val="ParaNum"/>
        <w:widowControl/>
      </w:pPr>
      <w:r w:rsidRPr="00847558">
        <w:rPr>
          <w:rFonts w:eastAsia="TimesNewRoman"/>
          <w:i/>
        </w:rPr>
        <w:t>Proposal</w:t>
      </w:r>
      <w:r w:rsidR="00A960D0">
        <w:rPr>
          <w:rFonts w:eastAsia="TimesNewRoman"/>
          <w:i/>
        </w:rPr>
        <w:t>s</w:t>
      </w:r>
      <w:r w:rsidRPr="00E03B38">
        <w:rPr>
          <w:rFonts w:eastAsia="TimesNewRoman"/>
        </w:rPr>
        <w:t xml:space="preserve">.  </w:t>
      </w:r>
      <w:r w:rsidR="00D83832">
        <w:rPr>
          <w:rFonts w:eastAsia="TimesNewRoman"/>
        </w:rPr>
        <w:t>As an initial matter, w</w:t>
      </w:r>
      <w:r w:rsidR="00A960D0">
        <w:rPr>
          <w:rFonts w:eastAsia="TimesNewRoman"/>
        </w:rPr>
        <w:t xml:space="preserve">e </w:t>
      </w:r>
      <w:r w:rsidR="00D83832">
        <w:rPr>
          <w:rFonts w:eastAsia="TimesNewRoman"/>
        </w:rPr>
        <w:t xml:space="preserve">propose to modify the rules </w:t>
      </w:r>
      <w:r w:rsidR="0014595B">
        <w:rPr>
          <w:rFonts w:eastAsia="TimesNewRoman"/>
        </w:rPr>
        <w:t>to clarify</w:t>
      </w:r>
      <w:r w:rsidR="00A960D0">
        <w:rPr>
          <w:rFonts w:eastAsia="TimesNewRoman"/>
        </w:rPr>
        <w:t xml:space="preserve"> the role of NIST in designating domestic TCBs.  </w:t>
      </w:r>
      <w:r w:rsidR="003D412B">
        <w:rPr>
          <w:rFonts w:eastAsia="TimesNewRoman"/>
        </w:rPr>
        <w:t>By way of background, there are three steps that an entity must follow to become a TCB.  First, a prospective TCB must obtain accreditation from a Commission-recognized organization to demonstrate that it complies with the requirements of ISO</w:t>
      </w:r>
      <w:r w:rsidR="0004460D">
        <w:rPr>
          <w:rFonts w:eastAsia="TimesNewRoman"/>
        </w:rPr>
        <w:t>/IEC Standard 17025</w:t>
      </w:r>
      <w:r w:rsidR="003D412B">
        <w:rPr>
          <w:rFonts w:eastAsia="TimesNewRoman"/>
        </w:rPr>
        <w:t xml:space="preserve"> and </w:t>
      </w:r>
      <w:r w:rsidR="0004460D">
        <w:rPr>
          <w:rFonts w:eastAsia="TimesNewRoman"/>
        </w:rPr>
        <w:t xml:space="preserve">Guide </w:t>
      </w:r>
      <w:r w:rsidR="003D412B">
        <w:rPr>
          <w:rFonts w:eastAsia="TimesNewRoman"/>
        </w:rPr>
        <w:t>65.</w:t>
      </w:r>
      <w:r w:rsidR="003D412B">
        <w:rPr>
          <w:rStyle w:val="FootnoteReference"/>
          <w:rFonts w:eastAsia="TimesNewRoman"/>
        </w:rPr>
        <w:footnoteReference w:id="88"/>
      </w:r>
      <w:r w:rsidR="003D412B">
        <w:rPr>
          <w:rFonts w:eastAsia="TimesNewRoman"/>
        </w:rPr>
        <w:t xml:space="preserve">  Second, a prospective TCB must apply to the </w:t>
      </w:r>
      <w:r w:rsidR="00284941">
        <w:rPr>
          <w:rFonts w:eastAsia="TimesNewRoman"/>
        </w:rPr>
        <w:t xml:space="preserve">government </w:t>
      </w:r>
      <w:r w:rsidR="003D412B">
        <w:rPr>
          <w:rFonts w:eastAsia="TimesNewRoman"/>
        </w:rPr>
        <w:t xml:space="preserve">agency that has the authority to designate TCBs (“designating authority”) in the country where the TCB is located and demonstrate that it complies </w:t>
      </w:r>
      <w:r w:rsidR="003D412B">
        <w:rPr>
          <w:rFonts w:eastAsia="TimesNewRoman"/>
        </w:rPr>
        <w:lastRenderedPageBreak/>
        <w:t>with all of the Commission’s requirements</w:t>
      </w:r>
      <w:r w:rsidR="003D412B" w:rsidRPr="004E67F1">
        <w:rPr>
          <w:rFonts w:eastAsia="TimesNewRoman"/>
        </w:rPr>
        <w:t xml:space="preserve"> </w:t>
      </w:r>
      <w:r w:rsidR="006521EF">
        <w:rPr>
          <w:rFonts w:eastAsia="TimesNewRoman"/>
        </w:rPr>
        <w:t>to become a</w:t>
      </w:r>
      <w:r w:rsidR="003D412B">
        <w:rPr>
          <w:rFonts w:eastAsia="TimesNewRoman"/>
        </w:rPr>
        <w:t xml:space="preserve"> TCB.</w:t>
      </w:r>
      <w:r w:rsidR="003D412B">
        <w:rPr>
          <w:rStyle w:val="FootnoteReference"/>
          <w:rFonts w:eastAsia="TimesNewRoman"/>
        </w:rPr>
        <w:footnoteReference w:id="89"/>
      </w:r>
      <w:r w:rsidR="003D412B">
        <w:rPr>
          <w:rFonts w:eastAsia="TimesNewRoman"/>
        </w:rPr>
        <w:t xml:space="preserve">  Third, the designation of the prospective TCB must be recognized by the Commission, which places the names of TCBs acceptable for performing equipment certification on a publicly available list.</w:t>
      </w:r>
      <w:r w:rsidR="003D412B">
        <w:rPr>
          <w:rStyle w:val="FootnoteReference"/>
          <w:rFonts w:eastAsia="TimesNewRoman"/>
        </w:rPr>
        <w:footnoteReference w:id="90"/>
      </w:r>
      <w:r w:rsidR="003D412B">
        <w:rPr>
          <w:rFonts w:eastAsia="TimesNewRoman"/>
        </w:rPr>
        <w:t xml:space="preserve">  Under the current rules, NIST is the accreditor for TCBs in the United States, and the Commission is the designating authority.</w:t>
      </w:r>
      <w:r w:rsidR="003D412B">
        <w:rPr>
          <w:rStyle w:val="FootnoteReference"/>
          <w:rFonts w:eastAsia="TimesNewRoman"/>
        </w:rPr>
        <w:footnoteReference w:id="91"/>
      </w:r>
      <w:r w:rsidR="003D412B">
        <w:rPr>
          <w:rFonts w:eastAsia="TimesNewRoman"/>
        </w:rPr>
        <w:t xml:space="preserve">  NIST may also allow other qualified organizations to accredit TCBs.</w:t>
      </w:r>
      <w:r w:rsidR="003D412B">
        <w:rPr>
          <w:rStyle w:val="FootnoteReference"/>
          <w:rFonts w:eastAsia="TimesNewRoman"/>
        </w:rPr>
        <w:footnoteReference w:id="92"/>
      </w:r>
    </w:p>
    <w:p w:rsidR="00236A43" w:rsidRDefault="00CF2818" w:rsidP="000116C7">
      <w:pPr>
        <w:pStyle w:val="ParaNum"/>
        <w:widowControl/>
      </w:pPr>
      <w:r>
        <w:t>The current practice for designating</w:t>
      </w:r>
      <w:r w:rsidR="003D412B">
        <w:t xml:space="preserve"> TCBs in </w:t>
      </w:r>
      <w:r>
        <w:t>the United States is for prospective TCBs to apply directly to NIST after being accredited to ISO</w:t>
      </w:r>
      <w:r w:rsidR="0004460D">
        <w:t>/IEC Standard 17025</w:t>
      </w:r>
      <w:r>
        <w:t xml:space="preserve"> and </w:t>
      </w:r>
      <w:r w:rsidR="0004460D">
        <w:t xml:space="preserve">Guide </w:t>
      </w:r>
      <w:r>
        <w:t>65 by a recognized accreditor</w:t>
      </w:r>
      <w:r w:rsidR="003D412B">
        <w:t xml:space="preserve">.  NIST evaluates the qualifications of prospective TCBs </w:t>
      </w:r>
      <w:r w:rsidR="003D412B" w:rsidRPr="002C0C76">
        <w:t>to</w:t>
      </w:r>
      <w:r w:rsidR="003D412B">
        <w:t xml:space="preserve"> ensure that they comply with all of the Commission’s </w:t>
      </w:r>
      <w:r>
        <w:t xml:space="preserve">TCB </w:t>
      </w:r>
      <w:r w:rsidR="003D412B">
        <w:t>requirements.  NIST then forwards to the Commission information about the TCBs it found compliant with the Commission’s requirements.  Therefore, NIST</w:t>
      </w:r>
      <w:r w:rsidR="00236A43">
        <w:t xml:space="preserve"> </w:t>
      </w:r>
      <w:r w:rsidR="004137B1">
        <w:t>effectively operate</w:t>
      </w:r>
      <w:r w:rsidR="003D412B">
        <w:t>s</w:t>
      </w:r>
      <w:r w:rsidR="00236A43">
        <w:t xml:space="preserve"> as the designating authority for TCBs within the United States.</w:t>
      </w:r>
      <w:r w:rsidR="0094069C">
        <w:rPr>
          <w:rStyle w:val="FootnoteReference"/>
        </w:rPr>
        <w:footnoteReference w:id="93"/>
      </w:r>
      <w:r w:rsidR="00236A43">
        <w:t xml:space="preserve">  Consistent with this practice, we propose to </w:t>
      </w:r>
      <w:r w:rsidR="003D412B">
        <w:t xml:space="preserve">modify Sections 2.960(b) and 68.160(b) of the rules </w:t>
      </w:r>
      <w:r w:rsidR="00236A43">
        <w:t xml:space="preserve">to recognize NIST as the designating authority for TCBs within the United States.  NIST would continue to have authority to </w:t>
      </w:r>
      <w:r w:rsidR="00C46664">
        <w:t>designate</w:t>
      </w:r>
      <w:r w:rsidR="00236A43">
        <w:t xml:space="preserve"> other organizations to accredit TCBs as it does now.  To ensure effective oversight of the TCB program, we propose that an organization designated by NIST </w:t>
      </w:r>
      <w:r w:rsidR="004137B1">
        <w:t xml:space="preserve">as a TCB </w:t>
      </w:r>
      <w:r w:rsidR="00236A43">
        <w:t xml:space="preserve">would have to be recognized by the Commission before it could function as a TCB, and that the Commission could withdraw its recognition of a TCB </w:t>
      </w:r>
      <w:r w:rsidR="00A960D0">
        <w:t xml:space="preserve">designated by NIST </w:t>
      </w:r>
      <w:r w:rsidR="00236A43">
        <w:t>that does not operate in accordance with the rules.</w:t>
      </w:r>
      <w:r w:rsidR="00CC55AA">
        <w:rPr>
          <w:rStyle w:val="FootnoteReference"/>
        </w:rPr>
        <w:footnoteReference w:id="94"/>
      </w:r>
      <w:r w:rsidR="00236A43">
        <w:t xml:space="preserve">  </w:t>
      </w:r>
      <w:r w:rsidR="007D4337">
        <w:t xml:space="preserve">This change would make the designation and recognition requirements for domestic and foreign TCBs more consistent, in that in both cases the Commission would rely on other organizations to accredit and designate TCBs, but the Commission would have to recognize the designated TCBs before they could operate, and the Commission could withdraw its recognition of a TCB that exhibits serious performance problems.  </w:t>
      </w:r>
      <w:r w:rsidR="004137B1">
        <w:t xml:space="preserve">We do not expect that these proposals would result in any additional costs on TCBs or other parties since </w:t>
      </w:r>
      <w:r w:rsidR="00DF61B1">
        <w:t>the proposals</w:t>
      </w:r>
      <w:r w:rsidR="004137B1">
        <w:t xml:space="preserve"> would merely codify the existing practices that have evolved over time. </w:t>
      </w:r>
      <w:r w:rsidR="00236A43">
        <w:t>We seek comment on these proposals.</w:t>
      </w:r>
    </w:p>
    <w:p w:rsidR="003500FD" w:rsidRDefault="00595105" w:rsidP="000116C7">
      <w:pPr>
        <w:pStyle w:val="ParaNum"/>
        <w:widowControl/>
      </w:pPr>
      <w:r w:rsidRPr="00847558">
        <w:t>We</w:t>
      </w:r>
      <w:r w:rsidR="00A41B18">
        <w:t xml:space="preserve"> </w:t>
      </w:r>
      <w:r w:rsidR="00A960D0">
        <w:t xml:space="preserve">also </w:t>
      </w:r>
      <w:r w:rsidR="00A41B18">
        <w:t xml:space="preserve">propose to amend the rules to provide additional measures that the Commission </w:t>
      </w:r>
      <w:r w:rsidR="00510D6D">
        <w:t xml:space="preserve">could </w:t>
      </w:r>
      <w:r w:rsidR="00A41B18">
        <w:t>take to address TCB performance issues that are less severe than the complete withdrawal of a TCB’s designation or recognition.</w:t>
      </w:r>
      <w:r w:rsidRPr="00847558">
        <w:t xml:space="preserve"> </w:t>
      </w:r>
      <w:r w:rsidR="00A41B18">
        <w:t xml:space="preserve"> </w:t>
      </w:r>
      <w:r w:rsidR="008146FB">
        <w:t xml:space="preserve">These proposed measures are </w:t>
      </w:r>
      <w:r w:rsidR="007531EA">
        <w:t>designed</w:t>
      </w:r>
      <w:r w:rsidR="008146FB">
        <w:t xml:space="preserve"> to address </w:t>
      </w:r>
      <w:r w:rsidR="000F1188">
        <w:t xml:space="preserve">performance </w:t>
      </w:r>
      <w:r w:rsidR="008146FB">
        <w:t xml:space="preserve">issues </w:t>
      </w:r>
      <w:r w:rsidR="007531EA">
        <w:t xml:space="preserve">that </w:t>
      </w:r>
      <w:r w:rsidR="00CF2818">
        <w:t>can</w:t>
      </w:r>
      <w:r w:rsidR="007531EA">
        <w:t xml:space="preserve"> be resolved </w:t>
      </w:r>
      <w:r w:rsidR="000F1188">
        <w:t>through</w:t>
      </w:r>
      <w:r w:rsidR="007531EA">
        <w:t xml:space="preserve"> </w:t>
      </w:r>
      <w:r w:rsidR="000F1188">
        <w:t>relatively simple corrective measures by a TCB</w:t>
      </w:r>
      <w:r w:rsidR="007531EA">
        <w:t xml:space="preserve">, and are not intended to limit the Commission’s ability to </w:t>
      </w:r>
      <w:r w:rsidR="000F1188">
        <w:t>act quickly</w:t>
      </w:r>
      <w:r w:rsidR="007531EA">
        <w:t xml:space="preserve"> if serious misconduct by a TCB were to occur.</w:t>
      </w:r>
      <w:r w:rsidR="004C2C39">
        <w:rPr>
          <w:rStyle w:val="FootnoteReference"/>
        </w:rPr>
        <w:footnoteReference w:id="95"/>
      </w:r>
      <w:r w:rsidR="007531EA">
        <w:t xml:space="preserve">  </w:t>
      </w:r>
      <w:r w:rsidR="00467C7B">
        <w:t xml:space="preserve">Specifically, we propose that the Commission will </w:t>
      </w:r>
      <w:r w:rsidR="001F4648">
        <w:t xml:space="preserve">first </w:t>
      </w:r>
      <w:r w:rsidR="00467C7B">
        <w:t xml:space="preserve">notify a TCB in writing when it has evidence that the TCB is not approving equipment in accordance with the Commission’s rules and policies and request that it correct </w:t>
      </w:r>
      <w:r w:rsidR="00467C7B">
        <w:lastRenderedPageBreak/>
        <w:t>any apparent deficiencies.</w:t>
      </w:r>
      <w:r w:rsidR="001F4648">
        <w:t xml:space="preserve"> </w:t>
      </w:r>
      <w:r w:rsidR="00E03B38">
        <w:t xml:space="preserve"> </w:t>
      </w:r>
      <w:r w:rsidR="008146FB">
        <w:t xml:space="preserve">We </w:t>
      </w:r>
      <w:r w:rsidR="007531EA">
        <w:t>may</w:t>
      </w:r>
      <w:r w:rsidR="008146FB">
        <w:t xml:space="preserve"> monitor all grants by a TCB during the time we provide for it to respond to </w:t>
      </w:r>
      <w:r w:rsidR="002F7B06">
        <w:t>us</w:t>
      </w:r>
      <w:r w:rsidR="008146FB">
        <w:t xml:space="preserve">, and </w:t>
      </w:r>
      <w:r w:rsidR="002F7B06">
        <w:t xml:space="preserve">we </w:t>
      </w:r>
      <w:r w:rsidR="008146FB">
        <w:t xml:space="preserve">would set aside any grants found to be in error within the </w:t>
      </w:r>
      <w:proofErr w:type="gramStart"/>
      <w:r w:rsidR="008146FB">
        <w:t>30 day</w:t>
      </w:r>
      <w:proofErr w:type="gramEnd"/>
      <w:r w:rsidR="008146FB">
        <w:t xml:space="preserve"> time period provided in the rules.</w:t>
      </w:r>
      <w:r w:rsidR="008146FB">
        <w:rPr>
          <w:rStyle w:val="FootnoteReference"/>
        </w:rPr>
        <w:footnoteReference w:id="96"/>
      </w:r>
      <w:r w:rsidR="008146FB">
        <w:t xml:space="preserve">  </w:t>
      </w:r>
      <w:r w:rsidR="00E85D93">
        <w:t xml:space="preserve">If a TCB does not demonstrate that it has satisfactorily resolved the performance issues identified by the Commission, </w:t>
      </w:r>
      <w:r w:rsidR="00CA70B8">
        <w:t>we propose that t</w:t>
      </w:r>
      <w:r w:rsidR="00E85D93">
        <w:t>he Commission</w:t>
      </w:r>
      <w:r w:rsidR="00CA70B8">
        <w:t xml:space="preserve"> may </w:t>
      </w:r>
      <w:r w:rsidR="00E85D93">
        <w:t xml:space="preserve">temporarily </w:t>
      </w:r>
      <w:r w:rsidR="00CA70B8">
        <w:t xml:space="preserve">require that all certification applications filed with that TCB be processed using the </w:t>
      </w:r>
      <w:r w:rsidR="00ED6ABD">
        <w:t>pre-approval guidance</w:t>
      </w:r>
      <w:r w:rsidR="00CA70B8">
        <w:t xml:space="preserve"> procedure</w:t>
      </w:r>
      <w:r w:rsidR="00E650FC">
        <w:t xml:space="preserve"> for a period of at least 30 days</w:t>
      </w:r>
      <w:r w:rsidR="00CA70B8">
        <w:t xml:space="preserve">.  </w:t>
      </w:r>
      <w:r w:rsidR="009D33E4">
        <w:t xml:space="preserve">This would </w:t>
      </w:r>
      <w:r w:rsidR="00E650FC">
        <w:t xml:space="preserve">provide the Commission an opportunity to </w:t>
      </w:r>
      <w:r w:rsidR="009D33E4">
        <w:t xml:space="preserve">review </w:t>
      </w:r>
      <w:proofErr w:type="gramStart"/>
      <w:r w:rsidR="00254803">
        <w:t>all of that TCB’s</w:t>
      </w:r>
      <w:proofErr w:type="gramEnd"/>
      <w:r w:rsidR="009D33E4">
        <w:t xml:space="preserve"> applications </w:t>
      </w:r>
      <w:r w:rsidR="00E85D93">
        <w:t>prior to</w:t>
      </w:r>
      <w:r w:rsidR="009D33E4">
        <w:t xml:space="preserve"> grant to ascertain whether </w:t>
      </w:r>
      <w:r w:rsidR="00254803">
        <w:t>it</w:t>
      </w:r>
      <w:r w:rsidR="00E650FC">
        <w:t xml:space="preserve"> </w:t>
      </w:r>
      <w:r w:rsidR="009D33E4">
        <w:t xml:space="preserve">has </w:t>
      </w:r>
      <w:r w:rsidR="00E85D93">
        <w:t>corrected</w:t>
      </w:r>
      <w:r w:rsidR="009D33E4">
        <w:t xml:space="preserve"> </w:t>
      </w:r>
      <w:r w:rsidR="00254803">
        <w:t>the identified</w:t>
      </w:r>
      <w:r w:rsidR="009D33E4">
        <w:t xml:space="preserve"> performance </w:t>
      </w:r>
      <w:r w:rsidR="00E85D93">
        <w:t>deficiencies</w:t>
      </w:r>
      <w:r w:rsidR="009D33E4">
        <w:t xml:space="preserve">. </w:t>
      </w:r>
      <w:r w:rsidR="00E85D93">
        <w:t xml:space="preserve"> </w:t>
      </w:r>
      <w:r w:rsidR="001F4648">
        <w:t>We further propose that the Commission will provide a TCB with 30</w:t>
      </w:r>
      <w:r w:rsidR="004137B1">
        <w:t>-</w:t>
      </w:r>
      <w:r w:rsidR="001F4648">
        <w:t xml:space="preserve">days notice of its intent to require that applications be processed under the </w:t>
      </w:r>
      <w:r w:rsidR="00ED6ABD">
        <w:t>pre-approval guidance</w:t>
      </w:r>
      <w:r w:rsidR="001F4648">
        <w:t xml:space="preserve"> procedure unless the Commission finds good cause to require a </w:t>
      </w:r>
      <w:r w:rsidR="004137B1">
        <w:t>more immediate implementation of this</w:t>
      </w:r>
      <w:r w:rsidR="00F1368B">
        <w:t xml:space="preserve"> protective measure</w:t>
      </w:r>
      <w:r w:rsidR="001F4648">
        <w:t>.  A shorter time frame may be appropriate</w:t>
      </w:r>
      <w:r w:rsidR="00F1368B">
        <w:t>, for example,</w:t>
      </w:r>
      <w:r w:rsidR="001F4648">
        <w:t xml:space="preserve"> in cases where the Commission discovers </w:t>
      </w:r>
      <w:r w:rsidR="00CA2AAD">
        <w:t xml:space="preserve">that </w:t>
      </w:r>
      <w:r w:rsidR="001F4648">
        <w:t xml:space="preserve">a TCB has a pattern of approving equipment that is non-compliant with the rules, particularly equipment that has a high potential for causing harmful interference.  </w:t>
      </w:r>
      <w:r w:rsidR="00E650FC">
        <w:t xml:space="preserve">We also propose that when a TCB demonstrates to the Commission that it is processing equipment approval applications in accordance with the rules, it would no longer be required to use the </w:t>
      </w:r>
      <w:r w:rsidR="00ED6ABD">
        <w:t>pre-approval guidance</w:t>
      </w:r>
      <w:r w:rsidR="00E650FC">
        <w:t xml:space="preserve"> procedure for all equipment, just the equipment on the </w:t>
      </w:r>
      <w:r w:rsidR="00ED6ABD">
        <w:t>pre-approval guidance</w:t>
      </w:r>
      <w:r w:rsidR="00E650FC">
        <w:t xml:space="preserve"> list.</w:t>
      </w:r>
      <w:r w:rsidR="00254803">
        <w:t xml:space="preserve">  We further propose that these procedures would apply equally to both domestic and foreign TCBs.</w:t>
      </w:r>
    </w:p>
    <w:p w:rsidR="00E650FC" w:rsidRPr="00542EFC" w:rsidRDefault="00910F18" w:rsidP="000116C7">
      <w:pPr>
        <w:pStyle w:val="ParaNum"/>
        <w:widowControl/>
      </w:pPr>
      <w:r>
        <w:rPr>
          <w:rFonts w:eastAsia="TimesNewRoman"/>
        </w:rPr>
        <w:t xml:space="preserve">In cases where a TCB continues to exhibit performance </w:t>
      </w:r>
      <w:r w:rsidR="002D7A4F">
        <w:rPr>
          <w:rFonts w:eastAsia="TimesNewRoman"/>
        </w:rPr>
        <w:t>deficiencies</w:t>
      </w:r>
      <w:r>
        <w:rPr>
          <w:rFonts w:eastAsia="TimesNewRoman"/>
        </w:rPr>
        <w:t xml:space="preserve"> after the Commission </w:t>
      </w:r>
      <w:r w:rsidR="007906AA">
        <w:rPr>
          <w:rFonts w:eastAsia="TimesNewRoman"/>
        </w:rPr>
        <w:t>requests that it</w:t>
      </w:r>
      <w:r>
        <w:rPr>
          <w:rFonts w:eastAsia="TimesNewRoman"/>
        </w:rPr>
        <w:t xml:space="preserve"> take corrective action, </w:t>
      </w:r>
      <w:r w:rsidR="00930FF5">
        <w:rPr>
          <w:rFonts w:eastAsia="TimesNewRoman"/>
        </w:rPr>
        <w:t xml:space="preserve">we propose that </w:t>
      </w:r>
      <w:r>
        <w:rPr>
          <w:rFonts w:eastAsia="TimesNewRoman"/>
        </w:rPr>
        <w:t xml:space="preserve">the Commission </w:t>
      </w:r>
      <w:r w:rsidR="00E21BF3">
        <w:rPr>
          <w:rFonts w:eastAsia="TimesNewRoman"/>
        </w:rPr>
        <w:t>may</w:t>
      </w:r>
      <w:r>
        <w:rPr>
          <w:rFonts w:eastAsia="TimesNewRoman"/>
        </w:rPr>
        <w:t xml:space="preserve"> </w:t>
      </w:r>
      <w:r w:rsidR="00930FF5">
        <w:rPr>
          <w:rFonts w:eastAsia="TimesNewRoman"/>
        </w:rPr>
        <w:t xml:space="preserve">request that the </w:t>
      </w:r>
      <w:r w:rsidR="006B5FEC">
        <w:rPr>
          <w:rFonts w:eastAsia="TimesNewRoman"/>
        </w:rPr>
        <w:t>designating authority and accreditation</w:t>
      </w:r>
      <w:r w:rsidR="00930FF5">
        <w:rPr>
          <w:rFonts w:eastAsia="TimesNewRoman"/>
        </w:rPr>
        <w:t xml:space="preserve"> body investigate and take appropriate steps as needed</w:t>
      </w:r>
      <w:r w:rsidR="00104CD7">
        <w:rPr>
          <w:rFonts w:eastAsia="TimesNewRoman"/>
        </w:rPr>
        <w:t>.</w:t>
      </w:r>
      <w:r w:rsidR="00B1126A">
        <w:rPr>
          <w:rFonts w:eastAsia="TimesNewRoman"/>
        </w:rPr>
        <w:t xml:space="preserve"> </w:t>
      </w:r>
      <w:r w:rsidR="00104CD7">
        <w:rPr>
          <w:rFonts w:eastAsia="TimesNewRoman"/>
        </w:rPr>
        <w:t xml:space="preserve"> This </w:t>
      </w:r>
      <w:r w:rsidR="00254803">
        <w:rPr>
          <w:rFonts w:eastAsia="TimesNewRoman"/>
        </w:rPr>
        <w:t>could include, for example,</w:t>
      </w:r>
      <w:r w:rsidR="00930FF5">
        <w:rPr>
          <w:rFonts w:eastAsia="TimesNewRoman"/>
        </w:rPr>
        <w:t xml:space="preserve"> limit</w:t>
      </w:r>
      <w:r w:rsidR="00254803">
        <w:rPr>
          <w:rFonts w:eastAsia="TimesNewRoman"/>
        </w:rPr>
        <w:t>ing</w:t>
      </w:r>
      <w:r w:rsidR="00930FF5">
        <w:rPr>
          <w:rFonts w:eastAsia="TimesNewRoman"/>
        </w:rPr>
        <w:t xml:space="preserve"> the scope of the TCB’s accreditation, or </w:t>
      </w:r>
      <w:r w:rsidR="00254803">
        <w:rPr>
          <w:rFonts w:eastAsia="TimesNewRoman"/>
        </w:rPr>
        <w:t>withdrawing</w:t>
      </w:r>
      <w:r w:rsidR="00930FF5">
        <w:rPr>
          <w:rFonts w:eastAsia="TimesNewRoman"/>
        </w:rPr>
        <w:t xml:space="preserve"> the accreditation.</w:t>
      </w:r>
      <w:r w:rsidR="00254803">
        <w:rPr>
          <w:rFonts w:eastAsia="TimesNewRoman"/>
        </w:rPr>
        <w:t xml:space="preserve">  </w:t>
      </w:r>
      <w:r w:rsidR="00287A7F">
        <w:rPr>
          <w:rFonts w:eastAsia="TimesNewRoman"/>
        </w:rPr>
        <w:t xml:space="preserve">We propose that </w:t>
      </w:r>
      <w:r w:rsidR="002D7A4F">
        <w:rPr>
          <w:rFonts w:eastAsia="TimesNewRoman"/>
        </w:rPr>
        <w:t xml:space="preserve">in such cases </w:t>
      </w:r>
      <w:r w:rsidR="00287A7F">
        <w:rPr>
          <w:rFonts w:eastAsia="TimesNewRoman"/>
        </w:rPr>
        <w:t xml:space="preserve">the Commission would limit the scope of equipment that a TCB could approve if the accrediting body limited the scope of a TCB’s accreditation, and that the Commission would no longer recognize a TCB if its accreditation is withdrawn.  We further propose that the Commission would no longer recognize the designation of a TCB, either foreign or domestic, if good cause exists, </w:t>
      </w:r>
      <w:r w:rsidR="00287A7F">
        <w:rPr>
          <w:rFonts w:eastAsia="TimesNewRoman"/>
          <w:i/>
        </w:rPr>
        <w:t xml:space="preserve">e.g., </w:t>
      </w:r>
      <w:r w:rsidR="00287A7F">
        <w:rPr>
          <w:rFonts w:eastAsia="TimesNewRoman"/>
        </w:rPr>
        <w:t xml:space="preserve">a TCB </w:t>
      </w:r>
      <w:r w:rsidR="000606C1">
        <w:rPr>
          <w:rFonts w:eastAsia="TimesNewRoman"/>
        </w:rPr>
        <w:t>shows a pattern of approving</w:t>
      </w:r>
      <w:r w:rsidR="00287A7F">
        <w:rPr>
          <w:rFonts w:eastAsia="TimesNewRoman"/>
        </w:rPr>
        <w:t xml:space="preserve"> equipment that is clearly not in compliance with our rules.</w:t>
      </w:r>
      <w:r w:rsidR="00551458">
        <w:rPr>
          <w:rFonts w:eastAsia="TimesNewRoman"/>
        </w:rPr>
        <w:t xml:space="preserve">  </w:t>
      </w:r>
      <w:r w:rsidR="005B2DCC">
        <w:rPr>
          <w:rFonts w:eastAsia="TimesNewRoman"/>
        </w:rPr>
        <w:t>We also propose that t</w:t>
      </w:r>
      <w:r w:rsidR="005B2DCC" w:rsidRPr="005B72C1">
        <w:rPr>
          <w:szCs w:val="22"/>
        </w:rPr>
        <w:t xml:space="preserve">he Commission </w:t>
      </w:r>
      <w:r w:rsidR="002D7A4F">
        <w:rPr>
          <w:szCs w:val="22"/>
        </w:rPr>
        <w:t xml:space="preserve">would </w:t>
      </w:r>
      <w:r w:rsidR="005B2DCC" w:rsidRPr="005B72C1">
        <w:rPr>
          <w:szCs w:val="22"/>
        </w:rPr>
        <w:t xml:space="preserve">provide a TCB with at least </w:t>
      </w:r>
      <w:r w:rsidR="00236A43">
        <w:rPr>
          <w:szCs w:val="22"/>
        </w:rPr>
        <w:t>60</w:t>
      </w:r>
      <w:r w:rsidR="00236A43" w:rsidRPr="005B72C1">
        <w:rPr>
          <w:szCs w:val="22"/>
        </w:rPr>
        <w:t xml:space="preserve"> </w:t>
      </w:r>
      <w:r w:rsidR="005B2DCC" w:rsidRPr="005B72C1">
        <w:rPr>
          <w:szCs w:val="22"/>
        </w:rPr>
        <w:t xml:space="preserve">days notice of its intention to withdraw or limit the scope of </w:t>
      </w:r>
      <w:r w:rsidR="005B2DCC">
        <w:rPr>
          <w:szCs w:val="22"/>
        </w:rPr>
        <w:t>its</w:t>
      </w:r>
      <w:r w:rsidR="005B2DCC" w:rsidRPr="005B72C1">
        <w:rPr>
          <w:szCs w:val="22"/>
        </w:rPr>
        <w:t xml:space="preserve"> recognition and provide the TCB with an opportunity to respond.</w:t>
      </w:r>
      <w:r w:rsidR="005B2DCC">
        <w:rPr>
          <w:szCs w:val="22"/>
        </w:rPr>
        <w:t xml:space="preserve">  </w:t>
      </w:r>
      <w:r w:rsidR="008146FB">
        <w:rPr>
          <w:szCs w:val="22"/>
        </w:rPr>
        <w:t>During that time, we</w:t>
      </w:r>
      <w:r w:rsidR="008146FB">
        <w:t xml:space="preserve"> would monitor all grants issued by the TCB and would set aside any grants within 30 days that were issued in error.</w:t>
      </w:r>
      <w:r w:rsidR="007531EA">
        <w:t xml:space="preserve"> </w:t>
      </w:r>
      <w:r w:rsidR="008146FB">
        <w:rPr>
          <w:szCs w:val="22"/>
        </w:rPr>
        <w:t xml:space="preserve"> </w:t>
      </w:r>
      <w:r w:rsidR="005B2DCC">
        <w:rPr>
          <w:szCs w:val="22"/>
        </w:rPr>
        <w:t xml:space="preserve">In the case of a TCB </w:t>
      </w:r>
      <w:r w:rsidR="00BD68BF">
        <w:rPr>
          <w:szCs w:val="22"/>
        </w:rPr>
        <w:t xml:space="preserve">recognized </w:t>
      </w:r>
      <w:r w:rsidR="005B2DCC">
        <w:rPr>
          <w:szCs w:val="22"/>
        </w:rPr>
        <w:t xml:space="preserve">pursuant to the terms of an MRA, we would provide </w:t>
      </w:r>
      <w:r w:rsidR="00104CD7">
        <w:rPr>
          <w:szCs w:val="22"/>
        </w:rPr>
        <w:t xml:space="preserve">more </w:t>
      </w:r>
      <w:r w:rsidR="005B2DCC">
        <w:rPr>
          <w:szCs w:val="22"/>
        </w:rPr>
        <w:t xml:space="preserve">than </w:t>
      </w:r>
      <w:r w:rsidR="00653384">
        <w:rPr>
          <w:szCs w:val="22"/>
        </w:rPr>
        <w:t xml:space="preserve">60 </w:t>
      </w:r>
      <w:r w:rsidR="005B2DCC">
        <w:rPr>
          <w:szCs w:val="22"/>
        </w:rPr>
        <w:t xml:space="preserve">days notice if required by the MRA and consult with the Office of the United States Trade Representative (USTR) as necessary concerning any trade issues that arise.  </w:t>
      </w:r>
      <w:r w:rsidR="005B2DCC">
        <w:rPr>
          <w:rFonts w:eastAsia="TimesNewRoman"/>
        </w:rPr>
        <w:t>I</w:t>
      </w:r>
      <w:r w:rsidR="00551458">
        <w:rPr>
          <w:rFonts w:eastAsia="TimesNewRoman"/>
        </w:rPr>
        <w:t xml:space="preserve">n addition, we propose that </w:t>
      </w:r>
      <w:r w:rsidR="00104CD7">
        <w:rPr>
          <w:rFonts w:eastAsia="TimesNewRoman"/>
        </w:rPr>
        <w:t xml:space="preserve">if a TCB’s status is revoked, </w:t>
      </w:r>
      <w:r w:rsidR="00551458">
        <w:rPr>
          <w:rFonts w:eastAsia="TimesNewRoman"/>
        </w:rPr>
        <w:t xml:space="preserve">any equipment certifications </w:t>
      </w:r>
      <w:r w:rsidR="002F7B06">
        <w:rPr>
          <w:rFonts w:eastAsia="TimesNewRoman"/>
        </w:rPr>
        <w:t xml:space="preserve">previously approved </w:t>
      </w:r>
      <w:r w:rsidR="00551458">
        <w:rPr>
          <w:rFonts w:eastAsia="TimesNewRoman"/>
        </w:rPr>
        <w:t xml:space="preserve">by </w:t>
      </w:r>
      <w:r w:rsidR="00104CD7">
        <w:rPr>
          <w:rFonts w:eastAsia="TimesNewRoman"/>
        </w:rPr>
        <w:t xml:space="preserve">the </w:t>
      </w:r>
      <w:r w:rsidR="00551458">
        <w:rPr>
          <w:rFonts w:eastAsia="TimesNewRoman"/>
        </w:rPr>
        <w:t xml:space="preserve">TCB would continue to be valid unless specifically </w:t>
      </w:r>
      <w:r w:rsidR="00104CD7">
        <w:rPr>
          <w:rFonts w:eastAsia="TimesNewRoman"/>
        </w:rPr>
        <w:t xml:space="preserve">set aside or </w:t>
      </w:r>
      <w:r w:rsidR="00551458">
        <w:rPr>
          <w:rFonts w:eastAsia="TimesNewRoman"/>
        </w:rPr>
        <w:t>revoked by the Commission</w:t>
      </w:r>
      <w:r w:rsidR="00ED6ABD">
        <w:rPr>
          <w:rFonts w:eastAsia="TimesNewRoman"/>
        </w:rPr>
        <w:t>.</w:t>
      </w:r>
      <w:r w:rsidR="00473F37">
        <w:rPr>
          <w:rFonts w:eastAsia="TimesNewRoman"/>
        </w:rPr>
        <w:t xml:space="preserve">  However, a TCB would not be permitted to act on any certification applications that it was processing </w:t>
      </w:r>
      <w:r w:rsidR="002F7B06">
        <w:rPr>
          <w:rFonts w:eastAsia="TimesNewRoman"/>
        </w:rPr>
        <w:t xml:space="preserve">but had not yet approved </w:t>
      </w:r>
      <w:r w:rsidR="00473F37">
        <w:rPr>
          <w:rFonts w:eastAsia="TimesNewRoman"/>
        </w:rPr>
        <w:t>at the time its operating status was revoked.</w:t>
      </w:r>
    </w:p>
    <w:p w:rsidR="00542EFC" w:rsidRPr="00287A7F" w:rsidRDefault="002C58AD" w:rsidP="000116C7">
      <w:pPr>
        <w:pStyle w:val="ParaNum"/>
        <w:widowControl/>
      </w:pPr>
      <w:r>
        <w:rPr>
          <w:rFonts w:eastAsia="TimesNewRoman"/>
        </w:rPr>
        <w:t xml:space="preserve">We also propose certain </w:t>
      </w:r>
      <w:r w:rsidR="0002087C">
        <w:rPr>
          <w:rFonts w:eastAsia="TimesNewRoman"/>
        </w:rPr>
        <w:t xml:space="preserve">other </w:t>
      </w:r>
      <w:r w:rsidR="0005213F">
        <w:rPr>
          <w:rFonts w:eastAsia="TimesNewRoman"/>
        </w:rPr>
        <w:t>modifications to</w:t>
      </w:r>
      <w:r>
        <w:rPr>
          <w:rFonts w:eastAsia="TimesNewRoman"/>
        </w:rPr>
        <w:t xml:space="preserve"> </w:t>
      </w:r>
      <w:r w:rsidR="0002087C">
        <w:rPr>
          <w:rFonts w:eastAsia="TimesNewRoman"/>
        </w:rPr>
        <w:t xml:space="preserve">clarify </w:t>
      </w:r>
      <w:r>
        <w:rPr>
          <w:rFonts w:eastAsia="TimesNewRoman"/>
        </w:rPr>
        <w:t xml:space="preserve">the Part 2 rules for TCBs.  Specifically, we are proposing to modify </w:t>
      </w:r>
      <w:r w:rsidR="0005213F">
        <w:rPr>
          <w:rFonts w:eastAsia="TimesNewRoman"/>
        </w:rPr>
        <w:t xml:space="preserve">Section 2.962(e)(1) </w:t>
      </w:r>
      <w:r w:rsidR="00C7009D">
        <w:rPr>
          <w:rFonts w:eastAsia="TimesNewRoman"/>
        </w:rPr>
        <w:t>to</w:t>
      </w:r>
      <w:r w:rsidR="0005213F">
        <w:rPr>
          <w:rFonts w:eastAsia="TimesNewRoman"/>
        </w:rPr>
        <w:t xml:space="preserve"> specif</w:t>
      </w:r>
      <w:r w:rsidR="00C7009D">
        <w:rPr>
          <w:rFonts w:eastAsia="TimesNewRoman"/>
        </w:rPr>
        <w:t>y</w:t>
      </w:r>
      <w:r w:rsidR="0005213F">
        <w:rPr>
          <w:rFonts w:eastAsia="TimesNewRoman"/>
        </w:rPr>
        <w:t xml:space="preserve"> the </w:t>
      </w:r>
      <w:r w:rsidR="006D3CAC" w:rsidRPr="007D4337">
        <w:rPr>
          <w:rFonts w:eastAsia="TimesNewRoman"/>
        </w:rPr>
        <w:t>recognition</w:t>
      </w:r>
      <w:r w:rsidR="006D3CAC">
        <w:rPr>
          <w:rFonts w:eastAsia="TimesNewRoman"/>
        </w:rPr>
        <w:t xml:space="preserve"> </w:t>
      </w:r>
      <w:r w:rsidR="0005213F">
        <w:rPr>
          <w:rFonts w:eastAsia="TimesNewRoman"/>
        </w:rPr>
        <w:t xml:space="preserve">requirements for both foreign and domestic TCBs.  This section currently specifies the </w:t>
      </w:r>
      <w:r w:rsidR="006D3CAC" w:rsidRPr="007D4337">
        <w:rPr>
          <w:rFonts w:eastAsia="TimesNewRoman"/>
        </w:rPr>
        <w:t>recogn</w:t>
      </w:r>
      <w:r w:rsidR="00BD68BF" w:rsidRPr="007D4337">
        <w:rPr>
          <w:rFonts w:eastAsia="TimesNewRoman"/>
        </w:rPr>
        <w:t>i</w:t>
      </w:r>
      <w:r w:rsidR="006D3CAC" w:rsidRPr="007D4337">
        <w:rPr>
          <w:rFonts w:eastAsia="TimesNewRoman"/>
        </w:rPr>
        <w:t>tion</w:t>
      </w:r>
      <w:r w:rsidR="006D3CAC">
        <w:rPr>
          <w:rFonts w:eastAsia="TimesNewRoman"/>
        </w:rPr>
        <w:t xml:space="preserve"> </w:t>
      </w:r>
      <w:r w:rsidR="0005213F">
        <w:rPr>
          <w:rFonts w:eastAsia="TimesNewRoman"/>
        </w:rPr>
        <w:t>requirements for only domestic TCBs.</w:t>
      </w:r>
      <w:r w:rsidR="0005213F">
        <w:rPr>
          <w:rStyle w:val="FootnoteReference"/>
          <w:rFonts w:eastAsia="TimesNewRoman"/>
        </w:rPr>
        <w:footnoteReference w:id="97"/>
      </w:r>
      <w:proofErr w:type="gramStart"/>
      <w:r w:rsidR="0005213F">
        <w:rPr>
          <w:rFonts w:eastAsia="TimesNewRoman"/>
        </w:rPr>
        <w:t xml:space="preserve">  We</w:t>
      </w:r>
      <w:proofErr w:type="gramEnd"/>
      <w:r w:rsidR="0005213F">
        <w:rPr>
          <w:rFonts w:eastAsia="TimesNewRoman"/>
        </w:rPr>
        <w:t xml:space="preserve"> are also proposing to move the text in Section 2.962(h) concerning disputes over the </w:t>
      </w:r>
      <w:r w:rsidR="006D3CAC">
        <w:rPr>
          <w:rFonts w:eastAsia="TimesNewRoman"/>
        </w:rPr>
        <w:t xml:space="preserve">recognition </w:t>
      </w:r>
      <w:r w:rsidR="0005213F">
        <w:rPr>
          <w:rFonts w:eastAsia="TimesNewRoman"/>
        </w:rPr>
        <w:t xml:space="preserve">of foreign TCBs to Section 2.962(e) because it more appropriately fits in that paragraph which addresses the </w:t>
      </w:r>
      <w:r w:rsidR="006D3CAC">
        <w:rPr>
          <w:rFonts w:eastAsia="TimesNewRoman"/>
        </w:rPr>
        <w:t>recogn</w:t>
      </w:r>
      <w:r w:rsidR="00BD68BF">
        <w:rPr>
          <w:rFonts w:eastAsia="TimesNewRoman"/>
        </w:rPr>
        <w:t>i</w:t>
      </w:r>
      <w:r w:rsidR="006D3CAC">
        <w:rPr>
          <w:rFonts w:eastAsia="TimesNewRoman"/>
        </w:rPr>
        <w:t xml:space="preserve">tion </w:t>
      </w:r>
      <w:r w:rsidR="0005213F">
        <w:rPr>
          <w:rFonts w:eastAsia="TimesNewRoman"/>
        </w:rPr>
        <w:t>of TCBs.</w:t>
      </w:r>
    </w:p>
    <w:p w:rsidR="00287A7F" w:rsidRPr="00847558" w:rsidRDefault="00287A7F" w:rsidP="000116C7">
      <w:pPr>
        <w:pStyle w:val="ParaNum"/>
        <w:widowControl/>
      </w:pPr>
      <w:r>
        <w:rPr>
          <w:rFonts w:eastAsia="TimesNewRoman"/>
        </w:rPr>
        <w:lastRenderedPageBreak/>
        <w:t>We seek comment on these proposals.  In particular, we seek comment on whether the steps we are proposing are appropriate, and whether there are other measures we could take to ensure that TCBs operat</w:t>
      </w:r>
      <w:r w:rsidR="00B867A1">
        <w:rPr>
          <w:rFonts w:eastAsia="TimesNewRoman"/>
        </w:rPr>
        <w:t xml:space="preserve">e in accordance with our rules.  For example, should we </w:t>
      </w:r>
      <w:r w:rsidR="00306920">
        <w:rPr>
          <w:rFonts w:eastAsia="TimesNewRoman"/>
        </w:rPr>
        <w:t xml:space="preserve">instead prohibit </w:t>
      </w:r>
      <w:r w:rsidR="00B867A1">
        <w:rPr>
          <w:rFonts w:eastAsia="TimesNewRoman"/>
        </w:rPr>
        <w:t xml:space="preserve">a TCB from approving any equipment for a </w:t>
      </w:r>
      <w:r w:rsidR="00306920">
        <w:rPr>
          <w:rFonts w:eastAsia="TimesNewRoman"/>
        </w:rPr>
        <w:t xml:space="preserve">limited </w:t>
      </w:r>
      <w:r w:rsidR="00B867A1">
        <w:rPr>
          <w:rFonts w:eastAsia="TimesNewRoman"/>
        </w:rPr>
        <w:t xml:space="preserve">time period when performance issues arise?  </w:t>
      </w:r>
      <w:r w:rsidR="00551458">
        <w:rPr>
          <w:rFonts w:eastAsia="TimesNewRoman"/>
        </w:rPr>
        <w:t xml:space="preserve">If we were to </w:t>
      </w:r>
      <w:r w:rsidR="00306920">
        <w:rPr>
          <w:rFonts w:eastAsia="TimesNewRoman"/>
        </w:rPr>
        <w:t xml:space="preserve">prohibit </w:t>
      </w:r>
      <w:r w:rsidR="00551458">
        <w:rPr>
          <w:rFonts w:eastAsia="TimesNewRoman"/>
        </w:rPr>
        <w:t xml:space="preserve">a TCB from approving </w:t>
      </w:r>
      <w:r w:rsidR="00306920">
        <w:rPr>
          <w:rFonts w:eastAsia="TimesNewRoman"/>
        </w:rPr>
        <w:t xml:space="preserve">equipment </w:t>
      </w:r>
      <w:r w:rsidR="00551458">
        <w:rPr>
          <w:rFonts w:eastAsia="TimesNewRoman"/>
        </w:rPr>
        <w:t xml:space="preserve">for a certain time, we seek comment on how we could determine when the TCB has corrected its performance problems.  We also seek comment on whether we need to more clearly define the circumstances under which we would take actions such as requiring </w:t>
      </w:r>
      <w:r w:rsidR="007949FA">
        <w:rPr>
          <w:rFonts w:eastAsia="TimesNewRoman"/>
        </w:rPr>
        <w:t xml:space="preserve">all of </w:t>
      </w:r>
      <w:r w:rsidR="007D2DFA">
        <w:rPr>
          <w:rFonts w:eastAsia="TimesNewRoman"/>
        </w:rPr>
        <w:t xml:space="preserve">a </w:t>
      </w:r>
      <w:r w:rsidR="00551458">
        <w:rPr>
          <w:rFonts w:eastAsia="TimesNewRoman"/>
        </w:rPr>
        <w:t>TCB</w:t>
      </w:r>
      <w:r w:rsidR="007D2DFA">
        <w:rPr>
          <w:rFonts w:eastAsia="TimesNewRoman"/>
        </w:rPr>
        <w:t xml:space="preserve">’s </w:t>
      </w:r>
      <w:r w:rsidR="00551458">
        <w:rPr>
          <w:rFonts w:eastAsia="TimesNewRoman"/>
        </w:rPr>
        <w:t xml:space="preserve">applications to be processed under the </w:t>
      </w:r>
      <w:r w:rsidR="00ED6ABD">
        <w:rPr>
          <w:rFonts w:eastAsia="TimesNewRoman"/>
        </w:rPr>
        <w:t>pre-approval guidance</w:t>
      </w:r>
      <w:r w:rsidR="00551458">
        <w:rPr>
          <w:rFonts w:eastAsia="TimesNewRoman"/>
        </w:rPr>
        <w:t xml:space="preserve"> procedure.  If so, what should those circumstances be?</w:t>
      </w:r>
    </w:p>
    <w:p w:rsidR="00595105" w:rsidRDefault="00595105" w:rsidP="000116C7">
      <w:pPr>
        <w:pStyle w:val="Heading3"/>
        <w:widowControl/>
      </w:pPr>
      <w:bookmarkStart w:id="264" w:name="_Toc326243796"/>
      <w:bookmarkStart w:id="265" w:name="_Toc326243993"/>
      <w:bookmarkStart w:id="266" w:name="_Toc327450766"/>
      <w:bookmarkStart w:id="267" w:name="_Toc330288214"/>
      <w:bookmarkStart w:id="268" w:name="_Toc330367184"/>
      <w:bookmarkStart w:id="269" w:name="_Toc331420772"/>
      <w:bookmarkStart w:id="270" w:name="_Toc331604652"/>
      <w:bookmarkStart w:id="271" w:name="_Toc332121627"/>
      <w:bookmarkStart w:id="272" w:name="_Toc332204304"/>
      <w:bookmarkStart w:id="273" w:name="_Toc332894807"/>
      <w:bookmarkStart w:id="274" w:name="_Toc333581620"/>
      <w:bookmarkStart w:id="275" w:name="_Toc333936412"/>
      <w:bookmarkStart w:id="276" w:name="_Toc335141621"/>
      <w:bookmarkStart w:id="277" w:name="_Toc335291364"/>
      <w:bookmarkStart w:id="278" w:name="_Toc335291417"/>
      <w:bookmarkStart w:id="279" w:name="_Toc335291477"/>
      <w:bookmarkStart w:id="280" w:name="_Toc335291547"/>
      <w:bookmarkStart w:id="281" w:name="_Toc335291685"/>
      <w:bookmarkStart w:id="282" w:name="_Toc335291737"/>
      <w:bookmarkStart w:id="283" w:name="_Toc335631615"/>
      <w:bookmarkStart w:id="284" w:name="_Toc335632657"/>
      <w:bookmarkStart w:id="285" w:name="_Toc335632729"/>
      <w:bookmarkStart w:id="286" w:name="_Toc337649167"/>
      <w:r>
        <w:t>TCB accreditation</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595105" w:rsidRDefault="00480238" w:rsidP="000116C7">
      <w:pPr>
        <w:pStyle w:val="ParaNum"/>
        <w:widowControl/>
      </w:pPr>
      <w:bookmarkStart w:id="287" w:name="_Ref331594434"/>
      <w:r>
        <w:rPr>
          <w:rFonts w:eastAsia="TimesNewRoman"/>
        </w:rPr>
        <w:t xml:space="preserve">The Commission’s rules require that TCBs that approve either RF equipment under Part 2 or terminal equipment under Part 68 of the Commission’s rules meet the accreditation standards in specific ISO/IEC </w:t>
      </w:r>
      <w:r w:rsidR="0004460D">
        <w:rPr>
          <w:rFonts w:eastAsia="TimesNewRoman"/>
        </w:rPr>
        <w:t>standards</w:t>
      </w:r>
      <w:r>
        <w:rPr>
          <w:rFonts w:eastAsia="TimesNewRoman"/>
        </w:rPr>
        <w:t xml:space="preserve">. </w:t>
      </w:r>
      <w:r w:rsidR="0029279E">
        <w:rPr>
          <w:rFonts w:eastAsia="TimesNewRoman"/>
        </w:rPr>
        <w:t xml:space="preserve"> </w:t>
      </w:r>
      <w:r w:rsidR="00595105">
        <w:rPr>
          <w:rFonts w:eastAsia="TimesNewRoman"/>
        </w:rPr>
        <w:t xml:space="preserve">An entity </w:t>
      </w:r>
      <w:r w:rsidR="00054583">
        <w:rPr>
          <w:rFonts w:eastAsia="TimesNewRoman"/>
        </w:rPr>
        <w:t xml:space="preserve">recognized </w:t>
      </w:r>
      <w:r w:rsidR="00595105">
        <w:rPr>
          <w:rFonts w:eastAsia="TimesNewRoman"/>
        </w:rPr>
        <w:t xml:space="preserve">as a TCB must be accredited as meeting all appropriate specifications in ISO/IEC Guide 65, </w:t>
      </w:r>
      <w:r w:rsidR="00595105" w:rsidRPr="00794291">
        <w:rPr>
          <w:rFonts w:eastAsia="TimesNewRoman"/>
          <w:i/>
        </w:rPr>
        <w:t>General requirements for bodies operating product certification systems</w:t>
      </w:r>
      <w:r>
        <w:rPr>
          <w:rFonts w:eastAsia="TimesNewRoman"/>
        </w:rPr>
        <w:t>,</w:t>
      </w:r>
      <w:r w:rsidR="00595105">
        <w:rPr>
          <w:rFonts w:eastAsia="TimesNewRoman"/>
        </w:rPr>
        <w:t xml:space="preserve"> for the scope of equipment that it will certify.</w:t>
      </w:r>
      <w:r w:rsidR="00595105" w:rsidRPr="009D156B">
        <w:rPr>
          <w:rStyle w:val="FootnoteReference"/>
          <w:rFonts w:eastAsia="TimesNewRoman"/>
          <w:szCs w:val="22"/>
        </w:rPr>
        <w:footnoteReference w:id="98"/>
      </w:r>
      <w:r w:rsidR="00595105">
        <w:rPr>
          <w:rFonts w:eastAsia="TimesNewRoman"/>
        </w:rPr>
        <w:t xml:space="preserve">  An </w:t>
      </w:r>
      <w:r w:rsidR="00595105" w:rsidRPr="00C06792">
        <w:t xml:space="preserve">organization accrediting a prospective </w:t>
      </w:r>
      <w:r w:rsidR="00595105">
        <w:t xml:space="preserve">TCB </w:t>
      </w:r>
      <w:r w:rsidR="00595105" w:rsidRPr="00C06792">
        <w:t xml:space="preserve">to Guide 65 </w:t>
      </w:r>
      <w:r w:rsidR="00595105">
        <w:t xml:space="preserve">must </w:t>
      </w:r>
      <w:r w:rsidR="00595105" w:rsidRPr="00C06792">
        <w:t>be capable of meeting the requirements and conditions of ISO/IEC Guide 61</w:t>
      </w:r>
      <w:r w:rsidR="00794291">
        <w:t xml:space="preserve">, </w:t>
      </w:r>
      <w:r w:rsidR="00794291" w:rsidRPr="00794291">
        <w:rPr>
          <w:i/>
        </w:rPr>
        <w:t>General requirements for assessment and accreditation of certification/registration bodies</w:t>
      </w:r>
      <w:r w:rsidR="00595105" w:rsidRPr="00C06792">
        <w:t>.</w:t>
      </w:r>
      <w:r w:rsidR="00595105" w:rsidRPr="009D156B">
        <w:rPr>
          <w:rStyle w:val="FootnoteReference"/>
          <w:szCs w:val="22"/>
        </w:rPr>
        <w:footnoteReference w:id="99"/>
      </w:r>
      <w:r w:rsidR="00595105" w:rsidRPr="00C06792">
        <w:t xml:space="preserve">  </w:t>
      </w:r>
      <w:r w:rsidR="00164E0D">
        <w:t>TCBs also</w:t>
      </w:r>
      <w:r w:rsidR="00595105">
        <w:t xml:space="preserve"> </w:t>
      </w:r>
      <w:r>
        <w:t xml:space="preserve">must </w:t>
      </w:r>
      <w:r w:rsidR="00595105">
        <w:t xml:space="preserve">be accredited as meeting the requirements of ISO/IEC </w:t>
      </w:r>
      <w:r w:rsidR="0004460D">
        <w:t xml:space="preserve">Standard </w:t>
      </w:r>
      <w:r w:rsidR="00595105">
        <w:t xml:space="preserve">17025, </w:t>
      </w:r>
      <w:r w:rsidR="00595105" w:rsidRPr="00794291">
        <w:rPr>
          <w:i/>
        </w:rPr>
        <w:t>General Requirements for the Competence of Calibration and Testing Laboratories</w:t>
      </w:r>
      <w:r>
        <w:t>.</w:t>
      </w:r>
      <w:r w:rsidR="00595105" w:rsidRPr="009D156B">
        <w:rPr>
          <w:rStyle w:val="FootnoteReference"/>
          <w:szCs w:val="22"/>
        </w:rPr>
        <w:footnoteReference w:id="100"/>
      </w:r>
      <w:r w:rsidR="00595105">
        <w:t xml:space="preserve">  T</w:t>
      </w:r>
      <w:r w:rsidR="00595105" w:rsidRPr="00C06792">
        <w:t xml:space="preserve">he organization accrediting a </w:t>
      </w:r>
      <w:r w:rsidR="00164E0D">
        <w:t xml:space="preserve">TCB or </w:t>
      </w:r>
      <w:r w:rsidR="00595105" w:rsidRPr="00C06792">
        <w:t xml:space="preserve">testing laboratory to ISO/IEC 17025 </w:t>
      </w:r>
      <w:r w:rsidR="00595105">
        <w:t xml:space="preserve">must </w:t>
      </w:r>
      <w:r w:rsidR="00595105" w:rsidRPr="00C06792">
        <w:t xml:space="preserve">be approved by </w:t>
      </w:r>
      <w:r w:rsidR="004C10F7">
        <w:t>OET</w:t>
      </w:r>
      <w:r w:rsidR="00595105" w:rsidRPr="00C06792">
        <w:t xml:space="preserve"> to perform such accreditation based on ISO/IEC Guide 58</w:t>
      </w:r>
      <w:r w:rsidR="00794291">
        <w:t xml:space="preserve">, </w:t>
      </w:r>
      <w:r w:rsidR="00794291" w:rsidRPr="00794291">
        <w:rPr>
          <w:i/>
        </w:rPr>
        <w:t>Calibration and testing laboratory accreditation systems -- General requirements for operation and recognition</w:t>
      </w:r>
      <w:r w:rsidR="00595105" w:rsidRPr="00C06792">
        <w:rPr>
          <w:rStyle w:val="StyleParaNumItalicChar"/>
          <w:i w:val="0"/>
          <w:szCs w:val="22"/>
        </w:rPr>
        <w:t>.</w:t>
      </w:r>
      <w:r w:rsidR="00595105" w:rsidRPr="009D156B">
        <w:rPr>
          <w:rStyle w:val="FootnoteReference"/>
          <w:szCs w:val="22"/>
        </w:rPr>
        <w:footnoteReference w:id="101"/>
      </w:r>
      <w:bookmarkEnd w:id="287"/>
      <w:r w:rsidR="00595105" w:rsidRPr="009D156B">
        <w:t xml:space="preserve"> </w:t>
      </w:r>
      <w:r w:rsidR="00595105" w:rsidRPr="00C06792">
        <w:t xml:space="preserve"> </w:t>
      </w:r>
      <w:r w:rsidR="00A555DB">
        <w:t>A TCB that approves RF equipment under Part 2 must be reassessed for continuing accreditation at intervals not to exceed two years.</w:t>
      </w:r>
      <w:r w:rsidR="00A555DB">
        <w:rPr>
          <w:rStyle w:val="FootnoteReference"/>
        </w:rPr>
        <w:footnoteReference w:id="102"/>
      </w:r>
    </w:p>
    <w:p w:rsidR="00595105" w:rsidRDefault="00595105" w:rsidP="000116C7">
      <w:pPr>
        <w:pStyle w:val="ParaNum"/>
        <w:widowControl/>
      </w:pPr>
      <w:r>
        <w:t>Subsequent to the adoption of the rules</w:t>
      </w:r>
      <w:r w:rsidR="0029279E">
        <w:t xml:space="preserve"> specifying these requirements</w:t>
      </w:r>
      <w:r>
        <w:t xml:space="preserve">, several ISO/IEC guides were updated.  Specifically, </w:t>
      </w:r>
      <w:r w:rsidRPr="00C06792">
        <w:t>ISO/IEC</w:t>
      </w:r>
      <w:r w:rsidR="00E21BF3">
        <w:t xml:space="preserve"> </w:t>
      </w:r>
      <w:r w:rsidRPr="00C06792">
        <w:t>Guides</w:t>
      </w:r>
      <w:r w:rsidR="00E21BF3">
        <w:t xml:space="preserve"> </w:t>
      </w:r>
      <w:r w:rsidRPr="00C06792">
        <w:t>58</w:t>
      </w:r>
      <w:r w:rsidR="00E21BF3">
        <w:t xml:space="preserve"> </w:t>
      </w:r>
      <w:r w:rsidRPr="00C06792">
        <w:t>and</w:t>
      </w:r>
      <w:r w:rsidR="00E21BF3">
        <w:t xml:space="preserve"> </w:t>
      </w:r>
      <w:r w:rsidRPr="00C06792">
        <w:t xml:space="preserve">61 </w:t>
      </w:r>
      <w:r>
        <w:t>were</w:t>
      </w:r>
      <w:r w:rsidRPr="00C06792">
        <w:t xml:space="preserve"> updated and combined into a </w:t>
      </w:r>
      <w:r>
        <w:t xml:space="preserve">single </w:t>
      </w:r>
      <w:r w:rsidRPr="00C06792">
        <w:t>new standard, ISO/IEC 17011</w:t>
      </w:r>
      <w:r w:rsidR="00794291">
        <w:t xml:space="preserve">, </w:t>
      </w:r>
      <w:r w:rsidR="00794291" w:rsidRPr="007C05E0">
        <w:rPr>
          <w:i/>
          <w:szCs w:val="22"/>
        </w:rPr>
        <w:t xml:space="preserve">Conformity assessment – </w:t>
      </w:r>
      <w:r w:rsidR="00794291" w:rsidRPr="007C05E0">
        <w:rPr>
          <w:i/>
          <w:iCs/>
          <w:szCs w:val="22"/>
        </w:rPr>
        <w:t>General requirements for accreditation bodies accrediting conformity assessment bodies</w:t>
      </w:r>
      <w:r w:rsidRPr="00C06792">
        <w:t>.  ISO/IEC 17011 was prepared by the ISO Committee on conformity assessment (CASCO)</w:t>
      </w:r>
      <w:r>
        <w:t xml:space="preserve"> because</w:t>
      </w:r>
      <w:r w:rsidRPr="00C06792">
        <w:t xml:space="preserve"> the work performed by accreditation bodies </w:t>
      </w:r>
      <w:r>
        <w:t>accrediting</w:t>
      </w:r>
      <w:r w:rsidRPr="00C06792">
        <w:t xml:space="preserve"> testing laboratories and certification bodies is quite similar, and the</w:t>
      </w:r>
      <w:r>
        <w:t xml:space="preserve"> two separate standards had two</w:t>
      </w:r>
      <w:r w:rsidRPr="00C06792">
        <w:t xml:space="preserve"> sets of largely rep</w:t>
      </w:r>
      <w:r>
        <w:t>etitious but slightly differing</w:t>
      </w:r>
      <w:r w:rsidRPr="00C06792">
        <w:t xml:space="preserve"> requirements for </w:t>
      </w:r>
      <w:r>
        <w:t>evaluating laboratory and certification body functions</w:t>
      </w:r>
      <w:r w:rsidRPr="00C06792">
        <w:t>.</w:t>
      </w:r>
      <w:r>
        <w:t xml:space="preserve"> </w:t>
      </w:r>
      <w:r w:rsidR="00974076">
        <w:t xml:space="preserve"> In addition, ISO/IEC Guide 65 </w:t>
      </w:r>
      <w:r w:rsidR="001F319C">
        <w:t>was</w:t>
      </w:r>
      <w:r w:rsidR="00974076">
        <w:t xml:space="preserve"> replaced with a revised version designated ISO/IEC 17065</w:t>
      </w:r>
      <w:r w:rsidR="009F2261">
        <w:t xml:space="preserve">, </w:t>
      </w:r>
      <w:r w:rsidR="009F2261" w:rsidRPr="009F2261">
        <w:rPr>
          <w:i/>
          <w:szCs w:val="22"/>
        </w:rPr>
        <w:t>Conformity assessment - Requirements for bodies certifying products, processes and services</w:t>
      </w:r>
      <w:r w:rsidR="00974076">
        <w:t>.</w:t>
      </w:r>
    </w:p>
    <w:p w:rsidR="00595105" w:rsidRDefault="00595105" w:rsidP="000116C7">
      <w:pPr>
        <w:pStyle w:val="ParaNum"/>
        <w:widowControl/>
      </w:pPr>
      <w:bookmarkStart w:id="288" w:name="_Ref331594453"/>
      <w:r w:rsidRPr="001C0B46">
        <w:rPr>
          <w:rFonts w:eastAsia="TimesNewRoman"/>
          <w:i/>
        </w:rPr>
        <w:t>Proposal</w:t>
      </w:r>
      <w:r w:rsidRPr="00C06792">
        <w:rPr>
          <w:rFonts w:eastAsia="TimesNewRoman"/>
        </w:rPr>
        <w:t xml:space="preserve">. </w:t>
      </w:r>
      <w:r w:rsidR="00974076">
        <w:rPr>
          <w:rFonts w:eastAsia="TimesNewRoman"/>
        </w:rPr>
        <w:t xml:space="preserve"> </w:t>
      </w:r>
      <w:r w:rsidRPr="00C06792">
        <w:t xml:space="preserve">We propose to </w:t>
      </w:r>
      <w:r w:rsidR="00480238">
        <w:t>modify the rules in Parts 2 and 68 to replace</w:t>
      </w:r>
      <w:r w:rsidR="00480238" w:rsidRPr="00C06792">
        <w:t xml:space="preserve"> </w:t>
      </w:r>
      <w:r w:rsidRPr="00C06792">
        <w:t>the references to Guide 58 and Guide 61 with reference</w:t>
      </w:r>
      <w:r>
        <w:t>s</w:t>
      </w:r>
      <w:r w:rsidRPr="00C06792">
        <w:t xml:space="preserve"> to ISO/IEC 17011</w:t>
      </w:r>
      <w:r>
        <w:t>, and to replace the references to Guide 65 with references to ISO/IEC 17065</w:t>
      </w:r>
      <w:r w:rsidRPr="00C06792">
        <w:t>.</w:t>
      </w:r>
      <w:r w:rsidR="0062707D">
        <w:rPr>
          <w:rStyle w:val="FootnoteReference"/>
        </w:rPr>
        <w:footnoteReference w:id="103"/>
      </w:r>
      <w:r>
        <w:t xml:space="preserve">  </w:t>
      </w:r>
      <w:r w:rsidR="004E2155">
        <w:t xml:space="preserve">Consistent with </w:t>
      </w:r>
      <w:r w:rsidR="00974076">
        <w:t xml:space="preserve">the </w:t>
      </w:r>
      <w:r w:rsidR="001F319C">
        <w:t xml:space="preserve">revised </w:t>
      </w:r>
      <w:r w:rsidR="004E2155">
        <w:t xml:space="preserve">ISO/IEC 17065, we also propose to change the term “sub-contractors” with “external resources” in the Part 2 and 68 rules.  </w:t>
      </w:r>
      <w:r>
        <w:t xml:space="preserve">We believe that these changes will not have any significant impact on accrediting organizations </w:t>
      </w:r>
      <w:r w:rsidR="00244376">
        <w:t xml:space="preserve">or TCBs </w:t>
      </w:r>
      <w:r>
        <w:t>because the revised guides are substantially similar to the ISO/IEC guides currently specified in th</w:t>
      </w:r>
      <w:r w:rsidR="00244376">
        <w:t xml:space="preserve">e rules.  </w:t>
      </w:r>
      <w:r w:rsidR="007055C6">
        <w:t xml:space="preserve">We also propose to </w:t>
      </w:r>
      <w:r w:rsidR="007055C6">
        <w:lastRenderedPageBreak/>
        <w:t xml:space="preserve">update Section 68.162 to </w:t>
      </w:r>
      <w:r w:rsidR="00C226AC">
        <w:t>correct</w:t>
      </w:r>
      <w:r w:rsidR="007055C6">
        <w:t xml:space="preserve"> the outdated references to ISO/IEC Guide 25 </w:t>
      </w:r>
      <w:r w:rsidR="00C226AC">
        <w:t xml:space="preserve">which is now </w:t>
      </w:r>
      <w:r w:rsidR="00F30AD7">
        <w:t>designated</w:t>
      </w:r>
      <w:r w:rsidR="007055C6">
        <w:t xml:space="preserve"> ISO/IEC 17025.  </w:t>
      </w:r>
      <w:r w:rsidR="00A555DB">
        <w:t xml:space="preserve">We are not, however, proposing to change the requirement that TCBs that approve RF equipment must be reassessed every two years.  </w:t>
      </w:r>
      <w:r w:rsidR="00244376">
        <w:t>We seek comment on the</w:t>
      </w:r>
      <w:r>
        <w:t>s</w:t>
      </w:r>
      <w:r w:rsidR="00244376">
        <w:t>e</w:t>
      </w:r>
      <w:r>
        <w:t xml:space="preserve"> proposal</w:t>
      </w:r>
      <w:r w:rsidR="00244376">
        <w:t>s</w:t>
      </w:r>
      <w:r>
        <w:t>.  As discussed below, we are</w:t>
      </w:r>
      <w:r w:rsidR="00D73ACC">
        <w:t xml:space="preserve"> also</w:t>
      </w:r>
      <w:r>
        <w:t xml:space="preserve"> proposing to give OET delegated authority to update references to measurement procedures and other industry standards in </w:t>
      </w:r>
      <w:r w:rsidR="00B83CFC">
        <w:t xml:space="preserve">Parts 2, </w:t>
      </w:r>
      <w:r w:rsidR="00794291">
        <w:t xml:space="preserve">5, </w:t>
      </w:r>
      <w:r w:rsidR="00B83CFC">
        <w:t xml:space="preserve">15 and 18 of </w:t>
      </w:r>
      <w:r>
        <w:t>the rules in the future.</w:t>
      </w:r>
      <w:bookmarkEnd w:id="288"/>
    </w:p>
    <w:p w:rsidR="00FB0A89" w:rsidRDefault="00FB0A89" w:rsidP="000116C7">
      <w:pPr>
        <w:pStyle w:val="Heading2"/>
        <w:widowControl/>
      </w:pPr>
      <w:bookmarkStart w:id="289" w:name="_Toc289272088"/>
      <w:bookmarkStart w:id="290" w:name="_Toc289272131"/>
      <w:bookmarkStart w:id="291" w:name="_Toc292693328"/>
      <w:bookmarkStart w:id="292" w:name="_Toc292693396"/>
      <w:bookmarkStart w:id="293" w:name="_Toc323028029"/>
      <w:bookmarkStart w:id="294" w:name="_Toc324843296"/>
      <w:bookmarkStart w:id="295" w:name="_Toc324864713"/>
      <w:bookmarkStart w:id="296" w:name="_Toc324929580"/>
      <w:bookmarkStart w:id="297" w:name="_Toc324929704"/>
      <w:bookmarkStart w:id="298" w:name="_Toc325013630"/>
      <w:bookmarkStart w:id="299" w:name="_Toc325013960"/>
      <w:bookmarkStart w:id="300" w:name="_Toc325013980"/>
      <w:bookmarkStart w:id="301" w:name="_Toc325014067"/>
      <w:bookmarkStart w:id="302" w:name="_Toc325014168"/>
      <w:bookmarkStart w:id="303" w:name="_Toc325016817"/>
      <w:bookmarkStart w:id="304" w:name="_Toc325030447"/>
      <w:bookmarkStart w:id="305" w:name="_Toc326243797"/>
      <w:bookmarkStart w:id="306" w:name="_Toc326243994"/>
      <w:bookmarkStart w:id="307" w:name="_Toc327450767"/>
      <w:bookmarkStart w:id="308" w:name="_Toc330288215"/>
      <w:bookmarkStart w:id="309" w:name="_Toc330367185"/>
      <w:bookmarkStart w:id="310" w:name="_Toc331420773"/>
      <w:bookmarkStart w:id="311" w:name="_Toc331604653"/>
      <w:bookmarkStart w:id="312" w:name="_Toc332121629"/>
      <w:bookmarkStart w:id="313" w:name="_Toc332204306"/>
      <w:bookmarkStart w:id="314" w:name="_Toc332894808"/>
      <w:bookmarkStart w:id="315" w:name="_Toc333581621"/>
      <w:bookmarkStart w:id="316" w:name="_Toc333936413"/>
      <w:bookmarkStart w:id="317" w:name="_Toc335141622"/>
      <w:bookmarkStart w:id="318" w:name="_Toc335291365"/>
      <w:bookmarkStart w:id="319" w:name="_Toc335291418"/>
      <w:bookmarkStart w:id="320" w:name="_Toc335291478"/>
      <w:bookmarkStart w:id="321" w:name="_Toc335291548"/>
      <w:bookmarkStart w:id="322" w:name="_Toc335291686"/>
      <w:bookmarkStart w:id="323" w:name="_Toc335291738"/>
      <w:bookmarkStart w:id="324" w:name="_Toc335631616"/>
      <w:bookmarkStart w:id="325" w:name="_Toc335632658"/>
      <w:bookmarkStart w:id="326" w:name="_Toc335632730"/>
      <w:bookmarkStart w:id="327" w:name="_Toc337649168"/>
      <w:r>
        <w:t xml:space="preserve">Test </w:t>
      </w:r>
      <w:r w:rsidR="007E5B4E">
        <w:t>L</w:t>
      </w:r>
      <w:r w:rsidR="00F73E96">
        <w:t>aboratories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1E2BB3" w:rsidRPr="007075AC" w:rsidRDefault="001E2BB3" w:rsidP="000116C7">
      <w:pPr>
        <w:pStyle w:val="Heading3"/>
        <w:widowControl/>
      </w:pPr>
      <w:bookmarkStart w:id="328" w:name="_Toc289272132"/>
      <w:bookmarkStart w:id="329" w:name="_Toc292693329"/>
      <w:bookmarkStart w:id="330" w:name="_Toc292693397"/>
      <w:bookmarkStart w:id="331" w:name="_Toc323028030"/>
      <w:bookmarkStart w:id="332" w:name="_Toc324843297"/>
      <w:bookmarkStart w:id="333" w:name="_Toc324864714"/>
      <w:bookmarkStart w:id="334" w:name="_Toc324929581"/>
      <w:bookmarkStart w:id="335" w:name="_Toc324929705"/>
      <w:bookmarkStart w:id="336" w:name="_Toc325013631"/>
      <w:bookmarkStart w:id="337" w:name="_Toc325013961"/>
      <w:bookmarkStart w:id="338" w:name="_Toc325014169"/>
      <w:bookmarkStart w:id="339" w:name="_Toc325016818"/>
      <w:bookmarkStart w:id="340" w:name="_Toc325030448"/>
      <w:bookmarkStart w:id="341" w:name="_Toc326243798"/>
      <w:bookmarkStart w:id="342" w:name="_Toc326243995"/>
      <w:bookmarkStart w:id="343" w:name="_Toc327450768"/>
      <w:bookmarkStart w:id="344" w:name="_Toc330288216"/>
      <w:bookmarkStart w:id="345" w:name="_Toc330367186"/>
      <w:bookmarkStart w:id="346" w:name="_Toc331420774"/>
      <w:bookmarkStart w:id="347" w:name="_Toc331604654"/>
      <w:bookmarkStart w:id="348" w:name="_Toc332121630"/>
      <w:bookmarkStart w:id="349" w:name="_Toc332204307"/>
      <w:bookmarkStart w:id="350" w:name="_Toc332894809"/>
      <w:bookmarkStart w:id="351" w:name="_Toc333581622"/>
      <w:bookmarkStart w:id="352" w:name="_Toc333936414"/>
      <w:bookmarkStart w:id="353" w:name="_Toc335141623"/>
      <w:bookmarkStart w:id="354" w:name="_Toc335291366"/>
      <w:bookmarkStart w:id="355" w:name="_Toc335291419"/>
      <w:bookmarkStart w:id="356" w:name="_Toc335291479"/>
      <w:bookmarkStart w:id="357" w:name="_Toc335291549"/>
      <w:bookmarkStart w:id="358" w:name="_Toc335291687"/>
      <w:bookmarkStart w:id="359" w:name="_Toc335291739"/>
      <w:bookmarkStart w:id="360" w:name="_Toc335631617"/>
      <w:bookmarkStart w:id="361" w:name="_Toc335632659"/>
      <w:bookmarkStart w:id="362" w:name="_Toc335632731"/>
      <w:bookmarkStart w:id="363" w:name="_Toc337649169"/>
      <w:r w:rsidRPr="007075AC">
        <w:t>Accreditation of test laboratories</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56623" w:rsidRDefault="009561A8" w:rsidP="000116C7">
      <w:pPr>
        <w:pStyle w:val="ParaNum"/>
        <w:widowControl/>
        <w:rPr>
          <w:rFonts w:eastAsia="TimesNewRoman"/>
        </w:rPr>
      </w:pPr>
      <w:r>
        <w:rPr>
          <w:rFonts w:eastAsia="TimesNewRoman"/>
        </w:rPr>
        <w:t xml:space="preserve">Equipment </w:t>
      </w:r>
      <w:r w:rsidR="001E2BB3" w:rsidRPr="007075AC">
        <w:rPr>
          <w:rFonts w:eastAsia="TimesNewRoman"/>
        </w:rPr>
        <w:t xml:space="preserve">subject to certification under Parts 15 and </w:t>
      </w:r>
      <w:r w:rsidR="00743756" w:rsidRPr="007075AC">
        <w:rPr>
          <w:rFonts w:eastAsia="TimesNewRoman"/>
        </w:rPr>
        <w:t>18</w:t>
      </w:r>
      <w:r w:rsidR="001E2BB3" w:rsidRPr="007075AC">
        <w:rPr>
          <w:rFonts w:eastAsia="TimesNewRoman"/>
        </w:rPr>
        <w:t xml:space="preserve"> </w:t>
      </w:r>
      <w:r w:rsidR="00604B19">
        <w:rPr>
          <w:rFonts w:eastAsia="TimesNewRoman"/>
        </w:rPr>
        <w:t xml:space="preserve">of the rules </w:t>
      </w:r>
      <w:r w:rsidR="000F1188">
        <w:rPr>
          <w:rFonts w:eastAsia="TimesNewRoman"/>
        </w:rPr>
        <w:t>–</w:t>
      </w:r>
      <w:r w:rsidR="000F1188">
        <w:rPr>
          <w:rFonts w:eastAsia="TimesNewRoman"/>
          <w:i/>
        </w:rPr>
        <w:t xml:space="preserve">i.e. </w:t>
      </w:r>
      <w:r w:rsidR="000F1188">
        <w:rPr>
          <w:rFonts w:eastAsia="TimesNewRoman"/>
        </w:rPr>
        <w:t xml:space="preserve">unlicensed devices and industrial, scientific and medical equipment - </w:t>
      </w:r>
      <w:r w:rsidR="00743756" w:rsidRPr="007075AC">
        <w:rPr>
          <w:rFonts w:eastAsia="TimesNewRoman"/>
        </w:rPr>
        <w:t>must be tested at a</w:t>
      </w:r>
      <w:r w:rsidR="001E2BB3" w:rsidRPr="007075AC">
        <w:rPr>
          <w:rFonts w:eastAsia="TimesNewRoman"/>
        </w:rPr>
        <w:t xml:space="preserve"> laboratory </w:t>
      </w:r>
      <w:r w:rsidR="00743756" w:rsidRPr="007075AC">
        <w:rPr>
          <w:rFonts w:eastAsia="TimesNewRoman"/>
        </w:rPr>
        <w:t xml:space="preserve">that </w:t>
      </w:r>
      <w:r w:rsidR="000F1188">
        <w:rPr>
          <w:rFonts w:eastAsia="TimesNewRoman"/>
        </w:rPr>
        <w:t>meets one of two criteria: the laboratory must have</w:t>
      </w:r>
      <w:r w:rsidR="00DE7839">
        <w:rPr>
          <w:rFonts w:eastAsia="TimesNewRoman"/>
        </w:rPr>
        <w:t xml:space="preserve"> either </w:t>
      </w:r>
      <w:r w:rsidR="000F1188">
        <w:rPr>
          <w:rFonts w:eastAsia="TimesNewRoman"/>
        </w:rPr>
        <w:t xml:space="preserve">(a) </w:t>
      </w:r>
      <w:r w:rsidR="00DE7839">
        <w:rPr>
          <w:rFonts w:eastAsia="TimesNewRoman"/>
        </w:rPr>
        <w:t xml:space="preserve">filed a description of its facilities </w:t>
      </w:r>
      <w:r w:rsidR="001E2BB3" w:rsidRPr="007075AC">
        <w:rPr>
          <w:rFonts w:eastAsia="TimesNewRoman"/>
        </w:rPr>
        <w:t xml:space="preserve">with the Commission in accordance with the requirements </w:t>
      </w:r>
      <w:r w:rsidR="00D62A03">
        <w:rPr>
          <w:rFonts w:eastAsia="TimesNewRoman"/>
        </w:rPr>
        <w:t>of</w:t>
      </w:r>
      <w:r w:rsidR="001E2BB3" w:rsidRPr="007075AC">
        <w:rPr>
          <w:rFonts w:eastAsia="TimesNewRoman"/>
        </w:rPr>
        <w:t xml:space="preserve"> Section 2.948 </w:t>
      </w:r>
      <w:r w:rsidR="003D7EC8">
        <w:rPr>
          <w:rFonts w:eastAsia="TimesNewRoman"/>
        </w:rPr>
        <w:t>of the rules</w:t>
      </w:r>
      <w:r w:rsidR="000F1188">
        <w:rPr>
          <w:rFonts w:eastAsia="TimesNewRoman"/>
        </w:rPr>
        <w:t>,</w:t>
      </w:r>
      <w:r w:rsidR="003D7EC8">
        <w:rPr>
          <w:rFonts w:eastAsia="TimesNewRoman"/>
        </w:rPr>
        <w:t xml:space="preserve"> </w:t>
      </w:r>
      <w:r w:rsidR="001E2BB3" w:rsidRPr="007075AC">
        <w:rPr>
          <w:rFonts w:eastAsia="TimesNewRoman"/>
        </w:rPr>
        <w:t xml:space="preserve">or </w:t>
      </w:r>
      <w:r w:rsidR="000F1188">
        <w:rPr>
          <w:rFonts w:eastAsia="TimesNewRoman"/>
        </w:rPr>
        <w:t>(b) been</w:t>
      </w:r>
      <w:r w:rsidR="001E2BB3" w:rsidRPr="007075AC">
        <w:rPr>
          <w:rFonts w:eastAsia="TimesNewRoman"/>
        </w:rPr>
        <w:t xml:space="preserve"> accredited under ISO/IEC 17025</w:t>
      </w:r>
      <w:r w:rsidR="00054583">
        <w:rPr>
          <w:rFonts w:eastAsia="TimesNewRoman"/>
        </w:rPr>
        <w:t xml:space="preserve"> and recognized by the Commission</w:t>
      </w:r>
      <w:r w:rsidR="001E2BB3" w:rsidRPr="007075AC">
        <w:rPr>
          <w:rFonts w:eastAsia="TimesNewRoman"/>
        </w:rPr>
        <w:t>.</w:t>
      </w:r>
      <w:r w:rsidR="001E2BB3" w:rsidRPr="007075AC">
        <w:rPr>
          <w:rStyle w:val="FootnoteReference"/>
          <w:rFonts w:eastAsia="TimesNewRoman"/>
          <w:szCs w:val="22"/>
        </w:rPr>
        <w:footnoteReference w:id="104"/>
      </w:r>
      <w:r w:rsidR="001E2BB3" w:rsidRPr="007075AC">
        <w:rPr>
          <w:rFonts w:eastAsia="TimesNewRoman"/>
        </w:rPr>
        <w:t xml:space="preserve">  </w:t>
      </w:r>
      <w:r w:rsidR="00103ECE">
        <w:rPr>
          <w:rFonts w:eastAsia="TimesNewRoman"/>
        </w:rPr>
        <w:t xml:space="preserve">The Section 2.948 </w:t>
      </w:r>
      <w:r w:rsidR="00DE7839">
        <w:rPr>
          <w:rFonts w:eastAsia="TimesNewRoman"/>
        </w:rPr>
        <w:t xml:space="preserve">filing </w:t>
      </w:r>
      <w:r w:rsidR="00103ECE">
        <w:rPr>
          <w:rFonts w:eastAsia="TimesNewRoman"/>
        </w:rPr>
        <w:t xml:space="preserve">process requires a </w:t>
      </w:r>
      <w:r w:rsidR="00693A28">
        <w:rPr>
          <w:rFonts w:eastAsia="TimesNewRoman"/>
        </w:rPr>
        <w:t>party</w:t>
      </w:r>
      <w:r w:rsidR="00103ECE">
        <w:rPr>
          <w:rFonts w:eastAsia="TimesNewRoman"/>
        </w:rPr>
        <w:t xml:space="preserve"> to submit a description </w:t>
      </w:r>
      <w:r w:rsidR="00693A28">
        <w:rPr>
          <w:rFonts w:eastAsia="TimesNewRoman"/>
        </w:rPr>
        <w:t xml:space="preserve">of its facilities </w:t>
      </w:r>
      <w:r w:rsidR="00103ECE">
        <w:rPr>
          <w:rFonts w:eastAsia="TimesNewRoman"/>
        </w:rPr>
        <w:t>to the Commission that includes the location of the test site, a physical description of the site that includes drawings and photographs, a description of the structures that</w:t>
      </w:r>
      <w:r w:rsidR="00EE39D1">
        <w:rPr>
          <w:rFonts w:eastAsia="TimesNewRoman"/>
        </w:rPr>
        <w:t xml:space="preserve"> support the device being measured and test instrumentation, the measuring equipment used and information on its calibration, a statement as to whether the site is available to do measurements for the public for a fee, and site attenuation data taken in accordance with ANSI C63.4-2001.</w:t>
      </w:r>
      <w:r w:rsidR="00EE39D1">
        <w:rPr>
          <w:rStyle w:val="FootnoteReference"/>
          <w:rFonts w:eastAsia="TimesNewRoman"/>
          <w:szCs w:val="22"/>
        </w:rPr>
        <w:footnoteReference w:id="105"/>
      </w:r>
      <w:r w:rsidR="00EE39D1">
        <w:rPr>
          <w:rFonts w:eastAsia="TimesNewRoman"/>
        </w:rPr>
        <w:t xml:space="preserve">  </w:t>
      </w:r>
      <w:r w:rsidR="00A56623">
        <w:rPr>
          <w:rFonts w:eastAsia="TimesNewRoman"/>
        </w:rPr>
        <w:t>The Section 2.948 listing is based solely on a Commission review of the documentation submitted.</w:t>
      </w:r>
    </w:p>
    <w:p w:rsidR="00DE7839" w:rsidRDefault="000F1188" w:rsidP="000116C7">
      <w:pPr>
        <w:pStyle w:val="ParaNum"/>
        <w:widowControl/>
        <w:rPr>
          <w:rFonts w:eastAsia="TimesNewRoman"/>
        </w:rPr>
      </w:pPr>
      <w:r>
        <w:rPr>
          <w:rFonts w:eastAsia="TimesNewRoman"/>
        </w:rPr>
        <w:t>In contrast to the Section 2.948 filing process, l</w:t>
      </w:r>
      <w:r w:rsidR="00A56623">
        <w:rPr>
          <w:rFonts w:eastAsia="TimesNewRoman"/>
        </w:rPr>
        <w:t xml:space="preserve">aboratory accreditation involves </w:t>
      </w:r>
      <w:r w:rsidR="00BD6D36">
        <w:rPr>
          <w:rFonts w:eastAsia="TimesNewRoman"/>
        </w:rPr>
        <w:t>an</w:t>
      </w:r>
      <w:r w:rsidR="00A56623">
        <w:rPr>
          <w:rFonts w:eastAsia="TimesNewRoman"/>
        </w:rPr>
        <w:t xml:space="preserve"> extensive review of documentation and onsite visits by representative(s) of the accrediting body.  </w:t>
      </w:r>
      <w:r w:rsidR="00BE00DC">
        <w:rPr>
          <w:rFonts w:eastAsia="TimesNewRoman"/>
        </w:rPr>
        <w:t xml:space="preserve">Laboratory accreditation bodies assess a variety of aspects of a laboratory, including the technical competence of staff; the validity and appropriateness of test methods; traceability of measurements and calibration to national standards; suitability, calibration and maintenance of the testing environment; sampling, handling and transportation of test items; and quality assurance of test and calibration data.  </w:t>
      </w:r>
      <w:r w:rsidR="007F0237">
        <w:rPr>
          <w:rFonts w:eastAsia="TimesNewRoman"/>
        </w:rPr>
        <w:t xml:space="preserve">The accreditation of a laboratory outside the United States is </w:t>
      </w:r>
      <w:r w:rsidR="00E9482B">
        <w:rPr>
          <w:rFonts w:eastAsia="TimesNewRoman"/>
        </w:rPr>
        <w:t xml:space="preserve">considered </w:t>
      </w:r>
      <w:r w:rsidR="007F0237">
        <w:rPr>
          <w:rFonts w:eastAsia="TimesNewRoman"/>
        </w:rPr>
        <w:t>acceptable only if it is located in a country that has a</w:t>
      </w:r>
      <w:r w:rsidR="00D73ACC">
        <w:rPr>
          <w:rFonts w:eastAsia="TimesNewRoman"/>
        </w:rPr>
        <w:t>n</w:t>
      </w:r>
      <w:r w:rsidR="007F0237">
        <w:rPr>
          <w:rFonts w:eastAsia="TimesNewRoman"/>
        </w:rPr>
        <w:t xml:space="preserve"> MRA with the United States or is </w:t>
      </w:r>
      <w:r w:rsidR="00E9482B">
        <w:rPr>
          <w:rFonts w:eastAsia="TimesNewRoman"/>
        </w:rPr>
        <w:t>accredited by an organization that has entered into an arrangement between accrediting organizations that is recognized by the Commission.</w:t>
      </w:r>
      <w:r w:rsidR="00E9482B">
        <w:rPr>
          <w:rStyle w:val="FootnoteReference"/>
          <w:rFonts w:eastAsia="TimesNewRoman"/>
          <w:szCs w:val="22"/>
        </w:rPr>
        <w:footnoteReference w:id="106"/>
      </w:r>
      <w:r w:rsidR="00B5739A">
        <w:rPr>
          <w:rFonts w:eastAsia="TimesNewRoman"/>
        </w:rPr>
        <w:t xml:space="preserve"> </w:t>
      </w:r>
      <w:r w:rsidR="00DB5774">
        <w:rPr>
          <w:rFonts w:eastAsia="TimesNewRoman"/>
        </w:rPr>
        <w:t xml:space="preserve"> </w:t>
      </w:r>
      <w:r w:rsidR="00A56623">
        <w:rPr>
          <w:rFonts w:eastAsia="TimesNewRoman"/>
        </w:rPr>
        <w:t>The Commission maintains a list of laboratories that includes those that have filed a description under Section 2.948 and those laboratories accredited under ISO/IEC 17025 for which the accrediting organization has submitted information to the Commission.</w:t>
      </w:r>
      <w:r w:rsidR="00CD7B7E">
        <w:rPr>
          <w:rStyle w:val="FootnoteReference"/>
          <w:rFonts w:eastAsia="TimesNewRoman"/>
        </w:rPr>
        <w:footnoteReference w:id="107"/>
      </w:r>
      <w:r w:rsidR="00A56623">
        <w:rPr>
          <w:rFonts w:eastAsia="TimesNewRoman"/>
        </w:rPr>
        <w:t xml:space="preserve">  </w:t>
      </w:r>
      <w:r w:rsidR="00D77BC1">
        <w:rPr>
          <w:rFonts w:eastAsia="TimesNewRoman"/>
        </w:rPr>
        <w:t>An accredited test laboratory must be reassessed at intervals not to exceed two years.</w:t>
      </w:r>
      <w:r w:rsidR="00D77BC1">
        <w:rPr>
          <w:rStyle w:val="FootnoteReference"/>
          <w:rFonts w:eastAsia="TimesNewRoman"/>
        </w:rPr>
        <w:footnoteReference w:id="108"/>
      </w:r>
    </w:p>
    <w:p w:rsidR="001E2BB3" w:rsidRPr="007075AC" w:rsidRDefault="000F1188" w:rsidP="000116C7">
      <w:pPr>
        <w:pStyle w:val="ParaNum"/>
        <w:widowControl/>
        <w:rPr>
          <w:rFonts w:eastAsia="TimesNewRoman"/>
        </w:rPr>
      </w:pPr>
      <w:r>
        <w:t>Unlike Part 15 and 18 equipment</w:t>
      </w:r>
      <w:r w:rsidR="00D73ACC">
        <w:t xml:space="preserve"> rules</w:t>
      </w:r>
      <w:r>
        <w:t>, t</w:t>
      </w:r>
      <w:r w:rsidR="00693A28">
        <w:t xml:space="preserve">he </w:t>
      </w:r>
      <w:r w:rsidR="00D73ACC">
        <w:t xml:space="preserve">Commission’s </w:t>
      </w:r>
      <w:r w:rsidR="00693A28">
        <w:t>rules do not require that e</w:t>
      </w:r>
      <w:r w:rsidR="009561A8">
        <w:t>quipment</w:t>
      </w:r>
      <w:r w:rsidR="00212FBE" w:rsidRPr="00212FBE">
        <w:t xml:space="preserve"> authorized to operate in licensed services be tested at </w:t>
      </w:r>
      <w:r w:rsidR="00C011A9">
        <w:t xml:space="preserve">either </w:t>
      </w:r>
      <w:r w:rsidR="00212FBE" w:rsidRPr="00212FBE">
        <w:t xml:space="preserve">a </w:t>
      </w:r>
      <w:r w:rsidR="00DE7839">
        <w:t xml:space="preserve">Section 2.948 </w:t>
      </w:r>
      <w:r w:rsidR="00212FBE" w:rsidRPr="00212FBE">
        <w:t xml:space="preserve">listed </w:t>
      </w:r>
      <w:r w:rsidR="002D695D">
        <w:t xml:space="preserve">laboratory </w:t>
      </w:r>
      <w:r w:rsidR="00212FBE" w:rsidRPr="00212FBE">
        <w:t xml:space="preserve">or </w:t>
      </w:r>
      <w:r w:rsidR="00693A28">
        <w:t xml:space="preserve">at </w:t>
      </w:r>
      <w:r w:rsidR="00A61796">
        <w:t xml:space="preserve">an </w:t>
      </w:r>
      <w:r w:rsidR="00212FBE" w:rsidRPr="00212FBE">
        <w:t>accredited</w:t>
      </w:r>
      <w:r w:rsidR="007D2DFA">
        <w:t xml:space="preserve"> and</w:t>
      </w:r>
      <w:r w:rsidR="00054583">
        <w:t xml:space="preserve"> recognized</w:t>
      </w:r>
      <w:r w:rsidR="00212FBE" w:rsidRPr="00212FBE">
        <w:t xml:space="preserve"> laboratory.  However, because many of the testing laboratories that perform measurements on equipment operating under the licensed radio service requirements also test equipment subject to Parts 15 and 18, their test facilities </w:t>
      </w:r>
      <w:r w:rsidR="00CD7B7E">
        <w:t>are</w:t>
      </w:r>
      <w:r w:rsidR="00CD7B7E" w:rsidRPr="00212FBE">
        <w:t xml:space="preserve"> </w:t>
      </w:r>
      <w:r w:rsidR="00212FBE" w:rsidRPr="00212FBE">
        <w:t xml:space="preserve">already </w:t>
      </w:r>
      <w:r w:rsidR="00CD7B7E">
        <w:t>accredited</w:t>
      </w:r>
      <w:r w:rsidR="00212FBE" w:rsidRPr="00212FBE">
        <w:t>.</w:t>
      </w:r>
    </w:p>
    <w:p w:rsidR="000C2DC7" w:rsidRDefault="001E2BB3" w:rsidP="000116C7">
      <w:pPr>
        <w:pStyle w:val="ParaNum"/>
        <w:widowControl/>
        <w:rPr>
          <w:rFonts w:eastAsia="TimesNewRoman"/>
        </w:rPr>
      </w:pPr>
      <w:r w:rsidRPr="00103ECE">
        <w:rPr>
          <w:rFonts w:eastAsia="TimesNewRoman"/>
          <w:i/>
        </w:rPr>
        <w:t>Proposal</w:t>
      </w:r>
      <w:r w:rsidRPr="00103ECE">
        <w:rPr>
          <w:rFonts w:eastAsia="TimesNewRoman"/>
        </w:rPr>
        <w:t xml:space="preserve">.  We propose to </w:t>
      </w:r>
      <w:r w:rsidR="007F0237">
        <w:rPr>
          <w:rFonts w:eastAsia="TimesNewRoman"/>
        </w:rPr>
        <w:t>end</w:t>
      </w:r>
      <w:r w:rsidRPr="00103ECE">
        <w:rPr>
          <w:rFonts w:eastAsia="TimesNewRoman"/>
        </w:rPr>
        <w:t xml:space="preserve"> </w:t>
      </w:r>
      <w:r w:rsidR="00952FE3">
        <w:rPr>
          <w:rFonts w:eastAsia="TimesNewRoman"/>
        </w:rPr>
        <w:t xml:space="preserve">the </w:t>
      </w:r>
      <w:r w:rsidRPr="00103ECE">
        <w:rPr>
          <w:rFonts w:eastAsia="TimesNewRoman"/>
        </w:rPr>
        <w:t xml:space="preserve">listing </w:t>
      </w:r>
      <w:r w:rsidR="004F71AD">
        <w:rPr>
          <w:rFonts w:eastAsia="TimesNewRoman"/>
        </w:rPr>
        <w:t>program</w:t>
      </w:r>
      <w:r w:rsidR="007F4DD1">
        <w:rPr>
          <w:rFonts w:eastAsia="TimesNewRoman"/>
        </w:rPr>
        <w:t xml:space="preserve"> for</w:t>
      </w:r>
      <w:r w:rsidRPr="00103ECE">
        <w:rPr>
          <w:rFonts w:eastAsia="TimesNewRoman"/>
        </w:rPr>
        <w:t xml:space="preserve"> laboratories</w:t>
      </w:r>
      <w:r w:rsidR="00952FE3">
        <w:rPr>
          <w:rFonts w:eastAsia="TimesNewRoman"/>
        </w:rPr>
        <w:t xml:space="preserve"> that </w:t>
      </w:r>
      <w:r w:rsidR="00A73FD6">
        <w:rPr>
          <w:rFonts w:eastAsia="TimesNewRoman"/>
        </w:rPr>
        <w:t xml:space="preserve">test equipment certified under Parts 15 and 18 </w:t>
      </w:r>
      <w:r w:rsidR="000B5812">
        <w:rPr>
          <w:rFonts w:eastAsia="TimesNewRoman"/>
        </w:rPr>
        <w:t>of the rules</w:t>
      </w:r>
      <w:r w:rsidR="00952FE3">
        <w:rPr>
          <w:rFonts w:eastAsia="TimesNewRoman"/>
        </w:rPr>
        <w:t>.  Instead, we propose to require that</w:t>
      </w:r>
      <w:r w:rsidR="007F0237">
        <w:rPr>
          <w:rFonts w:eastAsia="TimesNewRoman"/>
        </w:rPr>
        <w:t xml:space="preserve"> all </w:t>
      </w:r>
      <w:r w:rsidRPr="00103ECE">
        <w:rPr>
          <w:rFonts w:eastAsia="TimesNewRoman"/>
        </w:rPr>
        <w:t>laborator</w:t>
      </w:r>
      <w:r w:rsidR="007F0237">
        <w:rPr>
          <w:rFonts w:eastAsia="TimesNewRoman"/>
        </w:rPr>
        <w:t>ies</w:t>
      </w:r>
      <w:r w:rsidRPr="00103ECE">
        <w:rPr>
          <w:rFonts w:eastAsia="TimesNewRoman"/>
        </w:rPr>
        <w:t xml:space="preserve"> </w:t>
      </w:r>
      <w:r w:rsidR="00A73FD6">
        <w:rPr>
          <w:rFonts w:eastAsia="TimesNewRoman"/>
        </w:rPr>
        <w:t>that test</w:t>
      </w:r>
      <w:r w:rsidR="006C5263">
        <w:rPr>
          <w:rFonts w:eastAsia="TimesNewRoman"/>
        </w:rPr>
        <w:t xml:space="preserve"> equipment </w:t>
      </w:r>
      <w:r w:rsidR="006C5263">
        <w:rPr>
          <w:rFonts w:eastAsia="TimesNewRoman"/>
        </w:rPr>
        <w:lastRenderedPageBreak/>
        <w:t>subject to certification</w:t>
      </w:r>
      <w:r w:rsidR="00844B86">
        <w:rPr>
          <w:rFonts w:eastAsia="TimesNewRoman"/>
        </w:rPr>
        <w:t xml:space="preserve"> </w:t>
      </w:r>
      <w:r w:rsidR="00BD6D36">
        <w:rPr>
          <w:rFonts w:eastAsia="TimesNewRoman"/>
        </w:rPr>
        <w:t xml:space="preserve">and DoC </w:t>
      </w:r>
      <w:r w:rsidR="00A73FD6">
        <w:rPr>
          <w:rFonts w:eastAsia="TimesNewRoman"/>
        </w:rPr>
        <w:t xml:space="preserve">under any rule part </w:t>
      </w:r>
      <w:r w:rsidRPr="00103ECE">
        <w:rPr>
          <w:rFonts w:eastAsia="TimesNewRoman"/>
        </w:rPr>
        <w:t>be accredited to ISO/IEC 17025</w:t>
      </w:r>
      <w:r w:rsidR="006C5263">
        <w:rPr>
          <w:rFonts w:eastAsia="TimesNewRoman"/>
        </w:rPr>
        <w:t>.  This</w:t>
      </w:r>
      <w:r w:rsidR="000E0158">
        <w:rPr>
          <w:rFonts w:eastAsia="TimesNewRoman"/>
        </w:rPr>
        <w:t xml:space="preserve"> would be a change from the current rules </w:t>
      </w:r>
      <w:r w:rsidR="002E2656">
        <w:rPr>
          <w:rFonts w:eastAsia="TimesNewRoman"/>
        </w:rPr>
        <w:t>under</w:t>
      </w:r>
      <w:r w:rsidR="000E0158">
        <w:rPr>
          <w:rFonts w:eastAsia="TimesNewRoman"/>
        </w:rPr>
        <w:t xml:space="preserve"> which only devices subject to DoC must be tested at an accredited laboratory.</w:t>
      </w:r>
      <w:r w:rsidR="006C5263">
        <w:rPr>
          <w:rFonts w:eastAsia="TimesNewRoman"/>
        </w:rPr>
        <w:t xml:space="preserve">  </w:t>
      </w:r>
      <w:r w:rsidR="00021D6C">
        <w:rPr>
          <w:rFonts w:eastAsia="TimesNewRoman"/>
        </w:rPr>
        <w:t xml:space="preserve">We believe that this change is appropriate for several reasons.  First, </w:t>
      </w:r>
      <w:r w:rsidR="00691704">
        <w:rPr>
          <w:rFonts w:eastAsia="TimesNewRoman"/>
        </w:rPr>
        <w:t xml:space="preserve">because </w:t>
      </w:r>
      <w:r w:rsidR="00021D6C">
        <w:rPr>
          <w:rFonts w:eastAsia="TimesNewRoman"/>
        </w:rPr>
        <w:t xml:space="preserve">we are proposing to cease Commission certification of RF devices and rely on TCBs to approve all such equipment, we believe that we should at the same time take measures to </w:t>
      </w:r>
      <w:r w:rsidR="00DC064C">
        <w:rPr>
          <w:rFonts w:eastAsia="TimesNewRoman"/>
        </w:rPr>
        <w:t xml:space="preserve">continue to </w:t>
      </w:r>
      <w:r w:rsidR="00021D6C">
        <w:rPr>
          <w:rFonts w:eastAsia="TimesNewRoman"/>
        </w:rPr>
        <w:t xml:space="preserve">ensure the </w:t>
      </w:r>
      <w:r w:rsidR="00DF7B71">
        <w:rPr>
          <w:rFonts w:eastAsia="TimesNewRoman"/>
        </w:rPr>
        <w:t>quality</w:t>
      </w:r>
      <w:r w:rsidR="00021D6C">
        <w:rPr>
          <w:rFonts w:eastAsia="TimesNewRoman"/>
        </w:rPr>
        <w:t xml:space="preserve"> of the TCB program.   </w:t>
      </w:r>
      <w:r w:rsidR="000C2DC7">
        <w:rPr>
          <w:rFonts w:eastAsia="TimesNewRoman"/>
        </w:rPr>
        <w:t>R</w:t>
      </w:r>
      <w:r w:rsidR="000B5812">
        <w:rPr>
          <w:rFonts w:eastAsia="TimesNewRoman"/>
        </w:rPr>
        <w:t>equiring</w:t>
      </w:r>
      <w:r w:rsidR="006C5263">
        <w:rPr>
          <w:rFonts w:eastAsia="TimesNewRoman"/>
        </w:rPr>
        <w:t xml:space="preserve"> laborator</w:t>
      </w:r>
      <w:r w:rsidR="000B5812">
        <w:rPr>
          <w:rFonts w:eastAsia="TimesNewRoman"/>
        </w:rPr>
        <w:t xml:space="preserve">ies </w:t>
      </w:r>
      <w:r w:rsidR="00BD6D36">
        <w:rPr>
          <w:rFonts w:eastAsia="TimesNewRoman"/>
        </w:rPr>
        <w:t xml:space="preserve">that perform certification testing </w:t>
      </w:r>
      <w:r w:rsidR="000B5812">
        <w:rPr>
          <w:rFonts w:eastAsia="TimesNewRoman"/>
        </w:rPr>
        <w:t>to be accredited</w:t>
      </w:r>
      <w:r w:rsidR="006C5263">
        <w:rPr>
          <w:rFonts w:eastAsia="TimesNewRoman"/>
        </w:rPr>
        <w:t xml:space="preserve"> </w:t>
      </w:r>
      <w:r w:rsidR="00691704">
        <w:rPr>
          <w:rFonts w:eastAsia="TimesNewRoman"/>
        </w:rPr>
        <w:t xml:space="preserve">will </w:t>
      </w:r>
      <w:r w:rsidR="006C5263">
        <w:rPr>
          <w:rFonts w:eastAsia="TimesNewRoman"/>
        </w:rPr>
        <w:t xml:space="preserve">provide a higher degree of confidence </w:t>
      </w:r>
      <w:r w:rsidR="000C2DC7">
        <w:rPr>
          <w:rFonts w:eastAsia="TimesNewRoman"/>
        </w:rPr>
        <w:t xml:space="preserve">for both the Commission and TCBs </w:t>
      </w:r>
      <w:r w:rsidR="006C5263">
        <w:rPr>
          <w:rFonts w:eastAsia="TimesNewRoman"/>
        </w:rPr>
        <w:t>that testing was done in accordance with the applicable standards</w:t>
      </w:r>
      <w:r w:rsidR="00A73FD6">
        <w:rPr>
          <w:rFonts w:eastAsia="TimesNewRoman"/>
        </w:rPr>
        <w:t xml:space="preserve"> than the current listing procedure</w:t>
      </w:r>
      <w:r w:rsidR="00DF7B71">
        <w:rPr>
          <w:rFonts w:eastAsia="TimesNewRoman"/>
        </w:rPr>
        <w:t xml:space="preserve"> provides</w:t>
      </w:r>
      <w:r w:rsidR="006C5263">
        <w:rPr>
          <w:rFonts w:eastAsia="TimesNewRoman"/>
        </w:rPr>
        <w:t>.</w:t>
      </w:r>
      <w:r w:rsidR="00276737">
        <w:rPr>
          <w:rFonts w:eastAsia="TimesNewRoman"/>
        </w:rPr>
        <w:t xml:space="preserve"> </w:t>
      </w:r>
      <w:r w:rsidR="00E9482B">
        <w:rPr>
          <w:rFonts w:eastAsia="TimesNewRoman"/>
        </w:rPr>
        <w:t xml:space="preserve"> </w:t>
      </w:r>
      <w:r w:rsidR="001C66DC">
        <w:rPr>
          <w:rFonts w:eastAsia="TimesNewRoman"/>
        </w:rPr>
        <w:t>As noted above, l</w:t>
      </w:r>
      <w:r w:rsidR="00E9482B">
        <w:rPr>
          <w:rFonts w:eastAsia="TimesNewRoman"/>
        </w:rPr>
        <w:t xml:space="preserve">aboratory accreditation is based on a rigorous </w:t>
      </w:r>
      <w:r w:rsidR="000C2DC7">
        <w:rPr>
          <w:rFonts w:eastAsia="TimesNewRoman"/>
        </w:rPr>
        <w:t xml:space="preserve">third party </w:t>
      </w:r>
      <w:r w:rsidR="00E9482B">
        <w:rPr>
          <w:rFonts w:eastAsia="TimesNewRoman"/>
        </w:rPr>
        <w:t>review of laboratory functions and capabilities, including the technical competence of its staff and quality assurance methods</w:t>
      </w:r>
      <w:r w:rsidR="00F20E69">
        <w:rPr>
          <w:rFonts w:eastAsia="TimesNewRoman"/>
        </w:rPr>
        <w:t>, and includes onsite inspections by the accrediting organization</w:t>
      </w:r>
      <w:r w:rsidR="00E9482B">
        <w:rPr>
          <w:rFonts w:eastAsia="TimesNewRoman"/>
        </w:rPr>
        <w:t xml:space="preserve">.  </w:t>
      </w:r>
      <w:r w:rsidR="00974AF1">
        <w:rPr>
          <w:rFonts w:eastAsia="TimesNewRoman"/>
        </w:rPr>
        <w:t>In contrast</w:t>
      </w:r>
      <w:r w:rsidR="00493AA7">
        <w:rPr>
          <w:rFonts w:eastAsia="TimesNewRoman"/>
        </w:rPr>
        <w:t>,</w:t>
      </w:r>
      <w:r w:rsidR="00F20E69">
        <w:rPr>
          <w:rFonts w:eastAsia="TimesNewRoman"/>
        </w:rPr>
        <w:t xml:space="preserve"> </w:t>
      </w:r>
      <w:r w:rsidR="00974AF1">
        <w:rPr>
          <w:rFonts w:eastAsia="TimesNewRoman"/>
        </w:rPr>
        <w:t>the Section 2.948 listing program is based solely on a desk review of cer</w:t>
      </w:r>
      <w:r w:rsidR="000E0158">
        <w:rPr>
          <w:rFonts w:eastAsia="TimesNewRoman"/>
        </w:rPr>
        <w:t>tain laboratory characteristics</w:t>
      </w:r>
      <w:r w:rsidR="00493AA7">
        <w:rPr>
          <w:rFonts w:eastAsia="TimesNewRoman"/>
        </w:rPr>
        <w:t>.</w:t>
      </w:r>
      <w:r w:rsidR="004F71AD">
        <w:rPr>
          <w:rFonts w:eastAsia="TimesNewRoman"/>
        </w:rPr>
        <w:t xml:space="preserve">  </w:t>
      </w:r>
      <w:r w:rsidR="000C2DC7">
        <w:rPr>
          <w:rFonts w:eastAsia="TimesNewRoman"/>
        </w:rPr>
        <w:t xml:space="preserve">We </w:t>
      </w:r>
      <w:r w:rsidR="00DF7B71">
        <w:rPr>
          <w:rFonts w:eastAsia="TimesNewRoman"/>
        </w:rPr>
        <w:t>expect</w:t>
      </w:r>
      <w:r w:rsidR="000C2DC7">
        <w:rPr>
          <w:rFonts w:eastAsia="TimesNewRoman"/>
        </w:rPr>
        <w:t xml:space="preserve"> that requiring all laboratories that perform certification testing to be accredited will improve both the quality and consistency of test results.  We therefore believe that requiring laboratory accreditation is part of a balanced approach </w:t>
      </w:r>
      <w:r w:rsidR="00DF7B71">
        <w:rPr>
          <w:rFonts w:eastAsia="TimesNewRoman"/>
        </w:rPr>
        <w:t>in</w:t>
      </w:r>
      <w:r w:rsidR="000C2DC7">
        <w:rPr>
          <w:rFonts w:eastAsia="TimesNewRoman"/>
        </w:rPr>
        <w:t xml:space="preserve"> allowing TCBs to certify all RF equipment while ensuring the quality of the results.</w:t>
      </w:r>
    </w:p>
    <w:p w:rsidR="00920C59" w:rsidRDefault="003C0596" w:rsidP="000116C7">
      <w:pPr>
        <w:pStyle w:val="ParaNum"/>
        <w:widowControl/>
        <w:rPr>
          <w:rFonts w:eastAsia="TimesNewRoman"/>
        </w:rPr>
      </w:pPr>
      <w:r>
        <w:rPr>
          <w:rFonts w:eastAsia="TimesNewRoman"/>
        </w:rPr>
        <w:t>We are proposing to retain t</w:t>
      </w:r>
      <w:r w:rsidR="00213BDC">
        <w:rPr>
          <w:rFonts w:eastAsia="TimesNewRoman"/>
        </w:rPr>
        <w:t>he requirement in Section 2.948</w:t>
      </w:r>
      <w:r>
        <w:rPr>
          <w:rFonts w:eastAsia="TimesNewRoman"/>
        </w:rPr>
        <w:t xml:space="preserve"> that test laboratories compile a description of their measurement facilities</w:t>
      </w:r>
      <w:r w:rsidR="006D6628">
        <w:rPr>
          <w:rFonts w:eastAsia="TimesNewRoman"/>
        </w:rPr>
        <w:t xml:space="preserve">, and propose </w:t>
      </w:r>
      <w:r w:rsidR="003D7EC8">
        <w:rPr>
          <w:rFonts w:eastAsia="TimesNewRoman"/>
        </w:rPr>
        <w:t xml:space="preserve">to require </w:t>
      </w:r>
      <w:r w:rsidR="006D6628">
        <w:rPr>
          <w:rFonts w:eastAsia="TimesNewRoman"/>
        </w:rPr>
        <w:t xml:space="preserve">that </w:t>
      </w:r>
      <w:r w:rsidR="003D7EC8">
        <w:rPr>
          <w:rFonts w:eastAsia="TimesNewRoman"/>
        </w:rPr>
        <w:t>they</w:t>
      </w:r>
      <w:r w:rsidR="006D6628">
        <w:rPr>
          <w:rFonts w:eastAsia="TimesNewRoman"/>
        </w:rPr>
        <w:t xml:space="preserve"> supply this information to a laboratory accreditation body or </w:t>
      </w:r>
      <w:r w:rsidR="00920C59">
        <w:rPr>
          <w:rFonts w:eastAsia="TimesNewRoman"/>
        </w:rPr>
        <w:t xml:space="preserve">to </w:t>
      </w:r>
      <w:r w:rsidR="006D6628">
        <w:rPr>
          <w:rFonts w:eastAsia="TimesNewRoman"/>
        </w:rPr>
        <w:t>the Commission upon request</w:t>
      </w:r>
      <w:r>
        <w:rPr>
          <w:rFonts w:eastAsia="TimesNewRoman"/>
        </w:rPr>
        <w:t>.</w:t>
      </w:r>
      <w:r>
        <w:rPr>
          <w:rStyle w:val="FootnoteReference"/>
          <w:rFonts w:eastAsia="TimesNewRoman"/>
        </w:rPr>
        <w:footnoteReference w:id="109"/>
      </w:r>
      <w:r>
        <w:rPr>
          <w:rFonts w:eastAsia="TimesNewRoman"/>
        </w:rPr>
        <w:t xml:space="preserve">  </w:t>
      </w:r>
      <w:r w:rsidR="006D6628">
        <w:rPr>
          <w:rFonts w:eastAsia="TimesNewRoman"/>
        </w:rPr>
        <w:t>This description will assist a laboratory accreditation body in evaluating the suitability of a laboratory’s facilities</w:t>
      </w:r>
      <w:r w:rsidR="00920C59">
        <w:rPr>
          <w:rFonts w:eastAsia="TimesNewRoman"/>
        </w:rPr>
        <w:t xml:space="preserve"> for performing measurements.</w:t>
      </w:r>
      <w:r w:rsidR="005E26DD">
        <w:rPr>
          <w:rFonts w:eastAsia="TimesNewRoman"/>
        </w:rPr>
        <w:t xml:space="preserve">  It </w:t>
      </w:r>
      <w:r w:rsidR="003C787B">
        <w:rPr>
          <w:rFonts w:eastAsia="TimesNewRoman"/>
        </w:rPr>
        <w:t>will</w:t>
      </w:r>
      <w:r w:rsidR="005E26DD">
        <w:rPr>
          <w:rFonts w:eastAsia="TimesNewRoman"/>
        </w:rPr>
        <w:t xml:space="preserve"> also help the Commission determine whether a laboratory that tests equipment subject to verification, and which is not required to be accredited, has suitable measurement facilities.</w:t>
      </w:r>
      <w:r w:rsidR="003C787B">
        <w:rPr>
          <w:rStyle w:val="FootnoteReference"/>
          <w:rFonts w:eastAsia="TimesNewRoman"/>
        </w:rPr>
        <w:footnoteReference w:id="110"/>
      </w:r>
      <w:r w:rsidR="00D77BC1">
        <w:rPr>
          <w:rFonts w:eastAsia="TimesNewRoman"/>
        </w:rPr>
        <w:t xml:space="preserve">  We also propos</w:t>
      </w:r>
      <w:r w:rsidR="00691704">
        <w:rPr>
          <w:rFonts w:eastAsia="TimesNewRoman"/>
        </w:rPr>
        <w:t>e</w:t>
      </w:r>
      <w:r w:rsidR="00D77BC1">
        <w:rPr>
          <w:rFonts w:eastAsia="TimesNewRoman"/>
        </w:rPr>
        <w:t xml:space="preserve"> to retain the requirement that accredited laboratories must be reassessed at least every two years to ensure continued compliance with the accreditation requirements.</w:t>
      </w:r>
    </w:p>
    <w:p w:rsidR="004F71AD" w:rsidRDefault="00974AF1" w:rsidP="000116C7">
      <w:pPr>
        <w:pStyle w:val="ParaNum"/>
        <w:widowControl/>
        <w:rPr>
          <w:rFonts w:eastAsia="TimesNewRoman"/>
        </w:rPr>
      </w:pPr>
      <w:r>
        <w:rPr>
          <w:rFonts w:eastAsia="TimesNewRoman"/>
        </w:rPr>
        <w:t xml:space="preserve">We also propose that the Commission will maintain a list of accredited laboratories that are acceptable for testing equipment subject to our </w:t>
      </w:r>
      <w:r w:rsidR="00844B86">
        <w:rPr>
          <w:rFonts w:eastAsia="TimesNewRoman"/>
        </w:rPr>
        <w:t xml:space="preserve">certification </w:t>
      </w:r>
      <w:r w:rsidR="00BD6D36">
        <w:rPr>
          <w:rFonts w:eastAsia="TimesNewRoman"/>
        </w:rPr>
        <w:t>and</w:t>
      </w:r>
      <w:r w:rsidR="00844B86">
        <w:rPr>
          <w:rFonts w:eastAsia="TimesNewRoman"/>
        </w:rPr>
        <w:t xml:space="preserve"> DoC </w:t>
      </w:r>
      <w:r w:rsidR="00BD6D36">
        <w:rPr>
          <w:rFonts w:eastAsia="TimesNewRoman"/>
        </w:rPr>
        <w:t>procedures</w:t>
      </w:r>
      <w:r>
        <w:rPr>
          <w:rFonts w:eastAsia="TimesNewRoman"/>
        </w:rPr>
        <w:t xml:space="preserve">. </w:t>
      </w:r>
      <w:r w:rsidR="00F20E69">
        <w:rPr>
          <w:rFonts w:eastAsia="TimesNewRoman"/>
        </w:rPr>
        <w:t xml:space="preserve"> </w:t>
      </w:r>
      <w:r w:rsidR="000F1188">
        <w:rPr>
          <w:rFonts w:eastAsia="TimesNewRoman"/>
        </w:rPr>
        <w:t>Under this proposal, l</w:t>
      </w:r>
      <w:r w:rsidR="00493AA7">
        <w:rPr>
          <w:rFonts w:eastAsia="TimesNewRoman"/>
        </w:rPr>
        <w:t xml:space="preserve">aboratories </w:t>
      </w:r>
      <w:r w:rsidR="001E750E">
        <w:rPr>
          <w:rFonts w:eastAsia="TimesNewRoman"/>
        </w:rPr>
        <w:t xml:space="preserve">will be </w:t>
      </w:r>
      <w:r w:rsidR="00493AA7">
        <w:rPr>
          <w:rFonts w:eastAsia="TimesNewRoman"/>
        </w:rPr>
        <w:t>accredited to test certain scopes of equipment, such as low power transmitters, unintentional radiators and transmitters used in various licensed services</w:t>
      </w:r>
      <w:r w:rsidR="000F1188">
        <w:rPr>
          <w:rFonts w:eastAsia="TimesNewRoman"/>
        </w:rPr>
        <w:t>.  We believe that</w:t>
      </w:r>
      <w:r w:rsidR="00493AA7">
        <w:rPr>
          <w:rFonts w:eastAsia="TimesNewRoman"/>
        </w:rPr>
        <w:t xml:space="preserve"> a list of accredited</w:t>
      </w:r>
      <w:r w:rsidR="00120401">
        <w:rPr>
          <w:rFonts w:eastAsia="TimesNewRoman"/>
        </w:rPr>
        <w:t xml:space="preserve"> laboratories and the types of equipment they can test will assist us in our oversight of TCBs and will assist manufacturers in selecting an appropriate testing facility.  </w:t>
      </w:r>
      <w:r w:rsidR="00561F45">
        <w:t xml:space="preserve">We propose to include accredited </w:t>
      </w:r>
      <w:r w:rsidR="00561F45">
        <w:rPr>
          <w:rFonts w:eastAsia="TimesNewRoman"/>
        </w:rPr>
        <w:t>laboratories outside the United States</w:t>
      </w:r>
      <w:r w:rsidR="00561F45">
        <w:t xml:space="preserve"> on</w:t>
      </w:r>
      <w:r w:rsidR="00561F45">
        <w:rPr>
          <w:rFonts w:eastAsia="TimesNewRoman"/>
        </w:rPr>
        <w:t xml:space="preserve"> the list only </w:t>
      </w:r>
      <w:r w:rsidR="00561F45">
        <w:t>if</w:t>
      </w:r>
      <w:r w:rsidR="00561F45">
        <w:rPr>
          <w:rFonts w:eastAsia="TimesNewRoman"/>
        </w:rPr>
        <w:t xml:space="preserve"> we recognize </w:t>
      </w:r>
      <w:r w:rsidR="00561F45">
        <w:t xml:space="preserve">their accreditation </w:t>
      </w:r>
      <w:r w:rsidR="00C011A9">
        <w:rPr>
          <w:rFonts w:eastAsia="TimesNewRoman"/>
        </w:rPr>
        <w:t>under the terms of an MRA or other agreement</w:t>
      </w:r>
      <w:r w:rsidR="00343181">
        <w:rPr>
          <w:rFonts w:eastAsia="TimesNewRoman"/>
        </w:rPr>
        <w:t xml:space="preserve">.  </w:t>
      </w:r>
      <w:r w:rsidR="00561F45">
        <w:t>We are aware that some test laboratories are located in countries that do not have an MRA with the United States.</w:t>
      </w:r>
      <w:r w:rsidR="00561F45">
        <w:rPr>
          <w:rFonts w:eastAsia="TimesNewRoman"/>
        </w:rPr>
        <w:t xml:space="preserve">  </w:t>
      </w:r>
      <w:r w:rsidR="00D65BC5">
        <w:rPr>
          <w:rFonts w:eastAsia="TimesNewRoman"/>
        </w:rPr>
        <w:t>In this regard</w:t>
      </w:r>
      <w:r w:rsidR="00561F45">
        <w:rPr>
          <w:rFonts w:eastAsia="TimesNewRoman"/>
        </w:rPr>
        <w:t xml:space="preserve">, </w:t>
      </w:r>
      <w:r w:rsidR="00343181">
        <w:rPr>
          <w:rFonts w:eastAsia="TimesNewRoman"/>
        </w:rPr>
        <w:t>we propose to modify Section 2.948(e)(2)</w:t>
      </w:r>
      <w:r w:rsidR="00D65BC5">
        <w:rPr>
          <w:rFonts w:eastAsia="TimesNewRoman"/>
        </w:rPr>
        <w:t xml:space="preserve"> </w:t>
      </w:r>
      <w:r w:rsidR="003D7EC8">
        <w:rPr>
          <w:rFonts w:eastAsia="TimesNewRoman"/>
        </w:rPr>
        <w:t>to provide</w:t>
      </w:r>
      <w:r w:rsidR="00343181">
        <w:rPr>
          <w:rFonts w:eastAsia="TimesNewRoman"/>
        </w:rPr>
        <w:t xml:space="preserve"> that </w:t>
      </w:r>
      <w:r w:rsidR="00343181">
        <w:rPr>
          <w:szCs w:val="22"/>
        </w:rPr>
        <w:t>i</w:t>
      </w:r>
      <w:r w:rsidR="00343181" w:rsidRPr="00712D0F">
        <w:rPr>
          <w:szCs w:val="22"/>
        </w:rPr>
        <w:t xml:space="preserve">f </w:t>
      </w:r>
      <w:r w:rsidR="00343181">
        <w:rPr>
          <w:szCs w:val="22"/>
        </w:rPr>
        <w:t>a</w:t>
      </w:r>
      <w:r w:rsidR="00343181" w:rsidRPr="00712D0F">
        <w:rPr>
          <w:szCs w:val="22"/>
        </w:rPr>
        <w:t xml:space="preserve"> laboratory </w:t>
      </w:r>
      <w:r w:rsidR="00343181">
        <w:rPr>
          <w:szCs w:val="22"/>
        </w:rPr>
        <w:t xml:space="preserve">is located in a country that does not have an MRA with the United States, </w:t>
      </w:r>
      <w:proofErr w:type="gramStart"/>
      <w:r w:rsidR="00343181">
        <w:rPr>
          <w:szCs w:val="22"/>
        </w:rPr>
        <w:t>then</w:t>
      </w:r>
      <w:proofErr w:type="gramEnd"/>
      <w:r w:rsidR="00343181">
        <w:rPr>
          <w:szCs w:val="22"/>
        </w:rPr>
        <w:t xml:space="preserve"> it must be accredited by an organization recognized by the Commission for performing accreditations in the country where the laboratory is located.  We describe proposals for Commission recognition of additional laboratory accreditation bodies below.</w:t>
      </w:r>
    </w:p>
    <w:p w:rsidR="001E2BB3" w:rsidRDefault="00F452FC" w:rsidP="000116C7">
      <w:pPr>
        <w:pStyle w:val="ParaNum"/>
        <w:widowControl/>
        <w:rPr>
          <w:rFonts w:eastAsia="TimesNewRoman"/>
        </w:rPr>
      </w:pPr>
      <w:r>
        <w:rPr>
          <w:rFonts w:eastAsia="TimesNewRoman"/>
        </w:rPr>
        <w:t>W</w:t>
      </w:r>
      <w:r w:rsidR="004F71AD">
        <w:rPr>
          <w:rFonts w:eastAsia="TimesNewRoman"/>
        </w:rPr>
        <w:t>e seek comment on these proposals.</w:t>
      </w:r>
      <w:r w:rsidR="0004348D">
        <w:rPr>
          <w:rFonts w:eastAsia="TimesNewRoman"/>
        </w:rPr>
        <w:t xml:space="preserve">  In particular, we seek comment on whether it is appropriate and necessary to require accreditation of laboratories</w:t>
      </w:r>
      <w:r w:rsidR="00BD6D36">
        <w:rPr>
          <w:rFonts w:eastAsia="TimesNewRoman"/>
        </w:rPr>
        <w:t xml:space="preserve"> that perform certification testing</w:t>
      </w:r>
      <w:r w:rsidR="0004348D">
        <w:rPr>
          <w:rFonts w:eastAsia="TimesNewRoman"/>
        </w:rPr>
        <w:t xml:space="preserve"> and </w:t>
      </w:r>
      <w:r w:rsidR="0004348D">
        <w:rPr>
          <w:rFonts w:eastAsia="TimesNewRoman"/>
        </w:rPr>
        <w:lastRenderedPageBreak/>
        <w:t xml:space="preserve">whether such a requirement would be unduly burdensome.  </w:t>
      </w:r>
      <w:r w:rsidR="00BD640D">
        <w:rPr>
          <w:rFonts w:eastAsia="TimesNewRoman"/>
        </w:rPr>
        <w:t xml:space="preserve">We also seek comment on whether we should allow </w:t>
      </w:r>
      <w:r w:rsidR="00546BCC">
        <w:rPr>
          <w:rFonts w:eastAsia="TimesNewRoman"/>
        </w:rPr>
        <w:t xml:space="preserve">an </w:t>
      </w:r>
      <w:r w:rsidR="00BD640D">
        <w:rPr>
          <w:rFonts w:eastAsia="TimesNewRoman"/>
        </w:rPr>
        <w:t>accredited lab</w:t>
      </w:r>
      <w:r w:rsidR="00546BCC">
        <w:rPr>
          <w:rFonts w:eastAsia="TimesNewRoman"/>
        </w:rPr>
        <w:t>oratory</w:t>
      </w:r>
      <w:r w:rsidR="00587122">
        <w:rPr>
          <w:rFonts w:eastAsia="TimesNewRoman"/>
        </w:rPr>
        <w:t xml:space="preserve"> to subcontract part of </w:t>
      </w:r>
      <w:r w:rsidR="00546BCC">
        <w:rPr>
          <w:rFonts w:eastAsia="TimesNewRoman"/>
        </w:rPr>
        <w:t>i</w:t>
      </w:r>
      <w:r w:rsidR="00587122">
        <w:rPr>
          <w:rFonts w:eastAsia="TimesNewRoman"/>
        </w:rPr>
        <w:t>t</w:t>
      </w:r>
      <w:r w:rsidR="00546BCC">
        <w:rPr>
          <w:rFonts w:eastAsia="TimesNewRoman"/>
        </w:rPr>
        <w:t>s</w:t>
      </w:r>
      <w:r w:rsidR="00587122">
        <w:rPr>
          <w:rFonts w:eastAsia="TimesNewRoman"/>
        </w:rPr>
        <w:t xml:space="preserve"> work to another laboratory.  If so, is there any reason why we should not also require the subcontractor to be accredited?  </w:t>
      </w:r>
      <w:r w:rsidR="0004348D">
        <w:rPr>
          <w:rFonts w:eastAsia="TimesNewRoman"/>
        </w:rPr>
        <w:t xml:space="preserve">We also seek comment on whether we should eliminate the Section 2.948 test site listing process.  We further seek comment on </w:t>
      </w:r>
      <w:r w:rsidR="007115A2">
        <w:rPr>
          <w:rFonts w:eastAsia="TimesNewRoman"/>
        </w:rPr>
        <w:t>the</w:t>
      </w:r>
      <w:r w:rsidR="0004348D">
        <w:rPr>
          <w:rFonts w:eastAsia="TimesNewRoman"/>
        </w:rPr>
        <w:t xml:space="preserve"> information </w:t>
      </w:r>
      <w:r w:rsidR="007115A2">
        <w:rPr>
          <w:rFonts w:eastAsia="TimesNewRoman"/>
        </w:rPr>
        <w:t xml:space="preserve">that </w:t>
      </w:r>
      <w:r w:rsidR="0004348D">
        <w:rPr>
          <w:rFonts w:eastAsia="TimesNewRoman"/>
        </w:rPr>
        <w:t xml:space="preserve">should be included in the list of accredited laboratories if we require </w:t>
      </w:r>
      <w:r w:rsidR="00587122">
        <w:rPr>
          <w:rFonts w:eastAsia="TimesNewRoman"/>
        </w:rPr>
        <w:t>accreditation of laboratories that perform certification testing</w:t>
      </w:r>
      <w:r w:rsidR="0004348D">
        <w:rPr>
          <w:rFonts w:eastAsia="TimesNewRoman"/>
        </w:rPr>
        <w:t>.  In addition, we seek comment</w:t>
      </w:r>
      <w:r w:rsidR="001F7498">
        <w:rPr>
          <w:rFonts w:eastAsia="TimesNewRoman"/>
        </w:rPr>
        <w:t xml:space="preserve"> on </w:t>
      </w:r>
      <w:r w:rsidR="003E6B99">
        <w:rPr>
          <w:rFonts w:eastAsia="TimesNewRoman"/>
        </w:rPr>
        <w:t>steps we could take</w:t>
      </w:r>
      <w:r w:rsidR="001F7498">
        <w:rPr>
          <w:rFonts w:eastAsia="TimesNewRoman"/>
        </w:rPr>
        <w:t xml:space="preserve"> </w:t>
      </w:r>
      <w:r w:rsidR="003E6B99">
        <w:rPr>
          <w:rFonts w:eastAsia="TimesNewRoman"/>
        </w:rPr>
        <w:t>to recognize</w:t>
      </w:r>
      <w:r w:rsidR="001F7498">
        <w:rPr>
          <w:rFonts w:eastAsia="TimesNewRoman"/>
        </w:rPr>
        <w:t xml:space="preserve"> the accreditation of test laboratories outside of the United States in countries that do not have an MRA with the United States.  For example, should the Commission recognize accreditations made through an organization such as the International Labo</w:t>
      </w:r>
      <w:r w:rsidR="003E6B99">
        <w:rPr>
          <w:rFonts w:eastAsia="TimesNewRoman"/>
        </w:rPr>
        <w:t>ratory Accreditation Cooperation</w:t>
      </w:r>
      <w:r w:rsidR="001F7498">
        <w:rPr>
          <w:rFonts w:eastAsia="TimesNewRoman"/>
        </w:rPr>
        <w:t xml:space="preserve"> (ILAC) for laboratories in countries without </w:t>
      </w:r>
      <w:r w:rsidR="006B11DC">
        <w:rPr>
          <w:rFonts w:eastAsia="TimesNewRoman"/>
        </w:rPr>
        <w:t>an</w:t>
      </w:r>
      <w:r w:rsidR="001F7498">
        <w:rPr>
          <w:rFonts w:eastAsia="TimesNewRoman"/>
        </w:rPr>
        <w:t xml:space="preserve"> MRA</w:t>
      </w:r>
      <w:r w:rsidR="00343181">
        <w:rPr>
          <w:rFonts w:eastAsia="TimesNewRoman"/>
        </w:rPr>
        <w:t xml:space="preserve"> with the United States</w:t>
      </w:r>
      <w:r w:rsidR="001F7498">
        <w:rPr>
          <w:rFonts w:eastAsia="TimesNewRoman"/>
        </w:rPr>
        <w:t>?</w:t>
      </w:r>
      <w:r w:rsidR="00D90CBD">
        <w:rPr>
          <w:rStyle w:val="FootnoteReference"/>
        </w:rPr>
        <w:footnoteReference w:id="111"/>
      </w:r>
    </w:p>
    <w:p w:rsidR="00083012" w:rsidRPr="00103ECE" w:rsidRDefault="00083012" w:rsidP="000116C7">
      <w:pPr>
        <w:pStyle w:val="ParaNum"/>
        <w:widowControl/>
        <w:rPr>
          <w:rFonts w:eastAsia="TimesNewRoman"/>
        </w:rPr>
      </w:pPr>
      <w:r>
        <w:rPr>
          <w:rFonts w:eastAsia="TimesNewRoman"/>
        </w:rPr>
        <w:t xml:space="preserve">We recognize that there is </w:t>
      </w:r>
      <w:r w:rsidR="00386E97">
        <w:rPr>
          <w:rFonts w:eastAsia="TimesNewRoman"/>
        </w:rPr>
        <w:t>a cost in terms of time and money</w:t>
      </w:r>
      <w:r>
        <w:rPr>
          <w:rFonts w:eastAsia="TimesNewRoman"/>
        </w:rPr>
        <w:t xml:space="preserve"> for a laboratory to become accredited, but we believe the benefits of increased certainty that equipment tested by an accredited laboratory will comply with the Commission’s technical requirements outweigh this burden.  As noted above, many laboratories that perform certification testing of Part 15 and </w:t>
      </w:r>
      <w:r w:rsidR="0039367C">
        <w:rPr>
          <w:rFonts w:eastAsia="TimesNewRoman"/>
        </w:rPr>
        <w:t xml:space="preserve">Part </w:t>
      </w:r>
      <w:r>
        <w:rPr>
          <w:rFonts w:eastAsia="TimesNewRoman"/>
        </w:rPr>
        <w:t xml:space="preserve">18 equipment </w:t>
      </w:r>
      <w:r w:rsidR="0039367C">
        <w:rPr>
          <w:rFonts w:eastAsia="TimesNewRoman"/>
        </w:rPr>
        <w:t>as well as</w:t>
      </w:r>
      <w:r>
        <w:rPr>
          <w:rFonts w:eastAsia="TimesNewRoman"/>
        </w:rPr>
        <w:t xml:space="preserve"> many laboratories that test equipment used in licensed services are </w:t>
      </w:r>
      <w:r w:rsidR="0039367C">
        <w:rPr>
          <w:rFonts w:eastAsia="TimesNewRoman"/>
        </w:rPr>
        <w:t>already</w:t>
      </w:r>
      <w:r>
        <w:rPr>
          <w:rFonts w:eastAsia="TimesNewRoman"/>
        </w:rPr>
        <w:t xml:space="preserve"> accredited.  Thus, our proposal will not impact those laboratories.  However, we seek comment on the costs that our proposals would impose on currently unaccredited laboratories, and whether the benefits of our proposals outweigh the costs.  We further seek comment on the impact of this proposal on laboratories outside the United States</w:t>
      </w:r>
      <w:r w:rsidR="001C26B6">
        <w:rPr>
          <w:rFonts w:eastAsia="TimesNewRoman"/>
        </w:rPr>
        <w:t>, particularly those in countries without an MRA with the United States.</w:t>
      </w:r>
    </w:p>
    <w:p w:rsidR="001E2BB3" w:rsidRDefault="001E2BB3" w:rsidP="000116C7">
      <w:pPr>
        <w:pStyle w:val="Heading3"/>
        <w:widowControl/>
      </w:pPr>
      <w:bookmarkStart w:id="364" w:name="_Toc289272133"/>
      <w:bookmarkStart w:id="365" w:name="_Toc292693331"/>
      <w:bookmarkStart w:id="366" w:name="_Toc292693399"/>
      <w:bookmarkStart w:id="367" w:name="_Toc323028032"/>
      <w:bookmarkStart w:id="368" w:name="_Toc324843299"/>
      <w:bookmarkStart w:id="369" w:name="_Toc324864716"/>
      <w:bookmarkStart w:id="370" w:name="_Toc324929583"/>
      <w:bookmarkStart w:id="371" w:name="_Toc324929707"/>
      <w:bookmarkStart w:id="372" w:name="_Toc325013633"/>
      <w:bookmarkStart w:id="373" w:name="_Toc325013963"/>
      <w:bookmarkStart w:id="374" w:name="_Toc325014171"/>
      <w:bookmarkStart w:id="375" w:name="_Toc325016820"/>
      <w:bookmarkStart w:id="376" w:name="_Toc325030450"/>
      <w:bookmarkStart w:id="377" w:name="_Toc326243799"/>
      <w:bookmarkStart w:id="378" w:name="_Toc326243996"/>
      <w:bookmarkStart w:id="379" w:name="_Toc327450769"/>
      <w:bookmarkStart w:id="380" w:name="_Toc330288217"/>
      <w:bookmarkStart w:id="381" w:name="_Toc330367187"/>
      <w:bookmarkStart w:id="382" w:name="_Toc331420775"/>
      <w:bookmarkStart w:id="383" w:name="_Toc331604655"/>
      <w:bookmarkStart w:id="384" w:name="_Toc332121631"/>
      <w:bookmarkStart w:id="385" w:name="_Toc332204308"/>
      <w:bookmarkStart w:id="386" w:name="_Toc332894810"/>
      <w:bookmarkStart w:id="387" w:name="_Toc333581623"/>
      <w:bookmarkStart w:id="388" w:name="_Toc333936415"/>
      <w:bookmarkStart w:id="389" w:name="_Toc335141624"/>
      <w:bookmarkStart w:id="390" w:name="_Toc335291367"/>
      <w:bookmarkStart w:id="391" w:name="_Toc335291420"/>
      <w:bookmarkStart w:id="392" w:name="_Toc335291480"/>
      <w:bookmarkStart w:id="393" w:name="_Toc335291550"/>
      <w:bookmarkStart w:id="394" w:name="_Toc335291688"/>
      <w:bookmarkStart w:id="395" w:name="_Toc335291740"/>
      <w:bookmarkStart w:id="396" w:name="_Toc335631618"/>
      <w:bookmarkStart w:id="397" w:name="_Toc335632660"/>
      <w:bookmarkStart w:id="398" w:name="_Toc335632732"/>
      <w:bookmarkStart w:id="399" w:name="_Toc337649170"/>
      <w:r>
        <w:t xml:space="preserve">Selection of new </w:t>
      </w:r>
      <w:r w:rsidR="00E66E76">
        <w:t xml:space="preserve">laboratory </w:t>
      </w:r>
      <w:r>
        <w:t>accreditation bodies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6C5F29" w:rsidRDefault="007115A2" w:rsidP="000116C7">
      <w:pPr>
        <w:pStyle w:val="ParaNum"/>
        <w:widowControl/>
      </w:pPr>
      <w:r>
        <w:t>Under Section 2.948(d) of the rules, a</w:t>
      </w:r>
      <w:r w:rsidR="006C5F29">
        <w:t xml:space="preserve">ny entity seeking recognition from the </w:t>
      </w:r>
      <w:r w:rsidR="003F1892">
        <w:t>Commission</w:t>
      </w:r>
      <w:r w:rsidR="006C5F29">
        <w:t xml:space="preserve"> as an accreditation body </w:t>
      </w:r>
      <w:r w:rsidR="00890262">
        <w:t xml:space="preserve">for test laboratories </w:t>
      </w:r>
      <w:r w:rsidR="006C5F29">
        <w:t>must obtain the approval of OET.</w:t>
      </w:r>
      <w:r w:rsidR="006C5F29">
        <w:rPr>
          <w:rStyle w:val="FootnoteReference"/>
          <w:szCs w:val="22"/>
        </w:rPr>
        <w:footnoteReference w:id="112"/>
      </w:r>
      <w:r w:rsidR="006C5F29">
        <w:t xml:space="preserve">  OET </w:t>
      </w:r>
      <w:r w:rsidR="006B11DC">
        <w:t xml:space="preserve">considers </w:t>
      </w:r>
      <w:r w:rsidR="006C5F29">
        <w:t xml:space="preserve">recognition </w:t>
      </w:r>
      <w:r>
        <w:t xml:space="preserve">of entities </w:t>
      </w:r>
      <w:r w:rsidR="006C5F29">
        <w:t>as accreditation bod</w:t>
      </w:r>
      <w:r w:rsidR="000621A6">
        <w:t>ies</w:t>
      </w:r>
      <w:r w:rsidR="006C5F29">
        <w:t xml:space="preserve"> </w:t>
      </w:r>
      <w:r w:rsidR="00135FC6">
        <w:t xml:space="preserve">based on </w:t>
      </w:r>
      <w:r w:rsidR="006C5F29">
        <w:t>requirements established by ISO and IEC.</w:t>
      </w:r>
      <w:r w:rsidR="006C5F29">
        <w:rPr>
          <w:rStyle w:val="FootnoteReference"/>
          <w:szCs w:val="22"/>
        </w:rPr>
        <w:footnoteReference w:id="113"/>
      </w:r>
      <w:r w:rsidR="006C5F29">
        <w:t xml:space="preserve">  </w:t>
      </w:r>
      <w:r w:rsidR="006E1B8D">
        <w:t xml:space="preserve">The rules currently </w:t>
      </w:r>
      <w:r w:rsidR="00135FC6">
        <w:t xml:space="preserve">refer to requirements in </w:t>
      </w:r>
      <w:r w:rsidR="006E1B8D">
        <w:t>ISO/IEC Guide 58</w:t>
      </w:r>
      <w:r w:rsidR="00135FC6">
        <w:t xml:space="preserve"> for laboratory</w:t>
      </w:r>
      <w:r w:rsidR="00135FC6" w:rsidRPr="00C06792">
        <w:t xml:space="preserve"> accreditation</w:t>
      </w:r>
      <w:r w:rsidR="006E1B8D">
        <w:t xml:space="preserve">, but as discussed above, we are proposing </w:t>
      </w:r>
      <w:r w:rsidR="003F1892">
        <w:t>modify the rules to reference</w:t>
      </w:r>
      <w:r w:rsidR="006E1B8D">
        <w:t xml:space="preserve"> ISO/IEC Guide 17011 that </w:t>
      </w:r>
      <w:r w:rsidR="003F1892">
        <w:t>superseded</w:t>
      </w:r>
      <w:r w:rsidR="006E1B8D">
        <w:t xml:space="preserve"> Guide 58. </w:t>
      </w:r>
      <w:r w:rsidR="00135FC6">
        <w:t xml:space="preserve">  Under Guide 17011, the accrediting entity</w:t>
      </w:r>
      <w:r w:rsidR="006C5F29">
        <w:t xml:space="preserve"> must be competent to </w:t>
      </w:r>
      <w:r>
        <w:t xml:space="preserve">1) </w:t>
      </w:r>
      <w:r w:rsidR="006C5F29">
        <w:t>assess a test laboratory’s compliance with applicable ISO/IEC standards for operating a testing laboratory and conducting tests</w:t>
      </w:r>
      <w:r w:rsidR="00691704">
        <w:t>;</w:t>
      </w:r>
      <w:r w:rsidR="006C5F29">
        <w:t xml:space="preserve"> and </w:t>
      </w:r>
      <w:proofErr w:type="gramStart"/>
      <w:r>
        <w:t>2)</w:t>
      </w:r>
      <w:r w:rsidR="003F1892">
        <w:t xml:space="preserve"> assess</w:t>
      </w:r>
      <w:proofErr w:type="gramEnd"/>
      <w:r w:rsidR="006C5F29">
        <w:t xml:space="preserve"> the laboratory’s ability to perform testing in support of the applicable technical regulations.</w:t>
      </w:r>
      <w:r w:rsidR="006C5F29">
        <w:rPr>
          <w:rStyle w:val="FootnoteReference"/>
          <w:szCs w:val="22"/>
        </w:rPr>
        <w:footnoteReference w:id="114"/>
      </w:r>
      <w:r w:rsidR="006C5F29">
        <w:t xml:space="preserve">  </w:t>
      </w:r>
      <w:r>
        <w:t>T</w:t>
      </w:r>
      <w:r w:rsidR="006C5F29">
        <w:t xml:space="preserve">he accreditation body </w:t>
      </w:r>
      <w:r>
        <w:t xml:space="preserve">is </w:t>
      </w:r>
      <w:r w:rsidR="00CA5173">
        <w:t xml:space="preserve">required </w:t>
      </w:r>
      <w:r w:rsidR="006C5F29">
        <w:t xml:space="preserve">to </w:t>
      </w:r>
      <w:r w:rsidR="00CA5173">
        <w:t xml:space="preserve">1) </w:t>
      </w:r>
      <w:r w:rsidR="006C5F29">
        <w:t xml:space="preserve">review the qualifications of a test laboratory's test personnel, management systems, record keeping and reporting practices; </w:t>
      </w:r>
      <w:r w:rsidR="00CA5173">
        <w:t>2)</w:t>
      </w:r>
      <w:r w:rsidR="006C5F29">
        <w:t xml:space="preserve"> send recognized experts to observe </w:t>
      </w:r>
      <w:r w:rsidR="006C5F29">
        <w:lastRenderedPageBreak/>
        <w:t xml:space="preserve">testing at the laboratory; and </w:t>
      </w:r>
      <w:r w:rsidR="00CA5173">
        <w:t xml:space="preserve">3) </w:t>
      </w:r>
      <w:r w:rsidR="006C5F29">
        <w:t>verify the testing laboratory’s competence to perform tests in accordance with Commission-related measurement procedures.</w:t>
      </w:r>
    </w:p>
    <w:p w:rsidR="006C5F29" w:rsidRDefault="006C5F29" w:rsidP="000116C7">
      <w:pPr>
        <w:pStyle w:val="ParaNum"/>
        <w:widowControl/>
      </w:pPr>
      <w:r>
        <w:t xml:space="preserve">On August 12, 2010 OET issued a public notice providing guidance on the type of information that an applicant </w:t>
      </w:r>
      <w:r w:rsidR="00691704">
        <w:t xml:space="preserve">that </w:t>
      </w:r>
      <w:r>
        <w:t>desires to be recognized by the Commission as a laboratory accreditation body should provide in support of its application.</w:t>
      </w:r>
      <w:r w:rsidR="00890262">
        <w:rPr>
          <w:rStyle w:val="FootnoteReference"/>
        </w:rPr>
        <w:footnoteReference w:id="115"/>
      </w:r>
      <w:r>
        <w:t xml:space="preserve">  Specifically, OET stated that an applicant must submit to the Chief of OET a letter requesting such recognition</w:t>
      </w:r>
      <w:r w:rsidR="006E2AAF">
        <w:t xml:space="preserve"> and that the letter must include information on the applicant’s qualifications; </w:t>
      </w:r>
      <w:r w:rsidR="00890262">
        <w:t>OET</w:t>
      </w:r>
      <w:r>
        <w:t xml:space="preserve"> </w:t>
      </w:r>
      <w:r w:rsidR="006E2AAF">
        <w:t xml:space="preserve">further indicated that </w:t>
      </w:r>
      <w:r w:rsidR="00BA7B20">
        <w:t xml:space="preserve">it </w:t>
      </w:r>
      <w:r>
        <w:t xml:space="preserve">will make a determination based on the information provided in support of </w:t>
      </w:r>
      <w:r w:rsidR="006E2AAF">
        <w:t>the letter of request</w:t>
      </w:r>
      <w:r>
        <w:t xml:space="preserve">.  </w:t>
      </w:r>
      <w:r w:rsidR="00890262">
        <w:t>It</w:t>
      </w:r>
      <w:r>
        <w:t xml:space="preserve"> stated that the following types of information would provide the “best evidence” of an applicant’s credentials and qualifications to perform accreditation of laboratories that test equipment to Commission requirements, consistent with the requirements of Section 2.948(d) of the Commission’s rules for accreditation bodies and for test laboratories:</w:t>
      </w:r>
    </w:p>
    <w:p w:rsidR="006C5F29" w:rsidRDefault="006C5F29" w:rsidP="000116C7">
      <w:pPr>
        <w:widowControl/>
        <w:numPr>
          <w:ilvl w:val="0"/>
          <w:numId w:val="8"/>
        </w:numPr>
        <w:suppressAutoHyphens/>
        <w:autoSpaceDE w:val="0"/>
        <w:autoSpaceDN w:val="0"/>
        <w:adjustRightInd w:val="0"/>
        <w:spacing w:after="120"/>
        <w:rPr>
          <w:szCs w:val="22"/>
        </w:rPr>
      </w:pPr>
      <w:r>
        <w:rPr>
          <w:szCs w:val="22"/>
        </w:rPr>
        <w:t>Successful completion of a ISO/IEC 17011 peer review, such as being a signatory to the International Laboratory Accreditation Cooperation (ILAC) Mutual Recognition Arrangement or other equivalent laboratory accreditation agreement;</w:t>
      </w:r>
      <w:r>
        <w:rPr>
          <w:rStyle w:val="FootnoteReference"/>
          <w:szCs w:val="22"/>
        </w:rPr>
        <w:t xml:space="preserve"> </w:t>
      </w:r>
      <w:r>
        <w:rPr>
          <w:rStyle w:val="FootnoteReference"/>
          <w:szCs w:val="22"/>
        </w:rPr>
        <w:footnoteReference w:id="116"/>
      </w:r>
      <w:r>
        <w:rPr>
          <w:szCs w:val="22"/>
        </w:rPr>
        <w:t xml:space="preserve"> </w:t>
      </w:r>
    </w:p>
    <w:p w:rsidR="006C5F29" w:rsidRDefault="006C5F29" w:rsidP="000116C7">
      <w:pPr>
        <w:widowControl/>
        <w:numPr>
          <w:ilvl w:val="0"/>
          <w:numId w:val="8"/>
        </w:numPr>
        <w:autoSpaceDE w:val="0"/>
        <w:autoSpaceDN w:val="0"/>
        <w:adjustRightInd w:val="0"/>
        <w:spacing w:after="120"/>
        <w:rPr>
          <w:szCs w:val="22"/>
        </w:rPr>
      </w:pPr>
      <w:r>
        <w:rPr>
          <w:szCs w:val="22"/>
        </w:rPr>
        <w:t>Experience with the accreditation of electromagnetic compatibility (EMC), radio and telecom testing laboratories to ISO/IEC 17025. This can be demonstrated by having OET staff participate in a witness audit of the accreditation body performing an assessment of an EMC/Radio/Telecom testing laboratory; or by having OET staff review the report generated by the NIST laboratory accreditation evaluation program conducted to support the Asia Pacific Economic Cooperation (APEC) Mutual Recognition Arrangement for Conformity Assessment of Telecommunications Equipment.</w:t>
      </w:r>
      <w:r>
        <w:rPr>
          <w:rStyle w:val="FootnoteReference"/>
          <w:szCs w:val="22"/>
        </w:rPr>
        <w:footnoteReference w:id="117"/>
      </w:r>
      <w:r>
        <w:rPr>
          <w:szCs w:val="22"/>
        </w:rPr>
        <w:t xml:space="preserve"> </w:t>
      </w:r>
      <w:r w:rsidR="006E2AAF">
        <w:rPr>
          <w:szCs w:val="22"/>
        </w:rPr>
        <w:t xml:space="preserve"> </w:t>
      </w:r>
      <w:r>
        <w:rPr>
          <w:szCs w:val="22"/>
        </w:rPr>
        <w:t xml:space="preserve">An applicant that offers other evidence has the burden of demonstrating that the information would enable OET to evaluate its experience with the accreditation of EMC, radio and telecom testing laboratories to ISO/IEC 17025.   </w:t>
      </w:r>
    </w:p>
    <w:p w:rsidR="006C5F29" w:rsidRDefault="006C5F29" w:rsidP="000116C7">
      <w:pPr>
        <w:widowControl/>
        <w:numPr>
          <w:ilvl w:val="0"/>
          <w:numId w:val="8"/>
        </w:numPr>
        <w:autoSpaceDE w:val="0"/>
        <w:autoSpaceDN w:val="0"/>
        <w:adjustRightInd w:val="0"/>
        <w:spacing w:after="120"/>
        <w:rPr>
          <w:szCs w:val="22"/>
        </w:rPr>
      </w:pPr>
      <w:r>
        <w:rPr>
          <w:szCs w:val="22"/>
        </w:rPr>
        <w:t xml:space="preserve">Accreditation personnel/assessors with specific technical experience </w:t>
      </w:r>
      <w:r w:rsidR="001532BC">
        <w:rPr>
          <w:szCs w:val="22"/>
        </w:rPr>
        <w:t xml:space="preserve">in </w:t>
      </w:r>
      <w:r>
        <w:rPr>
          <w:szCs w:val="22"/>
        </w:rPr>
        <w:t>the Commission equipment authorization rules and requirements; and</w:t>
      </w:r>
    </w:p>
    <w:p w:rsidR="006C5F29" w:rsidRDefault="006C5F29" w:rsidP="000116C7">
      <w:pPr>
        <w:widowControl/>
        <w:numPr>
          <w:ilvl w:val="0"/>
          <w:numId w:val="8"/>
        </w:numPr>
        <w:autoSpaceDE w:val="0"/>
        <w:autoSpaceDN w:val="0"/>
        <w:adjustRightInd w:val="0"/>
        <w:spacing w:after="120"/>
        <w:rPr>
          <w:szCs w:val="22"/>
        </w:rPr>
      </w:pPr>
      <w:r>
        <w:rPr>
          <w:szCs w:val="22"/>
        </w:rPr>
        <w:t>Procedures and policies developed for the accreditation of testing laboratories for FCC equipment authorization programs.</w:t>
      </w:r>
    </w:p>
    <w:p w:rsidR="006C5F29" w:rsidRDefault="001C66DC" w:rsidP="000116C7">
      <w:pPr>
        <w:pStyle w:val="ParaNum"/>
        <w:widowControl/>
      </w:pPr>
      <w:r>
        <w:rPr>
          <w:i/>
        </w:rPr>
        <w:t xml:space="preserve">Proposal.  </w:t>
      </w:r>
      <w:r w:rsidR="006C5F29">
        <w:t xml:space="preserve">We </w:t>
      </w:r>
      <w:r w:rsidR="006C5F29" w:rsidRPr="006C5F29">
        <w:t>propos</w:t>
      </w:r>
      <w:r w:rsidR="00B16D85">
        <w:t>e</w:t>
      </w:r>
      <w:r w:rsidR="006C5F29">
        <w:t xml:space="preserve"> to codify th</w:t>
      </w:r>
      <w:r>
        <w:t>e</w:t>
      </w:r>
      <w:r w:rsidR="006C5F29">
        <w:t xml:space="preserve"> </w:t>
      </w:r>
      <w:r w:rsidR="00456201">
        <w:t xml:space="preserve">criteria </w:t>
      </w:r>
      <w:r w:rsidR="006C5F29">
        <w:t xml:space="preserve">from the August 12, 2010 public notice </w:t>
      </w:r>
      <w:r w:rsidR="00951419">
        <w:t>into the rules</w:t>
      </w:r>
      <w:r w:rsidR="00456201">
        <w:t xml:space="preserve"> as the method </w:t>
      </w:r>
      <w:r w:rsidR="001727E7">
        <w:t xml:space="preserve">that </w:t>
      </w:r>
      <w:r w:rsidR="00456201">
        <w:t>OET will use to determine the acceptability of new laboratory accreditation bodies</w:t>
      </w:r>
      <w:r w:rsidR="006C5F29">
        <w:t>.</w:t>
      </w:r>
      <w:r w:rsidR="00E1772E" w:rsidRPr="00E1772E">
        <w:rPr>
          <w:rStyle w:val="FootnoteReference"/>
        </w:rPr>
        <w:t xml:space="preserve"> </w:t>
      </w:r>
      <w:r w:rsidR="00E1772E" w:rsidRPr="00456201">
        <w:rPr>
          <w:rStyle w:val="FootnoteReference"/>
        </w:rPr>
        <w:footnoteReference w:id="118"/>
      </w:r>
      <w:r w:rsidR="006C5F29" w:rsidRPr="00456201">
        <w:t xml:space="preserve">  </w:t>
      </w:r>
      <w:r w:rsidR="00456201">
        <w:t>OET developed</w:t>
      </w:r>
      <w:r w:rsidRPr="00456201">
        <w:t xml:space="preserve"> these criteria </w:t>
      </w:r>
      <w:r w:rsidR="001727E7">
        <w:t xml:space="preserve">during the process of selecting a new laboratory accreditation </w:t>
      </w:r>
      <w:r w:rsidR="001727E7">
        <w:lastRenderedPageBreak/>
        <w:t xml:space="preserve">body, and we believe they </w:t>
      </w:r>
      <w:r w:rsidRPr="00456201">
        <w:t xml:space="preserve">represent an appropriate method </w:t>
      </w:r>
      <w:r w:rsidR="001727E7">
        <w:t>for determining the acceptability of</w:t>
      </w:r>
      <w:r w:rsidRPr="00456201">
        <w:t xml:space="preserve"> new accreditation bodies.</w:t>
      </w:r>
      <w:r w:rsidR="001727E7">
        <w:rPr>
          <w:rStyle w:val="FootnoteReference"/>
        </w:rPr>
        <w:footnoteReference w:id="119"/>
      </w:r>
      <w:r w:rsidRPr="00456201">
        <w:t xml:space="preserve"> </w:t>
      </w:r>
      <w:r w:rsidR="001727E7">
        <w:t xml:space="preserve"> </w:t>
      </w:r>
      <w:r w:rsidR="006C5F29" w:rsidRPr="00456201">
        <w:t>We</w:t>
      </w:r>
      <w:r w:rsidR="006C5F29">
        <w:t xml:space="preserve"> seek comment on this proposal.</w:t>
      </w:r>
    </w:p>
    <w:p w:rsidR="000A67CC" w:rsidRDefault="000A67CC" w:rsidP="000116C7">
      <w:pPr>
        <w:pStyle w:val="Heading3"/>
        <w:widowControl/>
      </w:pPr>
      <w:bookmarkStart w:id="400" w:name="_Toc292693330"/>
      <w:bookmarkStart w:id="401" w:name="_Toc292693398"/>
      <w:bookmarkStart w:id="402" w:name="_Toc323028031"/>
      <w:bookmarkStart w:id="403" w:name="_Toc324843298"/>
      <w:bookmarkStart w:id="404" w:name="_Toc324864715"/>
      <w:bookmarkStart w:id="405" w:name="_Toc324929582"/>
      <w:bookmarkStart w:id="406" w:name="_Toc324929706"/>
      <w:bookmarkStart w:id="407" w:name="_Toc325013632"/>
      <w:bookmarkStart w:id="408" w:name="_Toc325013962"/>
      <w:bookmarkStart w:id="409" w:name="_Toc325014170"/>
      <w:bookmarkStart w:id="410" w:name="_Toc325016819"/>
      <w:bookmarkStart w:id="411" w:name="_Toc325030449"/>
      <w:bookmarkStart w:id="412" w:name="_Toc326243800"/>
      <w:bookmarkStart w:id="413" w:name="_Toc326243997"/>
      <w:bookmarkStart w:id="414" w:name="_Toc327450770"/>
      <w:bookmarkStart w:id="415" w:name="_Toc330288218"/>
      <w:bookmarkStart w:id="416" w:name="_Toc330367188"/>
      <w:bookmarkStart w:id="417" w:name="_Toc331420776"/>
      <w:bookmarkStart w:id="418" w:name="_Toc331604656"/>
      <w:bookmarkStart w:id="419" w:name="_Toc332121632"/>
      <w:bookmarkStart w:id="420" w:name="_Toc332204309"/>
      <w:bookmarkStart w:id="421" w:name="_Toc332894811"/>
      <w:bookmarkStart w:id="422" w:name="_Toc333581624"/>
      <w:bookmarkStart w:id="423" w:name="_Toc333936416"/>
      <w:bookmarkStart w:id="424" w:name="_Toc335141625"/>
      <w:bookmarkStart w:id="425" w:name="_Toc335291368"/>
      <w:bookmarkStart w:id="426" w:name="_Toc335291421"/>
      <w:bookmarkStart w:id="427" w:name="_Toc335291481"/>
      <w:bookmarkStart w:id="428" w:name="_Toc335291551"/>
      <w:bookmarkStart w:id="429" w:name="_Toc335291689"/>
      <w:bookmarkStart w:id="430" w:name="_Toc335291741"/>
      <w:bookmarkStart w:id="431" w:name="_Toc335631619"/>
      <w:bookmarkStart w:id="432" w:name="_Toc335632661"/>
      <w:bookmarkStart w:id="433" w:name="_Toc335632733"/>
      <w:bookmarkStart w:id="434" w:name="_Toc337649171"/>
      <w:r>
        <w:t>Test site validation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0A67CC" w:rsidRPr="00DF2CD0" w:rsidRDefault="000A67CC" w:rsidP="000116C7">
      <w:pPr>
        <w:pStyle w:val="ParaNum"/>
        <w:widowControl/>
        <w:tabs>
          <w:tab w:val="num" w:pos="360"/>
        </w:tabs>
        <w:rPr>
          <w:color w:val="000000"/>
          <w:szCs w:val="22"/>
        </w:rPr>
      </w:pPr>
      <w:r>
        <w:rPr>
          <w:szCs w:val="22"/>
        </w:rPr>
        <w:t>A</w:t>
      </w:r>
      <w:r w:rsidRPr="00DF2CD0">
        <w:rPr>
          <w:szCs w:val="22"/>
        </w:rPr>
        <w:t xml:space="preserve"> measurement facility that </w:t>
      </w:r>
      <w:r>
        <w:rPr>
          <w:szCs w:val="22"/>
        </w:rPr>
        <w:t>is</w:t>
      </w:r>
      <w:r w:rsidRPr="00DF2CD0">
        <w:rPr>
          <w:szCs w:val="22"/>
        </w:rPr>
        <w:t xml:space="preserve"> used for </w:t>
      </w:r>
      <w:r>
        <w:rPr>
          <w:szCs w:val="22"/>
        </w:rPr>
        <w:t xml:space="preserve">measuring </w:t>
      </w:r>
      <w:r w:rsidRPr="00DF2CD0">
        <w:rPr>
          <w:szCs w:val="22"/>
        </w:rPr>
        <w:t xml:space="preserve">radiated emissions </w:t>
      </w:r>
      <w:r w:rsidR="007A1EFE">
        <w:rPr>
          <w:szCs w:val="22"/>
        </w:rPr>
        <w:t>from</w:t>
      </w:r>
      <w:r>
        <w:rPr>
          <w:szCs w:val="22"/>
        </w:rPr>
        <w:t xml:space="preserve"> equipment subject to Parts 15 and 18 of the rules must </w:t>
      </w:r>
      <w:r w:rsidRPr="00DF2CD0">
        <w:rPr>
          <w:szCs w:val="22"/>
        </w:rPr>
        <w:t>meet the site validation requirements in ANSI C63.4-2001.</w:t>
      </w:r>
      <w:r w:rsidRPr="00DF2CD0">
        <w:rPr>
          <w:rStyle w:val="FootnoteReference"/>
          <w:szCs w:val="22"/>
        </w:rPr>
        <w:footnoteReference w:id="120"/>
      </w:r>
      <w:r w:rsidRPr="00DF2CD0">
        <w:rPr>
          <w:szCs w:val="22"/>
        </w:rPr>
        <w:t xml:space="preserve">  </w:t>
      </w:r>
      <w:r>
        <w:rPr>
          <w:szCs w:val="22"/>
        </w:rPr>
        <w:t xml:space="preserve">Radiated emission measurements above 1 GHz are required for many devices subject to Parts 15 and 18.  However, </w:t>
      </w:r>
      <w:r w:rsidRPr="00DF2CD0">
        <w:rPr>
          <w:szCs w:val="22"/>
        </w:rPr>
        <w:t xml:space="preserve">ANSI C63.4-2001 does not have </w:t>
      </w:r>
      <w:r>
        <w:rPr>
          <w:szCs w:val="22"/>
        </w:rPr>
        <w:t xml:space="preserve">specific </w:t>
      </w:r>
      <w:r w:rsidRPr="00DF2CD0">
        <w:rPr>
          <w:szCs w:val="22"/>
        </w:rPr>
        <w:t xml:space="preserve">site validation </w:t>
      </w:r>
      <w:r>
        <w:rPr>
          <w:szCs w:val="22"/>
        </w:rPr>
        <w:t>criteria</w:t>
      </w:r>
      <w:r w:rsidRPr="00DF2CD0">
        <w:rPr>
          <w:szCs w:val="22"/>
        </w:rPr>
        <w:t xml:space="preserve"> for test facilities used </w:t>
      </w:r>
      <w:r>
        <w:rPr>
          <w:szCs w:val="22"/>
        </w:rPr>
        <w:t xml:space="preserve">for making </w:t>
      </w:r>
      <w:r w:rsidRPr="00DF2CD0">
        <w:rPr>
          <w:szCs w:val="22"/>
        </w:rPr>
        <w:t xml:space="preserve">radiated emissions above 1 GHz.  </w:t>
      </w:r>
      <w:r>
        <w:rPr>
          <w:szCs w:val="22"/>
        </w:rPr>
        <w:t>Rather</w:t>
      </w:r>
      <w:r w:rsidRPr="00DF2CD0">
        <w:rPr>
          <w:szCs w:val="22"/>
        </w:rPr>
        <w:t>, it state</w:t>
      </w:r>
      <w:r>
        <w:rPr>
          <w:szCs w:val="22"/>
        </w:rPr>
        <w:t>s</w:t>
      </w:r>
      <w:r w:rsidRPr="00DF2CD0">
        <w:rPr>
          <w:szCs w:val="22"/>
        </w:rPr>
        <w:t xml:space="preserve"> that facilities </w:t>
      </w:r>
      <w:r>
        <w:rPr>
          <w:szCs w:val="22"/>
        </w:rPr>
        <w:t xml:space="preserve">determined to be </w:t>
      </w:r>
      <w:r w:rsidRPr="00DF2CD0">
        <w:rPr>
          <w:szCs w:val="22"/>
        </w:rPr>
        <w:t xml:space="preserve">suitable for </w:t>
      </w:r>
      <w:r>
        <w:rPr>
          <w:szCs w:val="22"/>
        </w:rPr>
        <w:t xml:space="preserve">performing </w:t>
      </w:r>
      <w:r w:rsidRPr="00DF2CD0">
        <w:rPr>
          <w:szCs w:val="22"/>
        </w:rPr>
        <w:t xml:space="preserve">measurements in the frequency range 30 MHz to 1 </w:t>
      </w:r>
      <w:r>
        <w:rPr>
          <w:szCs w:val="22"/>
        </w:rPr>
        <w:t>G</w:t>
      </w:r>
      <w:r w:rsidRPr="00DF2CD0">
        <w:rPr>
          <w:szCs w:val="22"/>
        </w:rPr>
        <w:t xml:space="preserve">Hz are considered suitable for </w:t>
      </w:r>
      <w:r>
        <w:rPr>
          <w:szCs w:val="22"/>
        </w:rPr>
        <w:t xml:space="preserve">performing measurements in </w:t>
      </w:r>
      <w:r w:rsidRPr="00DF2CD0">
        <w:rPr>
          <w:szCs w:val="22"/>
        </w:rPr>
        <w:t xml:space="preserve">the </w:t>
      </w:r>
      <w:r>
        <w:rPr>
          <w:szCs w:val="22"/>
        </w:rPr>
        <w:t>frequency range 1 GHz to 40 GHz</w:t>
      </w:r>
      <w:r w:rsidRPr="00DF2CD0">
        <w:rPr>
          <w:szCs w:val="22"/>
        </w:rPr>
        <w:t>.</w:t>
      </w:r>
      <w:r w:rsidRPr="00DF2CD0">
        <w:rPr>
          <w:rStyle w:val="FootnoteReference"/>
          <w:color w:val="000000"/>
          <w:szCs w:val="22"/>
        </w:rPr>
        <w:footnoteReference w:id="121"/>
      </w:r>
      <w:r w:rsidRPr="00DF2CD0">
        <w:rPr>
          <w:szCs w:val="22"/>
        </w:rPr>
        <w:t xml:space="preserve">  </w:t>
      </w:r>
    </w:p>
    <w:p w:rsidR="000A67CC" w:rsidRPr="00DF2CD0" w:rsidRDefault="000A67CC" w:rsidP="000116C7">
      <w:pPr>
        <w:pStyle w:val="ParaNum"/>
        <w:widowControl/>
        <w:tabs>
          <w:tab w:val="num" w:pos="360"/>
        </w:tabs>
        <w:rPr>
          <w:color w:val="000000"/>
          <w:szCs w:val="22"/>
        </w:rPr>
      </w:pPr>
      <w:r w:rsidRPr="008B67E4">
        <w:rPr>
          <w:szCs w:val="22"/>
        </w:rPr>
        <w:t xml:space="preserve">ANSI </w:t>
      </w:r>
      <w:r w:rsidR="008B67E4" w:rsidRPr="008B67E4">
        <w:rPr>
          <w:szCs w:val="22"/>
        </w:rPr>
        <w:t xml:space="preserve">C63.4-2009, </w:t>
      </w:r>
      <w:r w:rsidR="008B67E4" w:rsidRPr="008B67E4">
        <w:rPr>
          <w:i/>
          <w:szCs w:val="22"/>
        </w:rPr>
        <w:t>American National Standard for Methods of Measurement of Radio-Noise Emissions from Low-Voltage Electrical and Electronic Equipment in the Range of 9 kHz to 40 GHz</w:t>
      </w:r>
      <w:r w:rsidR="008B67E4" w:rsidRPr="008B67E4">
        <w:rPr>
          <w:szCs w:val="22"/>
        </w:rPr>
        <w:t>,</w:t>
      </w:r>
      <w:r w:rsidR="008B67E4">
        <w:rPr>
          <w:i/>
          <w:sz w:val="20"/>
        </w:rPr>
        <w:t xml:space="preserve"> </w:t>
      </w:r>
      <w:r>
        <w:rPr>
          <w:szCs w:val="22"/>
        </w:rPr>
        <w:t xml:space="preserve">provides </w:t>
      </w:r>
      <w:r w:rsidRPr="00DF2CD0">
        <w:rPr>
          <w:color w:val="000000"/>
          <w:szCs w:val="22"/>
        </w:rPr>
        <w:t xml:space="preserve">two options for </w:t>
      </w:r>
      <w:r w:rsidR="001532BC">
        <w:rPr>
          <w:color w:val="000000"/>
          <w:szCs w:val="22"/>
        </w:rPr>
        <w:t xml:space="preserve">test site </w:t>
      </w:r>
      <w:r>
        <w:rPr>
          <w:color w:val="000000"/>
          <w:szCs w:val="22"/>
        </w:rPr>
        <w:t xml:space="preserve">validation </w:t>
      </w:r>
      <w:r w:rsidR="001532BC">
        <w:rPr>
          <w:color w:val="000000"/>
          <w:szCs w:val="22"/>
        </w:rPr>
        <w:t xml:space="preserve">for </w:t>
      </w:r>
      <w:r w:rsidRPr="00DF2CD0">
        <w:rPr>
          <w:color w:val="000000"/>
          <w:szCs w:val="22"/>
        </w:rPr>
        <w:t xml:space="preserve">facilities used to make radiated emission measurements above 1 GHz.  </w:t>
      </w:r>
      <w:r>
        <w:rPr>
          <w:color w:val="000000"/>
          <w:szCs w:val="22"/>
        </w:rPr>
        <w:t>Specifically, it states that f</w:t>
      </w:r>
      <w:r w:rsidRPr="00DF2CD0">
        <w:rPr>
          <w:color w:val="000000"/>
          <w:szCs w:val="22"/>
        </w:rPr>
        <w:t xml:space="preserve">acilities suitable for measurements in the frequency range 30 MHz to </w:t>
      </w:r>
      <w:r w:rsidR="008B67E4">
        <w:rPr>
          <w:color w:val="000000"/>
          <w:szCs w:val="22"/>
        </w:rPr>
        <w:t xml:space="preserve">1 GHz </w:t>
      </w:r>
      <w:r w:rsidRPr="00DF2CD0">
        <w:rPr>
          <w:color w:val="000000"/>
          <w:szCs w:val="22"/>
        </w:rPr>
        <w:t xml:space="preserve">are considered suitable for </w:t>
      </w:r>
      <w:r w:rsidR="008B67E4">
        <w:rPr>
          <w:color w:val="000000"/>
          <w:szCs w:val="22"/>
        </w:rPr>
        <w:t xml:space="preserve">measurements in </w:t>
      </w:r>
      <w:r w:rsidRPr="00DF2CD0">
        <w:rPr>
          <w:color w:val="000000"/>
          <w:szCs w:val="22"/>
        </w:rPr>
        <w:t xml:space="preserve">the frequency range 1 GHz to 40 GHz </w:t>
      </w:r>
      <w:r>
        <w:rPr>
          <w:color w:val="000000"/>
          <w:szCs w:val="22"/>
        </w:rPr>
        <w:t>when used with</w:t>
      </w:r>
      <w:r w:rsidRPr="00DF2CD0">
        <w:rPr>
          <w:color w:val="000000"/>
          <w:szCs w:val="22"/>
        </w:rPr>
        <w:t xml:space="preserve"> RF absorbing material covering the ground plane such that either: </w:t>
      </w:r>
      <w:r>
        <w:rPr>
          <w:color w:val="000000"/>
          <w:szCs w:val="22"/>
        </w:rPr>
        <w:t>1</w:t>
      </w:r>
      <w:r w:rsidRPr="00DF2CD0">
        <w:rPr>
          <w:color w:val="000000"/>
          <w:szCs w:val="22"/>
        </w:rPr>
        <w:t xml:space="preserve">) </w:t>
      </w:r>
      <w:r w:rsidR="0062707D">
        <w:rPr>
          <w:color w:val="000000"/>
          <w:szCs w:val="22"/>
        </w:rPr>
        <w:t xml:space="preserve">the </w:t>
      </w:r>
      <w:r w:rsidRPr="00DF2CD0">
        <w:rPr>
          <w:color w:val="000000"/>
          <w:szCs w:val="22"/>
        </w:rPr>
        <w:t>site validation criterion called out i</w:t>
      </w:r>
      <w:r>
        <w:rPr>
          <w:color w:val="000000"/>
          <w:szCs w:val="22"/>
        </w:rPr>
        <w:t>n CISPR 16-1-4:2007</w:t>
      </w:r>
      <w:r w:rsidR="00BF0DAE">
        <w:rPr>
          <w:color w:val="000000"/>
          <w:szCs w:val="22"/>
        </w:rPr>
        <w:t xml:space="preserve"> (CISPR 16)</w:t>
      </w:r>
      <w:r>
        <w:rPr>
          <w:color w:val="000000"/>
          <w:szCs w:val="22"/>
        </w:rPr>
        <w:t xml:space="preserve"> is met;</w:t>
      </w:r>
      <w:r w:rsidR="00BF0DAE">
        <w:rPr>
          <w:rStyle w:val="FootnoteReference"/>
          <w:szCs w:val="22"/>
        </w:rPr>
        <w:footnoteReference w:id="122"/>
      </w:r>
      <w:r>
        <w:rPr>
          <w:color w:val="000000"/>
          <w:szCs w:val="22"/>
        </w:rPr>
        <w:t xml:space="preserve"> or 2</w:t>
      </w:r>
      <w:r w:rsidRPr="00DF2CD0">
        <w:rPr>
          <w:color w:val="000000"/>
          <w:szCs w:val="22"/>
        </w:rPr>
        <w:t xml:space="preserve">) a minimum area of the ground plane is covered, </w:t>
      </w:r>
      <w:r w:rsidRPr="00DF2CD0">
        <w:rPr>
          <w:i/>
          <w:color w:val="000000"/>
          <w:szCs w:val="22"/>
        </w:rPr>
        <w:t>i.e.,</w:t>
      </w:r>
      <w:r w:rsidRPr="00DF2CD0">
        <w:rPr>
          <w:color w:val="000000"/>
          <w:szCs w:val="22"/>
        </w:rPr>
        <w:t xml:space="preserve"> 2.4 m by 2.4 m (for a 3 m test distance), between the antenna and the Equipment Under Test (EUT) using RF absorbing material with a minimum-rated attenuation of 20 dB (for normal incidence) up to 18 GHz.</w:t>
      </w:r>
      <w:r w:rsidRPr="00DF2CD0">
        <w:rPr>
          <w:rStyle w:val="FootnoteReference"/>
          <w:color w:val="000000"/>
          <w:szCs w:val="22"/>
        </w:rPr>
        <w:footnoteReference w:id="123"/>
      </w:r>
      <w:r w:rsidRPr="00DF2CD0">
        <w:rPr>
          <w:color w:val="000000"/>
          <w:szCs w:val="22"/>
        </w:rPr>
        <w:t xml:space="preserve"> </w:t>
      </w:r>
    </w:p>
    <w:p w:rsidR="000A67CC" w:rsidRDefault="001C66DC" w:rsidP="000116C7">
      <w:pPr>
        <w:pStyle w:val="ParaNum"/>
        <w:widowControl/>
      </w:pPr>
      <w:r>
        <w:rPr>
          <w:i/>
          <w:szCs w:val="22"/>
        </w:rPr>
        <w:t xml:space="preserve">Proposal.  </w:t>
      </w:r>
      <w:r w:rsidR="000A67CC" w:rsidRPr="00DF2CD0">
        <w:rPr>
          <w:szCs w:val="22"/>
        </w:rPr>
        <w:t xml:space="preserve">We propose to require that test facilities used to make radiated emission measurements </w:t>
      </w:r>
      <w:r w:rsidR="002E5FB2">
        <w:rPr>
          <w:szCs w:val="22"/>
        </w:rPr>
        <w:t xml:space="preserve">on equipment authorized under any rule part </w:t>
      </w:r>
      <w:r w:rsidR="000A67CC" w:rsidRPr="00DF2CD0">
        <w:rPr>
          <w:szCs w:val="22"/>
        </w:rPr>
        <w:t xml:space="preserve">meet the site validation requirements in </w:t>
      </w:r>
      <w:r w:rsidR="00655CFB">
        <w:rPr>
          <w:szCs w:val="22"/>
        </w:rPr>
        <w:t xml:space="preserve">Sections 5.4.4 through 5.5 of </w:t>
      </w:r>
      <w:r w:rsidR="000A67CC" w:rsidRPr="00DF2CD0">
        <w:rPr>
          <w:szCs w:val="22"/>
        </w:rPr>
        <w:t>ANSI C63.4-2009</w:t>
      </w:r>
      <w:r w:rsidR="00655CFB">
        <w:rPr>
          <w:szCs w:val="22"/>
        </w:rPr>
        <w:t>.</w:t>
      </w:r>
      <w:r w:rsidR="000A67CC">
        <w:rPr>
          <w:szCs w:val="22"/>
        </w:rPr>
        <w:t xml:space="preserve">  </w:t>
      </w:r>
      <w:r w:rsidR="0062707D">
        <w:rPr>
          <w:szCs w:val="22"/>
        </w:rPr>
        <w:t>We also propose that i</w:t>
      </w:r>
      <w:r w:rsidR="0062707D">
        <w:t xml:space="preserve">f the measurement site will be used for measuring radiated emissions in the range of 1 GHz to 40 GHz, the site must meet the first alternative specified in Section 5.5 of this procedure which states that RF absorbing material must cover the ground plane such that the site validation criterion called out in CISPR 16 is met.  </w:t>
      </w:r>
      <w:r w:rsidR="000329BC">
        <w:t>We be</w:t>
      </w:r>
      <w:r w:rsidR="00021359">
        <w:t xml:space="preserve">lieve that requiring a site to meet the CISPR 16 site validation criteria at frequencies above 1 GHz will provide better </w:t>
      </w:r>
      <w:r w:rsidR="00BF0DAE">
        <w:t>accuracy and repeatability of</w:t>
      </w:r>
      <w:r w:rsidR="00021359">
        <w:t xml:space="preserve"> measurements than simply covering a minimum area of its ground plane.  </w:t>
      </w:r>
      <w:r w:rsidR="000A67CC">
        <w:rPr>
          <w:szCs w:val="22"/>
        </w:rPr>
        <w:t xml:space="preserve">Consistent with </w:t>
      </w:r>
      <w:r w:rsidR="008B67E4">
        <w:rPr>
          <w:szCs w:val="22"/>
        </w:rPr>
        <w:t xml:space="preserve">Section 5.4.4.2 of </w:t>
      </w:r>
      <w:r w:rsidR="000A67CC">
        <w:rPr>
          <w:szCs w:val="22"/>
        </w:rPr>
        <w:t>ANSI C63.4-2009</w:t>
      </w:r>
      <w:r w:rsidR="006C1AC0">
        <w:rPr>
          <w:szCs w:val="22"/>
        </w:rPr>
        <w:t xml:space="preserve"> and Section </w:t>
      </w:r>
      <w:r w:rsidR="00983C66">
        <w:rPr>
          <w:szCs w:val="22"/>
        </w:rPr>
        <w:t>2</w:t>
      </w:r>
      <w:r w:rsidR="006C1AC0">
        <w:rPr>
          <w:szCs w:val="22"/>
        </w:rPr>
        <w:t>.948(a)(2)</w:t>
      </w:r>
      <w:r w:rsidR="000A67CC" w:rsidRPr="00615C6C">
        <w:rPr>
          <w:szCs w:val="22"/>
        </w:rPr>
        <w:t xml:space="preserve">, we propose that compliance with the site validation criterion shall be confirmed no less than once every </w:t>
      </w:r>
      <w:r w:rsidR="005A3181">
        <w:rPr>
          <w:szCs w:val="22"/>
        </w:rPr>
        <w:t>t</w:t>
      </w:r>
      <w:r w:rsidR="00164E0D">
        <w:rPr>
          <w:szCs w:val="22"/>
        </w:rPr>
        <w:t>hree</w:t>
      </w:r>
      <w:r w:rsidR="000A67CC" w:rsidRPr="00615C6C">
        <w:rPr>
          <w:szCs w:val="22"/>
        </w:rPr>
        <w:t xml:space="preserve"> years.</w:t>
      </w:r>
      <w:r w:rsidR="006C1AC0">
        <w:rPr>
          <w:rStyle w:val="FootnoteReference"/>
          <w:szCs w:val="22"/>
        </w:rPr>
        <w:footnoteReference w:id="124"/>
      </w:r>
      <w:r w:rsidR="000A67CC">
        <w:rPr>
          <w:szCs w:val="22"/>
        </w:rPr>
        <w:t xml:space="preserve">  </w:t>
      </w:r>
      <w:r w:rsidR="00763119">
        <w:rPr>
          <w:szCs w:val="22"/>
        </w:rPr>
        <w:t>We believe that t</w:t>
      </w:r>
      <w:r w:rsidR="000A67CC">
        <w:rPr>
          <w:szCs w:val="22"/>
        </w:rPr>
        <w:t xml:space="preserve">hese proposals will ensure that a test site is suitable for performing accurate, repeatable measurements at all frequencies for which measurements are required.  We seek comment on these </w:t>
      </w:r>
      <w:r w:rsidR="000A67CC">
        <w:rPr>
          <w:szCs w:val="22"/>
        </w:rPr>
        <w:lastRenderedPageBreak/>
        <w:t>proposals.</w:t>
      </w:r>
      <w:r w:rsidR="00C8072A">
        <w:rPr>
          <w:szCs w:val="22"/>
        </w:rPr>
        <w:t xml:space="preserve">  We also seek comment on how many laboratories would need to modify their sites to comply with the ANSI C63.4-2009 and CISPR 16 site validation criteria that we are proposing, and the costs of implementing this change.</w:t>
      </w:r>
    </w:p>
    <w:p w:rsidR="00595105" w:rsidRDefault="00595105" w:rsidP="000116C7">
      <w:pPr>
        <w:pStyle w:val="Heading2"/>
        <w:widowControl/>
      </w:pPr>
      <w:bookmarkStart w:id="435" w:name="_Toc326243801"/>
      <w:bookmarkStart w:id="436" w:name="_Toc326243998"/>
      <w:bookmarkStart w:id="437" w:name="_Toc327450771"/>
      <w:bookmarkStart w:id="438" w:name="_Toc330288219"/>
      <w:bookmarkStart w:id="439" w:name="_Toc330367189"/>
      <w:bookmarkStart w:id="440" w:name="_Toc331420777"/>
      <w:bookmarkStart w:id="441" w:name="_Toc331604657"/>
      <w:bookmarkStart w:id="442" w:name="_Toc332121633"/>
      <w:bookmarkStart w:id="443" w:name="_Toc332204310"/>
      <w:bookmarkStart w:id="444" w:name="_Toc332894812"/>
      <w:bookmarkStart w:id="445" w:name="_Toc333581625"/>
      <w:bookmarkStart w:id="446" w:name="_Toc333936417"/>
      <w:bookmarkStart w:id="447" w:name="_Toc335141626"/>
      <w:bookmarkStart w:id="448" w:name="_Toc335291369"/>
      <w:bookmarkStart w:id="449" w:name="_Toc335291422"/>
      <w:bookmarkStart w:id="450" w:name="_Toc335291482"/>
      <w:bookmarkStart w:id="451" w:name="_Toc335291552"/>
      <w:bookmarkStart w:id="452" w:name="_Toc335291690"/>
      <w:bookmarkStart w:id="453" w:name="_Toc335291742"/>
      <w:bookmarkStart w:id="454" w:name="_Toc335631620"/>
      <w:bookmarkStart w:id="455" w:name="_Toc335632662"/>
      <w:bookmarkStart w:id="456" w:name="_Toc335632734"/>
      <w:bookmarkStart w:id="457" w:name="_Toc337649172"/>
      <w:r>
        <w:t>Measurement Procedures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2A16BD" w:rsidRPr="002A16BD" w:rsidRDefault="00595105" w:rsidP="000116C7">
      <w:pPr>
        <w:pStyle w:val="Heading3"/>
        <w:widowControl/>
      </w:pPr>
      <w:bookmarkStart w:id="458" w:name="_Toc324843289"/>
      <w:bookmarkStart w:id="459" w:name="_Toc324864707"/>
      <w:bookmarkStart w:id="460" w:name="_Toc324929574"/>
      <w:bookmarkStart w:id="461" w:name="_Toc324929698"/>
      <w:bookmarkStart w:id="462" w:name="_Toc325013624"/>
      <w:bookmarkStart w:id="463" w:name="_Toc325013954"/>
      <w:bookmarkStart w:id="464" w:name="_Toc325014162"/>
      <w:bookmarkStart w:id="465" w:name="_Toc325016811"/>
      <w:bookmarkStart w:id="466" w:name="_Toc325030441"/>
      <w:bookmarkStart w:id="467" w:name="_Toc326243802"/>
      <w:bookmarkStart w:id="468" w:name="_Toc326243999"/>
      <w:bookmarkStart w:id="469" w:name="_Toc327450772"/>
      <w:bookmarkStart w:id="470" w:name="_Toc330288220"/>
      <w:bookmarkStart w:id="471" w:name="_Toc330367190"/>
      <w:bookmarkStart w:id="472" w:name="_Toc331420778"/>
      <w:bookmarkStart w:id="473" w:name="_Toc331604658"/>
      <w:bookmarkStart w:id="474" w:name="_Toc332121634"/>
      <w:bookmarkStart w:id="475" w:name="_Toc332204311"/>
      <w:bookmarkStart w:id="476" w:name="_Toc332894813"/>
      <w:bookmarkStart w:id="477" w:name="_Toc333581626"/>
      <w:bookmarkStart w:id="478" w:name="_Toc333936418"/>
      <w:bookmarkStart w:id="479" w:name="_Toc335141627"/>
      <w:bookmarkStart w:id="480" w:name="_Toc335291370"/>
      <w:bookmarkStart w:id="481" w:name="_Toc335291423"/>
      <w:bookmarkStart w:id="482" w:name="_Toc335291483"/>
      <w:bookmarkStart w:id="483" w:name="_Toc335291553"/>
      <w:bookmarkStart w:id="484" w:name="_Toc335291691"/>
      <w:bookmarkStart w:id="485" w:name="_Toc335291743"/>
      <w:bookmarkStart w:id="486" w:name="_Toc335631621"/>
      <w:bookmarkStart w:id="487" w:name="_Toc335632663"/>
      <w:bookmarkStart w:id="488" w:name="_Toc335632735"/>
      <w:bookmarkStart w:id="489" w:name="_Toc337649173"/>
      <w:r>
        <w:t xml:space="preserve">Part 15 </w:t>
      </w:r>
      <w:r w:rsidR="007E5B4E">
        <w:t>d</w:t>
      </w:r>
      <w:r>
        <w:t>evices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595105" w:rsidRDefault="00595105" w:rsidP="000116C7">
      <w:pPr>
        <w:pStyle w:val="ParaNum"/>
        <w:widowControl/>
      </w:pPr>
      <w:r>
        <w:t>The Commission requires that</w:t>
      </w:r>
      <w:r w:rsidR="00385F5C">
        <w:t xml:space="preserve"> </w:t>
      </w:r>
      <w:r w:rsidR="000621A6">
        <w:t xml:space="preserve">most </w:t>
      </w:r>
      <w:r>
        <w:t>devices subject to the Part 15 technical requirements be tested to demonstrate compliance with these requirements before they can be imported into or marketed within the United States.</w:t>
      </w:r>
      <w:r>
        <w:rPr>
          <w:rStyle w:val="FootnoteReference"/>
          <w:szCs w:val="22"/>
        </w:rPr>
        <w:footnoteReference w:id="125"/>
      </w:r>
      <w:r>
        <w:t xml:space="preserve">  Section 15.31(a) of the rules specifies the measurement procedures that the Commission uses to determine equipment compliance with the Part 15 technical requirements.</w:t>
      </w:r>
      <w:r>
        <w:rPr>
          <w:rStyle w:val="FootnoteReference"/>
        </w:rPr>
        <w:footnoteReference w:id="126"/>
      </w:r>
      <w:r>
        <w:t xml:space="preserve">  This section states that the Commission will measure emissions from most intentional and unintentional radiators using the standard published by the American National Standards Institute, Inc. Accredited Standards Committee C63 (ANSI ASC 63), titled ANSI C63.4-2003, </w:t>
      </w:r>
      <w:r>
        <w:rPr>
          <w:i/>
        </w:rPr>
        <w:t>American National Standard for Methods of Measurement of Radio-Noise Emissions from Low-Voltage Electrical and Electronic Equipment in the Range of 9 KHz to 40 GHz</w:t>
      </w:r>
      <w:r w:rsidR="00285EEC">
        <w:rPr>
          <w:i/>
        </w:rPr>
        <w:t xml:space="preserve"> </w:t>
      </w:r>
      <w:r w:rsidR="00285EEC" w:rsidRPr="00285EEC">
        <w:t>(ANSI C63.4 standard)</w:t>
      </w:r>
      <w:r>
        <w:t>.</w:t>
      </w:r>
      <w:r>
        <w:rPr>
          <w:rStyle w:val="FootnoteReference"/>
        </w:rPr>
        <w:footnoteReference w:id="127"/>
      </w:r>
      <w:r>
        <w:rPr>
          <w:i/>
        </w:rPr>
        <w:t xml:space="preserve"> </w:t>
      </w:r>
      <w:r>
        <w:t xml:space="preserve"> </w:t>
      </w:r>
    </w:p>
    <w:p w:rsidR="00595105" w:rsidRDefault="00595105" w:rsidP="000116C7">
      <w:pPr>
        <w:pStyle w:val="ParaNum"/>
        <w:widowControl/>
      </w:pPr>
      <w:r>
        <w:t xml:space="preserve">The Commission has issued a number of public notices, interpretations and advisories on measurement standards for intentional radiators to supplement the test procedures given in the ANSI C63.4 standard.  </w:t>
      </w:r>
      <w:proofErr w:type="gramStart"/>
      <w:r>
        <w:t>This additional guidance has been necessitated by the growing number of intentional radiators being developed and the resulting number of questions from test laboratories seeking guidance on how to properly measure these devices for FCC compliance</w:t>
      </w:r>
      <w:proofErr w:type="gramEnd"/>
      <w:r>
        <w:t>.  To assist manufacturers in complying with the Commission’s rules, the Commission staff worked with ANSI ASC C63 and its members, including manufacturers, the Telecommunication Certification Body Council (TCBC), telecommunication industry representatives and test laboratory staff, to develop a new standard, ANSI C63.10-2009, A</w:t>
      </w:r>
      <w:r>
        <w:rPr>
          <w:i/>
        </w:rPr>
        <w:t>merican National Standard for Testing Unlicensed Wireless Devices</w:t>
      </w:r>
      <w:r w:rsidR="00285EEC">
        <w:t xml:space="preserve"> (ANSI C63.10-2009)</w:t>
      </w:r>
      <w:r>
        <w:rPr>
          <w:i/>
        </w:rPr>
        <w:t>,</w:t>
      </w:r>
      <w:r>
        <w:t xml:space="preserve"> for use in the measurement of intentional radiators in a wide range of frequency bands.</w:t>
      </w:r>
      <w:r w:rsidR="00285EEC">
        <w:rPr>
          <w:rStyle w:val="FootnoteReference"/>
        </w:rPr>
        <w:footnoteReference w:id="128"/>
      </w:r>
      <w:r>
        <w:t xml:space="preserve"> This new standard consolidates the various measurement procedures that the Commission staff has already allowed for intentional radiators </w:t>
      </w:r>
      <w:r w:rsidR="00A022BA">
        <w:t xml:space="preserve">without substantive modification </w:t>
      </w:r>
      <w:r>
        <w:t>and does not add any new requirements for compliance testing.</w:t>
      </w:r>
    </w:p>
    <w:p w:rsidR="00595105" w:rsidRPr="0004460D" w:rsidRDefault="00595105" w:rsidP="000116C7">
      <w:pPr>
        <w:pStyle w:val="ParaNum"/>
        <w:widowControl/>
      </w:pPr>
      <w:r w:rsidRPr="0004460D">
        <w:t xml:space="preserve">ANSI ASC C63 also released a </w:t>
      </w:r>
      <w:r w:rsidR="00375070" w:rsidRPr="0004460D">
        <w:t>revised</w:t>
      </w:r>
      <w:r w:rsidRPr="0004460D">
        <w:t xml:space="preserve"> version of the </w:t>
      </w:r>
      <w:r w:rsidR="00285EEC" w:rsidRPr="0004460D">
        <w:t xml:space="preserve">ANSI </w:t>
      </w:r>
      <w:r w:rsidRPr="0004460D">
        <w:t xml:space="preserve">C63.4 standard, ANSI C63.4-2009, </w:t>
      </w:r>
      <w:r w:rsidRPr="0004460D">
        <w:rPr>
          <w:i/>
        </w:rPr>
        <w:t>American National Standard for Methods of Measurement of Radio-Noise Emissions from Low-Voltage Electrical and Electronic Equipment in the Range of 9 KHz to 40 GHz</w:t>
      </w:r>
      <w:r w:rsidRPr="0004460D">
        <w:t>.</w:t>
      </w:r>
      <w:r w:rsidR="00180E27" w:rsidRPr="0004460D">
        <w:rPr>
          <w:rStyle w:val="FootnoteReference"/>
        </w:rPr>
        <w:footnoteReference w:id="129"/>
      </w:r>
      <w:proofErr w:type="gramStart"/>
      <w:r w:rsidRPr="0004460D">
        <w:t xml:space="preserve">  Because</w:t>
      </w:r>
      <w:proofErr w:type="gramEnd"/>
      <w:r w:rsidRPr="0004460D">
        <w:t xml:space="preserve"> ANSI ASC C63 developed a separate document that contains the measurement procedures for intentional radiators (ANSI C63.10-2009 as discussed above), </w:t>
      </w:r>
      <w:r w:rsidR="00180E27" w:rsidRPr="0004460D">
        <w:t xml:space="preserve">the new </w:t>
      </w:r>
      <w:r w:rsidRPr="0004460D">
        <w:t xml:space="preserve">ANSI C63.4-2009 </w:t>
      </w:r>
      <w:r w:rsidR="002A16BD" w:rsidRPr="0004460D">
        <w:t>addresses</w:t>
      </w:r>
      <w:r w:rsidRPr="0004460D">
        <w:t xml:space="preserve"> only unintentional </w:t>
      </w:r>
      <w:r w:rsidRPr="0004460D">
        <w:lastRenderedPageBreak/>
        <w:t>radiators, rather than both intentional and unintentional radiators as did the previous version.  The other changes to this standard from the 2003 version are discussed in more detail below.  OET issued a public notice on November 25, 2009, indicating that it would accept applications for certification of equipment tested either to the ANSI C63.4-2003 procedure currently specified in the rules or to the revised ANSI C63.4-2009 and new ANSI C63.10-2009 procedures.</w:t>
      </w:r>
      <w:r w:rsidRPr="0004460D">
        <w:rPr>
          <w:rStyle w:val="FootnoteReference"/>
        </w:rPr>
        <w:footnoteReference w:id="130"/>
      </w:r>
      <w:r w:rsidRPr="0004460D">
        <w:t xml:space="preserve"> </w:t>
      </w:r>
    </w:p>
    <w:p w:rsidR="00595105" w:rsidRPr="0004460D" w:rsidRDefault="00595105" w:rsidP="000116C7">
      <w:pPr>
        <w:pStyle w:val="ParaNum"/>
        <w:widowControl/>
      </w:pPr>
      <w:r w:rsidRPr="0004460D">
        <w:t>On September 27, 2011, ANSI ASC C63 filed a petition for rule making requesting that the Commission modify Sections 15.31(a)(3) and 15.38(b)(6) of the rules to remove the references to C63.4-2003 and replace them with references to C63.4-2009 and C63.10-2009.</w:t>
      </w:r>
      <w:r w:rsidRPr="0004460D">
        <w:rPr>
          <w:rStyle w:val="FootnoteReference"/>
        </w:rPr>
        <w:footnoteReference w:id="131"/>
      </w:r>
      <w:r w:rsidRPr="0004460D">
        <w:t xml:space="preserve">  It argues that continued use of the C63.4-2003 standard will lead to confusion, inconsistency and a lack of repeatability in product testing.</w:t>
      </w:r>
      <w:r w:rsidRPr="0004460D">
        <w:rPr>
          <w:rStyle w:val="FootnoteReference"/>
        </w:rPr>
        <w:footnoteReference w:id="132"/>
      </w:r>
      <w:r w:rsidRPr="0004460D">
        <w:t xml:space="preserve">  It states that its reasons for developing the 2009 version of the standard were to remove ambiguities, clarify the text in response to requests for interpretations, and to add new material concerning the calibration of test equipment and testing new types of devices.</w:t>
      </w:r>
      <w:r w:rsidRPr="0004460D">
        <w:rPr>
          <w:rStyle w:val="FootnoteReference"/>
        </w:rPr>
        <w:footnoteReference w:id="133"/>
      </w:r>
      <w:r w:rsidRPr="0004460D">
        <w:t xml:space="preserve">  ANSI ASC C63 states that the following changes are incorporated into the new version:</w:t>
      </w:r>
      <w:r w:rsidRPr="0004460D">
        <w:rPr>
          <w:rStyle w:val="FootnoteReference"/>
        </w:rPr>
        <w:footnoteReference w:id="134"/>
      </w:r>
    </w:p>
    <w:p w:rsidR="00595105" w:rsidRDefault="00595105" w:rsidP="000116C7">
      <w:pPr>
        <w:pStyle w:val="StyleParaNumLeft1"/>
        <w:numPr>
          <w:ilvl w:val="0"/>
          <w:numId w:val="9"/>
        </w:numPr>
      </w:pPr>
      <w:r>
        <w:t>Specifying a single method of antenna calibration, rather than the two different methods specified in the 2003 version.  Because the method specified in the 2009 version is different than either of the previous two methods, test laboratories may need to recalibrate their antennas if the Commission requires use of the new version.</w:t>
      </w:r>
    </w:p>
    <w:p w:rsidR="00595105" w:rsidRPr="00A5626B" w:rsidRDefault="00595105" w:rsidP="000116C7">
      <w:pPr>
        <w:pStyle w:val="StyleParaNumLeft1"/>
        <w:numPr>
          <w:ilvl w:val="0"/>
          <w:numId w:val="9"/>
        </w:numPr>
        <w:rPr>
          <w:color w:val="000080"/>
        </w:rPr>
      </w:pPr>
      <w:r>
        <w:t>Clarifying the requirements that receivers a</w:t>
      </w:r>
      <w:r w:rsidR="002A16BD">
        <w:t>nd spectrum analyzers must meet and p</w:t>
      </w:r>
      <w:r>
        <w:t>roviding more detailed information on the proper use of spectrum analyzers.</w:t>
      </w:r>
    </w:p>
    <w:p w:rsidR="00595105" w:rsidRPr="00A5626B" w:rsidRDefault="00595105" w:rsidP="000116C7">
      <w:pPr>
        <w:pStyle w:val="StyleParaNumLeft1"/>
        <w:numPr>
          <w:ilvl w:val="0"/>
          <w:numId w:val="9"/>
        </w:numPr>
        <w:rPr>
          <w:color w:val="000080"/>
        </w:rPr>
      </w:pPr>
      <w:r>
        <w:t>Requiring test laboratories to document any special software used to exercise the equipment under test.</w:t>
      </w:r>
    </w:p>
    <w:p w:rsidR="00595105" w:rsidRDefault="00595105" w:rsidP="000116C7">
      <w:pPr>
        <w:pStyle w:val="StyleParaNumLeft1"/>
        <w:numPr>
          <w:ilvl w:val="0"/>
          <w:numId w:val="9"/>
        </w:numPr>
      </w:pPr>
      <w:r>
        <w:t>Requiring test laboratories to determine the effect of temperature changes on measurement cable losses.</w:t>
      </w:r>
    </w:p>
    <w:p w:rsidR="00595105" w:rsidRDefault="00595105" w:rsidP="000116C7">
      <w:pPr>
        <w:pStyle w:val="StyleParaNumLeft1"/>
        <w:numPr>
          <w:ilvl w:val="0"/>
          <w:numId w:val="9"/>
        </w:numPr>
      </w:pPr>
      <w:r>
        <w:t>Eliminating the requirement for minimum measuring equipment sensitivity.</w:t>
      </w:r>
    </w:p>
    <w:p w:rsidR="00595105" w:rsidRDefault="00595105" w:rsidP="000116C7">
      <w:pPr>
        <w:pStyle w:val="StyleParaNumLeft1"/>
        <w:numPr>
          <w:ilvl w:val="0"/>
          <w:numId w:val="9"/>
        </w:numPr>
      </w:pPr>
      <w:r>
        <w:t>Providing more guidance on testing wall-mounted and ceiling-mounted devices.</w:t>
      </w:r>
    </w:p>
    <w:p w:rsidR="00595105" w:rsidRDefault="00595105" w:rsidP="000116C7">
      <w:pPr>
        <w:pStyle w:val="StyleParaNumLeft1"/>
        <w:numPr>
          <w:ilvl w:val="0"/>
          <w:numId w:val="9"/>
        </w:numPr>
      </w:pPr>
      <w:r>
        <w:t>Moving the test site validation procedure from the body of the docu</w:t>
      </w:r>
      <w:r w:rsidR="002A16BD">
        <w:t>ment to an appendix.</w:t>
      </w:r>
    </w:p>
    <w:p w:rsidR="00595105" w:rsidRDefault="00595105" w:rsidP="000116C7">
      <w:pPr>
        <w:pStyle w:val="StyleParaNumLeft1"/>
        <w:numPr>
          <w:ilvl w:val="0"/>
          <w:numId w:val="9"/>
        </w:numPr>
      </w:pPr>
      <w:r>
        <w:t>Specifying criteria for determining measuring site validity at frequencies above 1 GHz.</w:t>
      </w:r>
    </w:p>
    <w:p w:rsidR="00595105" w:rsidRPr="00A5626B" w:rsidRDefault="00595105" w:rsidP="000116C7">
      <w:pPr>
        <w:pStyle w:val="StyleParaNumLeft1"/>
        <w:numPr>
          <w:ilvl w:val="0"/>
          <w:numId w:val="9"/>
        </w:numPr>
      </w:pPr>
      <w:r>
        <w:t xml:space="preserve">Updating the requirement for </w:t>
      </w:r>
      <w:r w:rsidR="00912613">
        <w:t>the</w:t>
      </w:r>
      <w:r>
        <w:t xml:space="preserve"> information </w:t>
      </w:r>
      <w:r w:rsidR="00912613">
        <w:t xml:space="preserve">to </w:t>
      </w:r>
      <w:r>
        <w:t>be displayed on a video display during testing.</w:t>
      </w:r>
    </w:p>
    <w:p w:rsidR="00595105" w:rsidRDefault="00595105" w:rsidP="000116C7">
      <w:pPr>
        <w:pStyle w:val="ParaNum"/>
        <w:widowControl/>
      </w:pPr>
      <w:r w:rsidRPr="00C61624">
        <w:t>On January 12, 2012, the Commission released a public notice inviting comment on the ANSI ASC C63 petition.</w:t>
      </w:r>
      <w:r w:rsidRPr="00C61624">
        <w:rPr>
          <w:rStyle w:val="FootnoteReference"/>
        </w:rPr>
        <w:footnoteReference w:id="135"/>
      </w:r>
      <w:r>
        <w:t xml:space="preserve">  The Information Technology Industry Council (ITI) filed comments, and ANSI ASC C63 filed reply comments.</w:t>
      </w:r>
    </w:p>
    <w:p w:rsidR="00595105" w:rsidRDefault="00912613" w:rsidP="000116C7">
      <w:pPr>
        <w:pStyle w:val="ParaNum"/>
        <w:widowControl/>
      </w:pPr>
      <w:r>
        <w:lastRenderedPageBreak/>
        <w:t xml:space="preserve">In its comments, </w:t>
      </w:r>
      <w:r w:rsidR="00595105">
        <w:t xml:space="preserve">ITI argues that there is no compelling reason to require the use of the 2009 version of C63.4 </w:t>
      </w:r>
      <w:r w:rsidR="002A16BD">
        <w:t>in place</w:t>
      </w:r>
      <w:r w:rsidR="00595105">
        <w:t xml:space="preserve"> of the 2003 version.</w:t>
      </w:r>
      <w:r w:rsidR="00595105">
        <w:rPr>
          <w:rStyle w:val="FootnoteReference"/>
        </w:rPr>
        <w:footnoteReference w:id="136"/>
      </w:r>
      <w:r w:rsidR="00595105">
        <w:t xml:space="preserve">  It states that several changes introduced in the 2009 version of C63.4 place undue burden on manufacturers of intentional and unintentional radiators without providing a tangible improvement to the protection of communication services from interference.  ITI states that it objects to the prohibition in C63.4-2009 on the use of hybrid antennas that are used by 80% of test laboratories.</w:t>
      </w:r>
      <w:r w:rsidR="00595105">
        <w:rPr>
          <w:rStyle w:val="FootnoteReference"/>
        </w:rPr>
        <w:footnoteReference w:id="137"/>
      </w:r>
      <w:r w:rsidR="00595105">
        <w:t xml:space="preserve">  It also expresses concern that C63.4-2009 contains references to undated standards, which could force manufacturers to immediately comply with any future changes to those standards with no transition period and no opportunity to comment in a Commission rule making proceeding.</w:t>
      </w:r>
      <w:r w:rsidR="00595105">
        <w:rPr>
          <w:rStyle w:val="FootnoteReference"/>
        </w:rPr>
        <w:footnoteReference w:id="138"/>
      </w:r>
      <w:r w:rsidR="00595105">
        <w:t xml:space="preserve">  ITI also objects to ANSI ASC C63’s request </w:t>
      </w:r>
      <w:r w:rsidR="00C637BA">
        <w:t>that</w:t>
      </w:r>
      <w:r w:rsidR="00595105">
        <w:t xml:space="preserve"> the Commission accept the interpretations of ANSI C63.4-2009 and ANSI C63.10-2009 on ANSI’s web site, arguing that </w:t>
      </w:r>
      <w:r w:rsidR="002A16BD">
        <w:t>interpretations</w:t>
      </w:r>
      <w:r w:rsidR="00595105">
        <w:t xml:space="preserve"> can be made without a vote by ASC C63 </w:t>
      </w:r>
      <w:r w:rsidR="002A16BD">
        <w:t xml:space="preserve">and </w:t>
      </w:r>
      <w:r w:rsidR="00595105">
        <w:t xml:space="preserve">would be treated as de facto </w:t>
      </w:r>
      <w:r w:rsidR="00C637BA">
        <w:t xml:space="preserve">FCC </w:t>
      </w:r>
      <w:r w:rsidR="00595105">
        <w:t>rules with no opportunity for ITI to comment on them.  I</w:t>
      </w:r>
      <w:r w:rsidR="00C637BA">
        <w:t>t</w:t>
      </w:r>
      <w:r w:rsidR="00595105">
        <w:t xml:space="preserve"> argues that the Commission should permit the use of the CISPR 22</w:t>
      </w:r>
      <w:r w:rsidR="00B86BED">
        <w:t>,</w:t>
      </w:r>
      <w:r w:rsidR="00595105">
        <w:t xml:space="preserve"> </w:t>
      </w:r>
      <w:r w:rsidR="00B86BED" w:rsidRPr="00B86BED">
        <w:rPr>
          <w:i/>
        </w:rPr>
        <w:t>Information technology equipment - Radio disturbance characteristics - Limits and methods of measurement</w:t>
      </w:r>
      <w:r w:rsidR="00B86BED">
        <w:t xml:space="preserve">, </w:t>
      </w:r>
      <w:r w:rsidR="00595105">
        <w:t>in place of C63.4-2009</w:t>
      </w:r>
      <w:r w:rsidR="00B86BED">
        <w:t>.</w:t>
      </w:r>
      <w:r w:rsidR="00595105">
        <w:t xml:space="preserve"> </w:t>
      </w:r>
      <w:r w:rsidR="00B86BED">
        <w:t xml:space="preserve"> </w:t>
      </w:r>
      <w:r w:rsidR="00C637BA">
        <w:t xml:space="preserve">In this regard, </w:t>
      </w:r>
      <w:r w:rsidR="00B86BED">
        <w:t xml:space="preserve">ITI states that </w:t>
      </w:r>
      <w:r w:rsidR="00595105">
        <w:t xml:space="preserve">the CISPR 22 standard is recognized internationally while the ANSI standard </w:t>
      </w:r>
      <w:proofErr w:type="gramStart"/>
      <w:r w:rsidR="00595105">
        <w:t>is recognized only in the United States, and having different standards domestically and internationally results in equipment having to be tested</w:t>
      </w:r>
      <w:proofErr w:type="gramEnd"/>
      <w:r w:rsidR="00595105">
        <w:t xml:space="preserve"> more than once.</w:t>
      </w:r>
      <w:r w:rsidR="00595105">
        <w:rPr>
          <w:rStyle w:val="FootnoteReference"/>
        </w:rPr>
        <w:footnoteReference w:id="139"/>
      </w:r>
      <w:r w:rsidR="00595105">
        <w:t xml:space="preserve">  ITI </w:t>
      </w:r>
      <w:r w:rsidR="002A16BD">
        <w:t>further argues</w:t>
      </w:r>
      <w:r w:rsidR="00595105">
        <w:t xml:space="preserve"> that the “2 dB rule” in C63.4-2009 makes the testing of large and complicate</w:t>
      </w:r>
      <w:r w:rsidR="00C637BA">
        <w:t>d</w:t>
      </w:r>
      <w:r w:rsidR="00595105">
        <w:t xml:space="preserve"> equipment difficult.</w:t>
      </w:r>
      <w:r w:rsidR="00595105">
        <w:rPr>
          <w:rStyle w:val="FootnoteReference"/>
        </w:rPr>
        <w:footnoteReference w:id="140"/>
      </w:r>
    </w:p>
    <w:p w:rsidR="00665160" w:rsidRDefault="00C637BA" w:rsidP="000116C7">
      <w:pPr>
        <w:pStyle w:val="ParaNum"/>
        <w:widowControl/>
      </w:pPr>
      <w:r>
        <w:t xml:space="preserve">In its reply comments, </w:t>
      </w:r>
      <w:r w:rsidR="00595105">
        <w:t>ANSI ASC C63 argues that ITI’s objection to the revised C63.4 standard is inconsistent with its acknowledgment that the items identified in Appendix A of the petition are significant problems impacting compliance testing.</w:t>
      </w:r>
      <w:r w:rsidR="00595105">
        <w:rPr>
          <w:rStyle w:val="FootnoteReference"/>
        </w:rPr>
        <w:footnoteReference w:id="141"/>
      </w:r>
      <w:r w:rsidR="00595105">
        <w:t xml:space="preserve">  It </w:t>
      </w:r>
      <w:r>
        <w:t xml:space="preserve">also </w:t>
      </w:r>
      <w:r w:rsidR="00595105">
        <w:t>disagrees with ITI that revising the Commission’s rules to reference the 2009 revision to C63.4 would be burdensome.</w:t>
      </w:r>
      <w:r w:rsidR="00595105">
        <w:rPr>
          <w:rStyle w:val="FootnoteReference"/>
        </w:rPr>
        <w:footnoteReference w:id="142"/>
      </w:r>
      <w:r w:rsidR="00595105">
        <w:t xml:space="preserve">  ANSI ASC C63 notes that ITI participated in the committee that revised C63.4 and never objected to the changed requirements for hybrid antennas or the references to undated standards in the document.</w:t>
      </w:r>
      <w:r w:rsidR="00595105">
        <w:rPr>
          <w:rStyle w:val="FootnoteReference"/>
        </w:rPr>
        <w:footnoteReference w:id="143"/>
      </w:r>
      <w:r w:rsidR="00595105">
        <w:t xml:space="preserve">  It notes that ITI did object to the “2 dB rule” in the committee, but that ITI was the only party with an objection.  ANSI ASC C63 argues that ITI mischaracterizes the process for handling interpretations of C63.4, stating that no single party can release interpretations or change standards.</w:t>
      </w:r>
      <w:r w:rsidR="00595105">
        <w:rPr>
          <w:rStyle w:val="FootnoteReference"/>
        </w:rPr>
        <w:footnoteReference w:id="144"/>
      </w:r>
    </w:p>
    <w:p w:rsidR="00595105" w:rsidRDefault="00665160" w:rsidP="000116C7">
      <w:pPr>
        <w:pStyle w:val="ParaNum"/>
        <w:widowControl/>
      </w:pPr>
      <w:r>
        <w:br w:type="page"/>
      </w:r>
      <w:r w:rsidR="00595105" w:rsidRPr="00665160">
        <w:rPr>
          <w:i/>
        </w:rPr>
        <w:lastRenderedPageBreak/>
        <w:t>Proposal.</w:t>
      </w:r>
      <w:r w:rsidR="00595105">
        <w:t xml:space="preserve">  We propos</w:t>
      </w:r>
      <w:r w:rsidR="00A022BA">
        <w:t>e</w:t>
      </w:r>
      <w:r w:rsidR="00595105">
        <w:t xml:space="preserve"> to incorporate ANSI C63.10-2009 into the rules as the procedure the Commission will use for determining the compliance of intentional radiators and ANSI C63.4-2009 as the procedure the Commission will use for determining the compliance of unintentional radiators.  We believe that the various clarifications and improvements from the previous version of ANSI C63.4 will advance the Commission’s objective of ensuring compliance with its technical requirements as well as decreasing the burden on equipment manufacturers, thus </w:t>
      </w:r>
      <w:r w:rsidR="00C637BA">
        <w:t>promoting</w:t>
      </w:r>
      <w:r w:rsidR="00595105">
        <w:t xml:space="preserve"> the timely introduction of innovative new products.  </w:t>
      </w:r>
      <w:r w:rsidR="00AC22AB">
        <w:t xml:space="preserve">Consistent with </w:t>
      </w:r>
      <w:r w:rsidR="006C741B">
        <w:t>the Commission’s</w:t>
      </w:r>
      <w:r w:rsidR="00AC22AB">
        <w:t xml:space="preserve"> previous actions with respect to ANSI C63.4, we are proposing to exclude the use of the sections in C63.4-2009 that allow the use of rod antennas for electric field measurements below 30 MHz, an artificial hand for holding handheld devices, an absorber clamp for radio noise power measurements, and relaxation of the limits for transient emissions.</w:t>
      </w:r>
      <w:r w:rsidR="00AC22AB">
        <w:rPr>
          <w:rStyle w:val="FootnoteReference"/>
        </w:rPr>
        <w:footnoteReference w:id="145"/>
      </w:r>
      <w:r w:rsidR="00AC22AB">
        <w:t xml:space="preserve"> </w:t>
      </w:r>
      <w:r w:rsidR="005F3918">
        <w:t xml:space="preserve"> </w:t>
      </w:r>
      <w:r w:rsidR="006C741B">
        <w:t>The Commission previously found that there was insufficient evidence that rod antennas, artificial hands or absorber clamps produce accurate, repeatable measurements, and it found that short duration emissions can produce as much nuisance to radio communications as continuous emissions.</w:t>
      </w:r>
      <w:r w:rsidR="006C741B">
        <w:rPr>
          <w:rStyle w:val="FootnoteReference"/>
        </w:rPr>
        <w:footnoteReference w:id="146"/>
      </w:r>
      <w:r w:rsidR="006C741B">
        <w:t xml:space="preserve">  </w:t>
      </w:r>
      <w:r w:rsidR="00595105">
        <w:t xml:space="preserve">We seek comment on these proposals.  </w:t>
      </w:r>
    </w:p>
    <w:p w:rsidR="00595105" w:rsidRDefault="00595105" w:rsidP="000116C7">
      <w:pPr>
        <w:pStyle w:val="ParaNum"/>
        <w:widowControl/>
      </w:pPr>
      <w:r>
        <w:t xml:space="preserve">We are not proposing to incorporate CISPR 22 into the rules </w:t>
      </w:r>
      <w:r w:rsidR="006B2619">
        <w:t xml:space="preserve">for measuring equipment subject to Part 15 </w:t>
      </w:r>
      <w:r>
        <w:t>as requested by ITI.</w:t>
      </w:r>
      <w:r w:rsidR="005927B3">
        <w:t xml:space="preserve">  </w:t>
      </w:r>
      <w:r>
        <w:t xml:space="preserve">CISPR 22 </w:t>
      </w:r>
      <w:r w:rsidR="005927B3">
        <w:t>addresses</w:t>
      </w:r>
      <w:r>
        <w:t xml:space="preserve"> measurements </w:t>
      </w:r>
      <w:r w:rsidR="00D27F39">
        <w:t xml:space="preserve">only </w:t>
      </w:r>
      <w:r>
        <w:t>up to 6 GHz, whereas our rules require measurements at higher frequencies in some cases.</w:t>
      </w:r>
      <w:r w:rsidR="005927B3">
        <w:rPr>
          <w:rStyle w:val="FootnoteReference"/>
        </w:rPr>
        <w:footnoteReference w:id="147"/>
      </w:r>
      <w:r>
        <w:t xml:space="preserve">  </w:t>
      </w:r>
      <w:r w:rsidR="00B86BED">
        <w:t>Also, CISPR 22 is applicable only to information technology equipment (</w:t>
      </w:r>
      <w:r w:rsidR="00890622" w:rsidRPr="00890622">
        <w:t>called</w:t>
      </w:r>
      <w:r w:rsidR="00B86BED">
        <w:rPr>
          <w:i/>
        </w:rPr>
        <w:t xml:space="preserve"> </w:t>
      </w:r>
      <w:r w:rsidR="00B86BED">
        <w:t>digital devices in the Commission’s rules), while C63.4-2009 is applicable to all types of unintentional radiators under Part 15 of our rules</w:t>
      </w:r>
      <w:r w:rsidR="00DB5774">
        <w:t>,</w:t>
      </w:r>
      <w:r w:rsidR="00B86BED">
        <w:t xml:space="preserve"> including digital devices.  </w:t>
      </w:r>
      <w:r>
        <w:t xml:space="preserve">We also believe </w:t>
      </w:r>
      <w:r w:rsidR="00890622">
        <w:t xml:space="preserve">that </w:t>
      </w:r>
      <w:r>
        <w:t xml:space="preserve">the </w:t>
      </w:r>
      <w:r w:rsidR="00B86BED">
        <w:t xml:space="preserve">C63.4-2009 </w:t>
      </w:r>
      <w:r>
        <w:t xml:space="preserve">measurement procedure for frequencies above 1 GHz </w:t>
      </w:r>
      <w:r w:rsidR="00890622">
        <w:t xml:space="preserve">is </w:t>
      </w:r>
      <w:r>
        <w:t xml:space="preserve">more appropriate </w:t>
      </w:r>
      <w:r w:rsidR="00890622">
        <w:t xml:space="preserve">than the CISPR 22 procedure. </w:t>
      </w:r>
      <w:r>
        <w:t xml:space="preserve"> </w:t>
      </w:r>
      <w:r w:rsidR="008F6EBC">
        <w:t xml:space="preserve">Specifically, at frequencies above 1 GHz, C63.4-2009 requires varying the receive antenna height to determine the maximum level of emissions from a device under test, </w:t>
      </w:r>
      <w:r w:rsidR="00E17FA1">
        <w:t>whereas</w:t>
      </w:r>
      <w:r w:rsidR="008F6EBC">
        <w:t xml:space="preserve"> CISPR 22 specifies a fixed receive antenna height that may not determine the maximum emission levels.  </w:t>
      </w:r>
      <w:r>
        <w:t xml:space="preserve">However, we recognize </w:t>
      </w:r>
      <w:r w:rsidR="006B2619">
        <w:t xml:space="preserve">that </w:t>
      </w:r>
      <w:r>
        <w:t>ITI has raised certain specific concerns about C63.4-2009</w:t>
      </w:r>
      <w:r w:rsidR="00C46EBB">
        <w:t xml:space="preserve"> that </w:t>
      </w:r>
      <w:r w:rsidR="008F6EBC">
        <w:t xml:space="preserve">merit </w:t>
      </w:r>
      <w:r w:rsidR="00C46EBB">
        <w:t>consideration</w:t>
      </w:r>
      <w:r w:rsidR="008F6EBC">
        <w:t xml:space="preserve"> and we</w:t>
      </w:r>
      <w:r>
        <w:t xml:space="preserve"> seek comment on these concerns.  </w:t>
      </w:r>
      <w:r w:rsidR="005927B3">
        <w:t>Specifically, i</w:t>
      </w:r>
      <w:r>
        <w:t>s the 2009 version of C63.4 more burdensome than previous editions</w:t>
      </w:r>
      <w:r w:rsidR="005A57AB">
        <w:t xml:space="preserve"> a</w:t>
      </w:r>
      <w:r w:rsidR="00AE0337">
        <w:t>s ITI alleges</w:t>
      </w:r>
      <w:r>
        <w:t>, and if so, do the benefits of these increased burdens (</w:t>
      </w:r>
      <w:r>
        <w:rPr>
          <w:i/>
        </w:rPr>
        <w:t xml:space="preserve">e.g., </w:t>
      </w:r>
      <w:r>
        <w:t xml:space="preserve">increased accuracy and/or consistency of test results) outweigh their costs?  </w:t>
      </w:r>
      <w:r w:rsidR="00AE0337">
        <w:t>Do certain changes in</w:t>
      </w:r>
      <w:r>
        <w:t xml:space="preserve"> the 2009 revision</w:t>
      </w:r>
      <w:r w:rsidRPr="006715A2">
        <w:t xml:space="preserve"> </w:t>
      </w:r>
      <w:r w:rsidR="00AE0337">
        <w:t>cause problems for manufacturers and/or test laboratories</w:t>
      </w:r>
      <w:r>
        <w:t xml:space="preserve">, such as </w:t>
      </w:r>
      <w:r w:rsidR="005A57AB">
        <w:t xml:space="preserve">a </w:t>
      </w:r>
      <w:r>
        <w:t xml:space="preserve">restriction on </w:t>
      </w:r>
      <w:r w:rsidR="005A57AB">
        <w:t xml:space="preserve">the use of </w:t>
      </w:r>
      <w:r>
        <w:t>hybrid antennas</w:t>
      </w:r>
      <w:r w:rsidR="002E207A">
        <w:t xml:space="preserve"> or</w:t>
      </w:r>
      <w:r>
        <w:t xml:space="preserve"> the 2 dB </w:t>
      </w:r>
      <w:proofErr w:type="gramStart"/>
      <w:r>
        <w:t>rule</w:t>
      </w:r>
      <w:proofErr w:type="gramEnd"/>
      <w:r w:rsidR="002E207A">
        <w:t>?  Would</w:t>
      </w:r>
      <w:r>
        <w:t xml:space="preserve"> the references to undated standards</w:t>
      </w:r>
      <w:r w:rsidR="002E207A">
        <w:t xml:space="preserve"> in C63.4-2009 force parties to comply with future changes to those standards with no opportunity for comment and no transition period</w:t>
      </w:r>
      <w:r>
        <w:t xml:space="preserve">?  </w:t>
      </w:r>
      <w:r w:rsidR="002E207A">
        <w:t xml:space="preserve">Should the Commission accept </w:t>
      </w:r>
      <w:r w:rsidR="00A266B3">
        <w:t>the</w:t>
      </w:r>
      <w:r w:rsidR="002E207A">
        <w:t xml:space="preserve"> interpretations of C63.4-2009 and C63.10-2009</w:t>
      </w:r>
      <w:r w:rsidR="00A266B3">
        <w:t xml:space="preserve"> on ANSI’s web site</w:t>
      </w:r>
      <w:r w:rsidR="002E207A">
        <w:t xml:space="preserve">?  </w:t>
      </w:r>
      <w:r>
        <w:t xml:space="preserve">Could the Commission address </w:t>
      </w:r>
      <w:r w:rsidR="006B2619">
        <w:t xml:space="preserve">ITI’s </w:t>
      </w:r>
      <w:r>
        <w:t>concerns about C63.4-2009 and C63.10-2009 by not incorporating certain sections of these standards into the rules?  If so, which particular sections should not be incorporated and why?</w:t>
      </w:r>
      <w:r w:rsidR="006B2619">
        <w:t xml:space="preserve"> </w:t>
      </w:r>
      <w:r w:rsidR="00DF47F8">
        <w:t xml:space="preserve"> </w:t>
      </w:r>
      <w:r w:rsidR="005927B3">
        <w:t xml:space="preserve">In addition, we note that ANSI ASC C63 is currently working on revised versions to both C63.4-2009 and C63.10-2009.  We seek comment on whether there are any significant differences between the 2009 versions </w:t>
      </w:r>
      <w:r w:rsidR="006B2619">
        <w:t xml:space="preserve">of these standards and the latest drafts, </w:t>
      </w:r>
      <w:r w:rsidR="005927B3">
        <w:t>and whether any of the changes in these drafts would address ITI’s concerns.</w:t>
      </w:r>
    </w:p>
    <w:p w:rsidR="00595105" w:rsidRDefault="00595105" w:rsidP="000116C7">
      <w:pPr>
        <w:pStyle w:val="Heading3"/>
        <w:widowControl/>
      </w:pPr>
      <w:bookmarkStart w:id="490" w:name="_Toc289272140"/>
      <w:bookmarkStart w:id="491" w:name="_Toc292693338"/>
      <w:bookmarkStart w:id="492" w:name="_Toc292693406"/>
      <w:bookmarkStart w:id="493" w:name="_Toc323028039"/>
      <w:bookmarkStart w:id="494" w:name="_Toc324843305"/>
      <w:bookmarkStart w:id="495" w:name="_Toc324864719"/>
      <w:bookmarkStart w:id="496" w:name="_Toc324929586"/>
      <w:bookmarkStart w:id="497" w:name="_Toc324929710"/>
      <w:bookmarkStart w:id="498" w:name="_Toc325013636"/>
      <w:bookmarkStart w:id="499" w:name="_Toc325013966"/>
      <w:bookmarkStart w:id="500" w:name="_Toc325014174"/>
      <w:bookmarkStart w:id="501" w:name="_Toc325016823"/>
      <w:bookmarkStart w:id="502" w:name="_Toc325030453"/>
      <w:bookmarkStart w:id="503" w:name="_Toc326243803"/>
      <w:bookmarkStart w:id="504" w:name="_Toc326244000"/>
      <w:bookmarkStart w:id="505" w:name="_Toc327450773"/>
      <w:bookmarkStart w:id="506" w:name="_Toc330288221"/>
      <w:bookmarkStart w:id="507" w:name="_Toc330367191"/>
      <w:bookmarkStart w:id="508" w:name="_Toc331420779"/>
      <w:bookmarkStart w:id="509" w:name="_Toc331604659"/>
      <w:bookmarkStart w:id="510" w:name="_Toc332121635"/>
      <w:bookmarkStart w:id="511" w:name="_Toc332204312"/>
      <w:bookmarkStart w:id="512" w:name="_Toc332894814"/>
      <w:bookmarkStart w:id="513" w:name="_Toc333581627"/>
      <w:bookmarkStart w:id="514" w:name="_Toc333936419"/>
      <w:bookmarkStart w:id="515" w:name="_Toc335141628"/>
      <w:bookmarkStart w:id="516" w:name="_Toc335291371"/>
      <w:bookmarkStart w:id="517" w:name="_Toc335291424"/>
      <w:bookmarkStart w:id="518" w:name="_Toc335291484"/>
      <w:bookmarkStart w:id="519" w:name="_Toc335291554"/>
      <w:bookmarkStart w:id="520" w:name="_Toc335291692"/>
      <w:bookmarkStart w:id="521" w:name="_Toc335291744"/>
      <w:bookmarkStart w:id="522" w:name="_Toc335631622"/>
      <w:bookmarkStart w:id="523" w:name="_Toc335632664"/>
      <w:bookmarkStart w:id="524" w:name="_Toc335632736"/>
      <w:bookmarkStart w:id="525" w:name="_Toc337649174"/>
      <w:r w:rsidRPr="00FD3C23">
        <w:t>Delegated authority to update measurement procedures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595105" w:rsidRDefault="00595105" w:rsidP="000116C7">
      <w:pPr>
        <w:pStyle w:val="ParaNum"/>
        <w:widowControl/>
      </w:pPr>
      <w:r>
        <w:t>The Commission incorporates industry standards into Parts 2 and 15 of the rules for various purposes.  For example, Section 15.38 lists the measurement procedures and other standards that are incorporated by reference into Part 15 of the rules.</w:t>
      </w:r>
      <w:r>
        <w:rPr>
          <w:rStyle w:val="FootnoteReference"/>
        </w:rPr>
        <w:footnoteReference w:id="148"/>
      </w:r>
      <w:r>
        <w:t xml:space="preserve">  In addition, as discussed above, Part 2 references </w:t>
      </w:r>
      <w:r>
        <w:lastRenderedPageBreak/>
        <w:t>various ISO/IEC standards related to the accreditation of laboratories and certification bodies.</w:t>
      </w:r>
      <w:r>
        <w:rPr>
          <w:rStyle w:val="FootnoteReference"/>
        </w:rPr>
        <w:footnoteReference w:id="149"/>
      </w:r>
      <w:r>
        <w:t xml:space="preserve">  Industry groups that develop standards revise them periodically.  In some cases revisions could contain major changes from a previous version, while in other cases revisions of standards may contain </w:t>
      </w:r>
      <w:r w:rsidR="00C46EBB">
        <w:t xml:space="preserve">only </w:t>
      </w:r>
      <w:r>
        <w:t xml:space="preserve">minor updates </w:t>
      </w:r>
      <w:r w:rsidR="00C46EBB">
        <w:t xml:space="preserve">that pose </w:t>
      </w:r>
      <w:r>
        <w:t>no significant change</w:t>
      </w:r>
      <w:r w:rsidR="00C46EBB">
        <w:t>s for evaluation of compliance with the rules</w:t>
      </w:r>
      <w:r>
        <w:t>.  The Commission’s Part 0 rules delegate authority to the Chief of OET to perform certain functions, but require that orders making non-editorial revisions to the rules be referred to the Commission for action.</w:t>
      </w:r>
      <w:r>
        <w:rPr>
          <w:rStyle w:val="FootnoteReference"/>
        </w:rPr>
        <w:footnoteReference w:id="150"/>
      </w:r>
      <w:r>
        <w:t xml:space="preserve">  Updating a rule to reference a revised standard is not considered an editorial revision, so such a change requires a Commission action.</w:t>
      </w:r>
    </w:p>
    <w:p w:rsidR="00595105" w:rsidRDefault="00595105" w:rsidP="000116C7">
      <w:pPr>
        <w:pStyle w:val="ParaNum"/>
        <w:widowControl/>
      </w:pPr>
      <w:r>
        <w:t xml:space="preserve">We propose </w:t>
      </w:r>
      <w:r w:rsidR="00C46EBB">
        <w:t xml:space="preserve">to delegate to </w:t>
      </w:r>
      <w:r>
        <w:t xml:space="preserve">the Chief of OET </w:t>
      </w:r>
      <w:r w:rsidR="00C46EBB">
        <w:t xml:space="preserve">the </w:t>
      </w:r>
      <w:r>
        <w:t>authority to update references to industry standards</w:t>
      </w:r>
      <w:r w:rsidRPr="009E2F8C">
        <w:t xml:space="preserve"> </w:t>
      </w:r>
      <w:r>
        <w:t xml:space="preserve">in </w:t>
      </w:r>
      <w:r w:rsidR="006E5F4E">
        <w:t xml:space="preserve">Parts 2, 5, 15 and 18 </w:t>
      </w:r>
      <w:r w:rsidR="00510D6D">
        <w:t xml:space="preserve">of </w:t>
      </w:r>
      <w:r>
        <w:t>the rules</w:t>
      </w:r>
      <w:r w:rsidR="00C46EBB">
        <w:t>,</w:t>
      </w:r>
      <w:r w:rsidR="006E5F4E">
        <w:t xml:space="preserve"> for which OET is responsible</w:t>
      </w:r>
      <w:r>
        <w:t xml:space="preserve">.  We further propose that this authority be limited to </w:t>
      </w:r>
      <w:r w:rsidR="002D695D">
        <w:t>updat</w:t>
      </w:r>
      <w:r w:rsidR="00C46EBB">
        <w:t>ing</w:t>
      </w:r>
      <w:r w:rsidR="002D695D">
        <w:t xml:space="preserve"> versions of standards that are already referenced into the rules and not to incorporate a new standard into the rules</w:t>
      </w:r>
      <w:r w:rsidR="0032598A">
        <w:t>, and that it be further limited to the approval of changes to the technical standards that do not raise major compliance issues</w:t>
      </w:r>
      <w:r>
        <w:t xml:space="preserve">.  </w:t>
      </w:r>
      <w:r w:rsidR="00B95CF2">
        <w:t>T</w:t>
      </w:r>
      <w:r w:rsidR="002D695D">
        <w:t>o meet the statutory requirements of the Administrative Procedure Act</w:t>
      </w:r>
      <w:r w:rsidR="00B95CF2">
        <w:t xml:space="preserve"> (APA)</w:t>
      </w:r>
      <w:r w:rsidR="002D695D">
        <w:t xml:space="preserve">, OET would first issue a notice </w:t>
      </w:r>
      <w:r w:rsidR="00565EEF">
        <w:t xml:space="preserve">that would be published in the Federal Register </w:t>
      </w:r>
      <w:r w:rsidR="002D695D">
        <w:t>seeking comment on</w:t>
      </w:r>
      <w:r w:rsidR="00B95CF2">
        <w:t xml:space="preserve"> t</w:t>
      </w:r>
      <w:r w:rsidR="00565EEF">
        <w:t>he proposed change to the rules</w:t>
      </w:r>
      <w:r w:rsidR="00B95CF2">
        <w:t>.</w:t>
      </w:r>
      <w:r w:rsidR="00B95CF2">
        <w:rPr>
          <w:rStyle w:val="FootnoteReference"/>
        </w:rPr>
        <w:footnoteReference w:id="151"/>
      </w:r>
      <w:r w:rsidR="00B95CF2">
        <w:t xml:space="preserve">  The Commission would continue to act on rule changes that incorporate a new standard</w:t>
      </w:r>
      <w:r w:rsidR="00D41DC2">
        <w:t xml:space="preserve"> into the rules</w:t>
      </w:r>
      <w:r w:rsidR="00642357">
        <w:t xml:space="preserve"> or raise major compliance issues</w:t>
      </w:r>
      <w:r w:rsidR="00B95CF2">
        <w:t>.</w:t>
      </w:r>
      <w:r>
        <w:t xml:space="preserve">  </w:t>
      </w:r>
      <w:r w:rsidR="00D41DC2">
        <w:t>We believe that t</w:t>
      </w:r>
      <w:r>
        <w:t>hese proposals w</w:t>
      </w:r>
      <w:r w:rsidR="00D41DC2">
        <w:t>ould</w:t>
      </w:r>
      <w:r>
        <w:t xml:space="preserve"> allow us to more quickly update our rules to reflect the release of revised industry standards.  We seek comment on these proposals.</w:t>
      </w:r>
      <w:r w:rsidR="004331C7">
        <w:t xml:space="preserve"> </w:t>
      </w:r>
    </w:p>
    <w:p w:rsidR="002A16BD" w:rsidRDefault="002A16BD" w:rsidP="000116C7">
      <w:pPr>
        <w:pStyle w:val="Heading3"/>
        <w:widowControl/>
      </w:pPr>
      <w:bookmarkStart w:id="526" w:name="_Toc327450774"/>
      <w:bookmarkStart w:id="527" w:name="_Toc330288222"/>
      <w:bookmarkStart w:id="528" w:name="_Toc330367192"/>
      <w:bookmarkStart w:id="529" w:name="_Toc331420780"/>
      <w:bookmarkStart w:id="530" w:name="_Toc331604660"/>
      <w:bookmarkStart w:id="531" w:name="_Toc332121636"/>
      <w:bookmarkStart w:id="532" w:name="_Toc332204313"/>
      <w:bookmarkStart w:id="533" w:name="_Toc332894815"/>
      <w:bookmarkStart w:id="534" w:name="_Toc333581628"/>
      <w:bookmarkStart w:id="535" w:name="_Toc333936420"/>
      <w:bookmarkStart w:id="536" w:name="_Toc335141629"/>
      <w:bookmarkStart w:id="537" w:name="_Toc335291372"/>
      <w:bookmarkStart w:id="538" w:name="_Toc335291425"/>
      <w:bookmarkStart w:id="539" w:name="_Toc335291485"/>
      <w:bookmarkStart w:id="540" w:name="_Toc335291555"/>
      <w:bookmarkStart w:id="541" w:name="_Toc335291693"/>
      <w:bookmarkStart w:id="542" w:name="_Toc335291745"/>
      <w:bookmarkStart w:id="543" w:name="_Toc335631623"/>
      <w:bookmarkStart w:id="544" w:name="_Toc335632665"/>
      <w:bookmarkStart w:id="545" w:name="_Toc335632737"/>
      <w:bookmarkStart w:id="546" w:name="_Toc337649175"/>
      <w:r>
        <w:t>Other issues</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FD5C70" w:rsidRDefault="00657E4E" w:rsidP="000116C7">
      <w:pPr>
        <w:pStyle w:val="ParaNum"/>
        <w:widowControl/>
      </w:pPr>
      <w:r>
        <w:rPr>
          <w:i/>
        </w:rPr>
        <w:t>Test set-up information.</w:t>
      </w:r>
      <w:r>
        <w:t xml:space="preserve">  </w:t>
      </w:r>
      <w:r w:rsidR="00917C6C">
        <w:t xml:space="preserve">We are proposing to amend Section 2.1033 </w:t>
      </w:r>
      <w:r w:rsidR="00A00121">
        <w:t xml:space="preserve">of the rules </w:t>
      </w:r>
      <w:r w:rsidR="00917C6C">
        <w:t xml:space="preserve">to require that applications for certification include photographs or diagrams of the test set-up </w:t>
      </w:r>
      <w:r w:rsidR="0064381B">
        <w:t xml:space="preserve">for each </w:t>
      </w:r>
      <w:r w:rsidR="00F01527">
        <w:t xml:space="preserve">of the required </w:t>
      </w:r>
      <w:r w:rsidR="0064381B">
        <w:t>type</w:t>
      </w:r>
      <w:r w:rsidR="00F01527">
        <w:t>s</w:t>
      </w:r>
      <w:r w:rsidR="0064381B">
        <w:t xml:space="preserve"> of test</w:t>
      </w:r>
      <w:r w:rsidR="00F01527">
        <w:t>s</w:t>
      </w:r>
      <w:r w:rsidR="0064381B">
        <w:t xml:space="preserve"> applicable to the device</w:t>
      </w:r>
      <w:r w:rsidR="00C81BCA">
        <w:t xml:space="preserve"> for which certification is requested</w:t>
      </w:r>
      <w:r w:rsidR="00917C6C">
        <w:t>.</w:t>
      </w:r>
      <w:r w:rsidR="00A00121">
        <w:rPr>
          <w:rStyle w:val="FootnoteReference"/>
        </w:rPr>
        <w:footnoteReference w:id="152"/>
      </w:r>
      <w:r w:rsidR="0064381B">
        <w:t xml:space="preserve">  These tests may include, for example, radiated emissions, AC line conducted emissions, conducted </w:t>
      </w:r>
      <w:r w:rsidR="00C81BCA">
        <w:t>power</w:t>
      </w:r>
      <w:r w:rsidR="0064381B">
        <w:t>,</w:t>
      </w:r>
      <w:r w:rsidR="00C81BCA">
        <w:t xml:space="preserve"> RF safety (SAR), or compliance with the hearing aid compatibility (HAC) requirements</w:t>
      </w:r>
      <w:r w:rsidR="0064381B">
        <w:t xml:space="preserve"> </w:t>
      </w:r>
      <w:r w:rsidR="00917C6C">
        <w:t xml:space="preserve">  The rules do not currently require that a certification application include this information, while </w:t>
      </w:r>
      <w:r w:rsidR="00C81BCA">
        <w:t xml:space="preserve">test set-up </w:t>
      </w:r>
      <w:r w:rsidR="00917C6C">
        <w:t>photographs or diagrams are required with the information that responsible parties must retain for equipment subject to DoC or verification.</w:t>
      </w:r>
      <w:r w:rsidR="00917C6C">
        <w:rPr>
          <w:rStyle w:val="FootnoteReference"/>
        </w:rPr>
        <w:footnoteReference w:id="153"/>
      </w:r>
      <w:r w:rsidR="00917C6C">
        <w:t xml:space="preserve">  We believe that photographs or diagrams of the test set-up should be required with an application for certification for consistency with our other authorization processes and to allow us to determine whether a </w:t>
      </w:r>
      <w:r w:rsidR="008F6EBC">
        <w:t xml:space="preserve">test laboratory or </w:t>
      </w:r>
      <w:r w:rsidR="00917C6C">
        <w:t xml:space="preserve">TCB tested equipment in accordance with the applicable measurement procedures.  </w:t>
      </w:r>
      <w:r w:rsidR="001532BC">
        <w:t>We propose that diagrams</w:t>
      </w:r>
      <w:r w:rsidR="001532BC" w:rsidRPr="00FA2984">
        <w:t xml:space="preserve"> or photographs must show enough detail to confirm other information contained in the test report</w:t>
      </w:r>
      <w:r w:rsidR="001532BC">
        <w:t>, and that a</w:t>
      </w:r>
      <w:r w:rsidR="001532BC" w:rsidRPr="00FA2984">
        <w:t>ny photographs must be focused originals without glare or dark spots and must clearly show the test configuration used</w:t>
      </w:r>
      <w:r w:rsidR="001532BC">
        <w:t xml:space="preserve">.  </w:t>
      </w:r>
      <w:r w:rsidR="008F6EBC">
        <w:t xml:space="preserve">We believe that the cost of this proposed requirement is negligible because it merely requires a test laboratory or TCB to take a minimal number of additional photographs during testing or draw some relatively simple diagrams and </w:t>
      </w:r>
      <w:r w:rsidR="00E17FA1">
        <w:t>include</w:t>
      </w:r>
      <w:r w:rsidR="008F6EBC">
        <w:t xml:space="preserve"> those </w:t>
      </w:r>
      <w:r w:rsidR="00E17FA1">
        <w:t>with</w:t>
      </w:r>
      <w:r w:rsidR="008F6EBC">
        <w:t xml:space="preserve"> the test report submitted with the application</w:t>
      </w:r>
      <w:r w:rsidR="00E17FA1">
        <w:t xml:space="preserve"> for certification</w:t>
      </w:r>
      <w:r w:rsidR="008F6EBC">
        <w:t xml:space="preserve">.  </w:t>
      </w:r>
      <w:r w:rsidR="00917C6C">
        <w:t>We seek comment on this proposal.</w:t>
      </w:r>
    </w:p>
    <w:p w:rsidR="002A16BD" w:rsidRPr="00595105" w:rsidRDefault="00FE654A" w:rsidP="000116C7">
      <w:pPr>
        <w:pStyle w:val="ParaNum"/>
        <w:widowControl/>
      </w:pPr>
      <w:r>
        <w:rPr>
          <w:i/>
        </w:rPr>
        <w:t xml:space="preserve">Rule corrections.  </w:t>
      </w:r>
      <w:r w:rsidR="005F628C">
        <w:t>We are proposing to correct two minor discrepancies in Part 15</w:t>
      </w:r>
      <w:r w:rsidR="00F95498">
        <w:t xml:space="preserve"> </w:t>
      </w:r>
      <w:r w:rsidR="005F628C">
        <w:t>con</w:t>
      </w:r>
      <w:r w:rsidR="00D41DC2">
        <w:t xml:space="preserve">cerning measurement procedures.  </w:t>
      </w:r>
      <w:r w:rsidR="00A848F4">
        <w:t>Specifically</w:t>
      </w:r>
      <w:r w:rsidR="00DA0703">
        <w:t xml:space="preserve">, we are proposing to remove </w:t>
      </w:r>
      <w:r w:rsidR="00FF267B">
        <w:t xml:space="preserve">Section 15.109(g)(4) </w:t>
      </w:r>
      <w:r w:rsidR="00D41DC2">
        <w:t xml:space="preserve">as unnecessary </w:t>
      </w:r>
      <w:r w:rsidR="00FF267B">
        <w:lastRenderedPageBreak/>
        <w:t xml:space="preserve">because it </w:t>
      </w:r>
      <w:r w:rsidR="00663B00">
        <w:t xml:space="preserve">merely </w:t>
      </w:r>
      <w:r w:rsidR="00FF267B">
        <w:t xml:space="preserve">references </w:t>
      </w:r>
      <w:r w:rsidR="00D41DC2">
        <w:t>former Section 15.107(e) that was deleted in 2002.</w:t>
      </w:r>
      <w:r w:rsidR="00950612">
        <w:rPr>
          <w:rStyle w:val="FootnoteReference"/>
        </w:rPr>
        <w:footnoteReference w:id="154"/>
      </w:r>
      <w:r w:rsidR="00950612">
        <w:t xml:space="preserve"> </w:t>
      </w:r>
      <w:r w:rsidR="00FF267B">
        <w:t xml:space="preserve"> </w:t>
      </w:r>
      <w:r w:rsidR="00663B00">
        <w:t xml:space="preserve">We are also proposing to delete </w:t>
      </w:r>
      <w:r w:rsidR="00950612">
        <w:t xml:space="preserve">as unnecessary </w:t>
      </w:r>
      <w:r w:rsidR="00DA0703">
        <w:t xml:space="preserve">the note in Section 15.31(a)(3) that </w:t>
      </w:r>
      <w:r w:rsidR="00950612">
        <w:t>states digital devices meeting the limits in</w:t>
      </w:r>
      <w:r w:rsidR="00A848F4">
        <w:t xml:space="preserve"> Sections 15.107(e) and 15.109(g)</w:t>
      </w:r>
      <w:r w:rsidR="00950612">
        <w:t xml:space="preserve"> must be tested using the ANSI C63.4 procedure.</w:t>
      </w:r>
      <w:r w:rsidR="00A00121">
        <w:rPr>
          <w:rStyle w:val="FootnoteReference"/>
        </w:rPr>
        <w:footnoteReference w:id="155"/>
      </w:r>
      <w:r w:rsidR="00950612">
        <w:t xml:space="preserve"> </w:t>
      </w:r>
      <w:r w:rsidR="00663B00">
        <w:t xml:space="preserve"> </w:t>
      </w:r>
      <w:r w:rsidR="00950612">
        <w:t xml:space="preserve">As noted above, </w:t>
      </w:r>
      <w:r w:rsidR="00663B00">
        <w:t>Section 15.107(e) is no longer in the rules</w:t>
      </w:r>
      <w:r w:rsidR="00950612">
        <w:t>,</w:t>
      </w:r>
      <w:r w:rsidR="00663B00">
        <w:t xml:space="preserve"> and Section 15.109(g)</w:t>
      </w:r>
      <w:r w:rsidR="00950612">
        <w:t xml:space="preserve"> </w:t>
      </w:r>
      <w:r w:rsidR="00663B00">
        <w:t xml:space="preserve">already makes clear that digital devices tested </w:t>
      </w:r>
      <w:r w:rsidR="006E5F4E">
        <w:t>for compliance</w:t>
      </w:r>
      <w:r w:rsidR="00663B00">
        <w:t xml:space="preserve"> with the limits </w:t>
      </w:r>
      <w:r w:rsidR="00950612">
        <w:t>in that section must</w:t>
      </w:r>
      <w:r w:rsidR="00663B00">
        <w:t xml:space="preserve"> be tested </w:t>
      </w:r>
      <w:r w:rsidR="00950612">
        <w:t>in accordance with the</w:t>
      </w:r>
      <w:r w:rsidR="00663B00">
        <w:t xml:space="preserve"> ANSI C63.4</w:t>
      </w:r>
      <w:r w:rsidR="00677C3E">
        <w:t xml:space="preserve"> </w:t>
      </w:r>
      <w:r w:rsidR="00663B00">
        <w:t>procedure.</w:t>
      </w:r>
      <w:r w:rsidR="00950612">
        <w:rPr>
          <w:rStyle w:val="FootnoteReference"/>
        </w:rPr>
        <w:footnoteReference w:id="156"/>
      </w:r>
      <w:r w:rsidR="00663B00">
        <w:t xml:space="preserve">  </w:t>
      </w:r>
      <w:r w:rsidR="00BA7184">
        <w:t>We seek comment on these proposals.</w:t>
      </w:r>
    </w:p>
    <w:p w:rsidR="00F026A3" w:rsidRDefault="00F026A3" w:rsidP="000116C7">
      <w:pPr>
        <w:pStyle w:val="Heading2"/>
        <w:widowControl/>
      </w:pPr>
      <w:bookmarkStart w:id="547" w:name="_Toc327450775"/>
      <w:bookmarkStart w:id="548" w:name="_Toc330288223"/>
      <w:bookmarkStart w:id="549" w:name="_Toc330367193"/>
      <w:bookmarkStart w:id="550" w:name="_Toc331420781"/>
      <w:bookmarkStart w:id="551" w:name="_Toc331604661"/>
      <w:bookmarkStart w:id="552" w:name="_Toc332121637"/>
      <w:bookmarkStart w:id="553" w:name="_Toc332204314"/>
      <w:bookmarkStart w:id="554" w:name="_Toc332894816"/>
      <w:bookmarkStart w:id="555" w:name="_Toc333581629"/>
      <w:bookmarkStart w:id="556" w:name="_Toc333936421"/>
      <w:bookmarkStart w:id="557" w:name="_Toc335141630"/>
      <w:bookmarkStart w:id="558" w:name="_Toc335291373"/>
      <w:bookmarkStart w:id="559" w:name="_Toc335291426"/>
      <w:bookmarkStart w:id="560" w:name="_Toc335291486"/>
      <w:bookmarkStart w:id="561" w:name="_Toc335291556"/>
      <w:bookmarkStart w:id="562" w:name="_Toc335291694"/>
      <w:bookmarkStart w:id="563" w:name="_Toc335291746"/>
      <w:bookmarkStart w:id="564" w:name="_Toc335631624"/>
      <w:bookmarkStart w:id="565" w:name="_Toc335632666"/>
      <w:bookmarkStart w:id="566" w:name="_Toc335632738"/>
      <w:bookmarkStart w:id="567" w:name="_Toc337649176"/>
      <w:bookmarkStart w:id="568" w:name="_Toc289272143"/>
      <w:bookmarkStart w:id="569" w:name="_Toc292693341"/>
      <w:bookmarkStart w:id="570" w:name="_Toc292693409"/>
      <w:bookmarkStart w:id="571" w:name="_Toc323028042"/>
      <w:bookmarkStart w:id="572" w:name="_Toc324843308"/>
      <w:bookmarkStart w:id="573" w:name="_Toc324864722"/>
      <w:bookmarkStart w:id="574" w:name="_Toc324929589"/>
      <w:bookmarkStart w:id="575" w:name="_Toc324929713"/>
      <w:bookmarkStart w:id="576" w:name="_Toc325013639"/>
      <w:bookmarkStart w:id="577" w:name="_Toc325013969"/>
      <w:bookmarkStart w:id="578" w:name="_Toc325014177"/>
      <w:bookmarkStart w:id="579" w:name="_Toc325016826"/>
      <w:bookmarkStart w:id="580" w:name="_Toc325030456"/>
      <w:bookmarkStart w:id="581" w:name="_Toc326243809"/>
      <w:bookmarkStart w:id="582" w:name="_Toc326244006"/>
      <w:r>
        <w:t>Transition period</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rsidR="00976048" w:rsidRPr="00976048" w:rsidRDefault="00A43E49" w:rsidP="000116C7">
      <w:pPr>
        <w:pStyle w:val="ParaNum"/>
        <w:widowControl/>
        <w:tabs>
          <w:tab w:val="num" w:pos="360"/>
        </w:tabs>
        <w:rPr>
          <w:szCs w:val="22"/>
        </w:rPr>
      </w:pPr>
      <w:r>
        <w:rPr>
          <w:szCs w:val="22"/>
        </w:rPr>
        <w:t>Two of the proposals in this Notice would make</w:t>
      </w:r>
      <w:r w:rsidR="006A666F">
        <w:rPr>
          <w:szCs w:val="22"/>
        </w:rPr>
        <w:t xml:space="preserve"> changes to the requirements for test laboratories that we believe may take some time for currently operating laboratories to meet.  </w:t>
      </w:r>
      <w:r>
        <w:rPr>
          <w:szCs w:val="22"/>
        </w:rPr>
        <w:t>These proposals are</w:t>
      </w:r>
      <w:r w:rsidR="006A666F">
        <w:rPr>
          <w:szCs w:val="22"/>
        </w:rPr>
        <w:t xml:space="preserve"> that: 1) </w:t>
      </w:r>
      <w:r w:rsidR="00A14E35">
        <w:rPr>
          <w:szCs w:val="22"/>
        </w:rPr>
        <w:t xml:space="preserve">all </w:t>
      </w:r>
      <w:r w:rsidR="006A666F">
        <w:rPr>
          <w:szCs w:val="22"/>
        </w:rPr>
        <w:t>laboratories must be</w:t>
      </w:r>
      <w:r w:rsidR="006434B9">
        <w:rPr>
          <w:szCs w:val="22"/>
        </w:rPr>
        <w:t xml:space="preserve"> accredited </w:t>
      </w:r>
      <w:r w:rsidR="006A666F">
        <w:rPr>
          <w:szCs w:val="22"/>
        </w:rPr>
        <w:t>if they test equipment authorized through the</w:t>
      </w:r>
      <w:r w:rsidR="006434B9">
        <w:rPr>
          <w:szCs w:val="22"/>
        </w:rPr>
        <w:t xml:space="preserve"> certification</w:t>
      </w:r>
      <w:r w:rsidR="006A666F">
        <w:rPr>
          <w:szCs w:val="22"/>
        </w:rPr>
        <w:t xml:space="preserve"> procedure, and 2) laboratories that perform measurements at frequencies above 1 GHz must comply with the site validation criteria in ANSI C63.4-2009.</w:t>
      </w:r>
      <w:r w:rsidR="006434B9">
        <w:rPr>
          <w:szCs w:val="22"/>
        </w:rPr>
        <w:t xml:space="preserve">  </w:t>
      </w:r>
      <w:r w:rsidR="00D851C0">
        <w:rPr>
          <w:szCs w:val="22"/>
        </w:rPr>
        <w:t>We propose several provisions to implement these changes</w:t>
      </w:r>
      <w:r w:rsidR="00A14E35">
        <w:rPr>
          <w:szCs w:val="22"/>
        </w:rPr>
        <w:t xml:space="preserve"> and to facilitate the transition for currently listed laboratories that do not meet these proposed requirements</w:t>
      </w:r>
      <w:r w:rsidR="00D851C0">
        <w:rPr>
          <w:szCs w:val="22"/>
        </w:rPr>
        <w:t xml:space="preserve">.  First, we propose that we will cease accepting applications for unaccredited laboratories under the Section 2.948 listing program as of the effective date of final rules.  </w:t>
      </w:r>
      <w:r w:rsidR="00412AEB">
        <w:rPr>
          <w:szCs w:val="22"/>
        </w:rPr>
        <w:t>After that date, any new laboratory that wishes to be added to our list of laboratori</w:t>
      </w:r>
      <w:r w:rsidR="00A14E35">
        <w:rPr>
          <w:szCs w:val="22"/>
        </w:rPr>
        <w:t xml:space="preserve">es that </w:t>
      </w:r>
      <w:r w:rsidR="00267FC3">
        <w:rPr>
          <w:szCs w:val="22"/>
        </w:rPr>
        <w:t>can</w:t>
      </w:r>
      <w:r w:rsidR="00412AEB">
        <w:rPr>
          <w:szCs w:val="22"/>
        </w:rPr>
        <w:t xml:space="preserve"> perform testing in support of certification applications must be accredited.  </w:t>
      </w:r>
      <w:r w:rsidR="00A14E35">
        <w:rPr>
          <w:szCs w:val="22"/>
        </w:rPr>
        <w:t>We would continue processing a</w:t>
      </w:r>
      <w:r w:rsidR="00412AEB">
        <w:rPr>
          <w:szCs w:val="22"/>
        </w:rPr>
        <w:t>pplications for Section 2.948 listing of unaccredited laboratories that were pending as of the effective date of the rules</w:t>
      </w:r>
      <w:r w:rsidR="00A14E35">
        <w:rPr>
          <w:szCs w:val="22"/>
        </w:rPr>
        <w:t>.  If such applications were approved, the laboratories</w:t>
      </w:r>
      <w:r w:rsidR="00412AEB">
        <w:rPr>
          <w:szCs w:val="22"/>
        </w:rPr>
        <w:t xml:space="preserve"> would be treated in the same manner as laborator</w:t>
      </w:r>
      <w:r w:rsidR="00A14E35">
        <w:rPr>
          <w:szCs w:val="22"/>
        </w:rPr>
        <w:t>ies</w:t>
      </w:r>
      <w:r w:rsidR="00412AEB">
        <w:rPr>
          <w:szCs w:val="22"/>
        </w:rPr>
        <w:t xml:space="preserve"> that w</w:t>
      </w:r>
      <w:r w:rsidR="00A14E35">
        <w:rPr>
          <w:szCs w:val="22"/>
        </w:rPr>
        <w:t>ere</w:t>
      </w:r>
      <w:r w:rsidR="00412AEB">
        <w:rPr>
          <w:szCs w:val="22"/>
        </w:rPr>
        <w:t xml:space="preserve"> already listed </w:t>
      </w:r>
      <w:r w:rsidR="00A14E35">
        <w:rPr>
          <w:szCs w:val="22"/>
        </w:rPr>
        <w:t>on</w:t>
      </w:r>
      <w:r w:rsidR="00412AEB">
        <w:rPr>
          <w:szCs w:val="22"/>
        </w:rPr>
        <w:t xml:space="preserve"> the effective date of the rules.</w:t>
      </w:r>
      <w:r w:rsidR="00CD0E7B" w:rsidRPr="00CD0E7B">
        <w:rPr>
          <w:rStyle w:val="FootnoteReference"/>
          <w:szCs w:val="22"/>
        </w:rPr>
        <w:t xml:space="preserve"> </w:t>
      </w:r>
      <w:r w:rsidR="00CD0E7B">
        <w:rPr>
          <w:rStyle w:val="FootnoteReference"/>
          <w:szCs w:val="22"/>
        </w:rPr>
        <w:footnoteReference w:id="157"/>
      </w:r>
      <w:r w:rsidR="00412AEB">
        <w:rPr>
          <w:szCs w:val="22"/>
        </w:rPr>
        <w:t xml:space="preserve">  </w:t>
      </w:r>
      <w:r w:rsidR="00D851C0">
        <w:rPr>
          <w:szCs w:val="22"/>
        </w:rPr>
        <w:t>Second, we</w:t>
      </w:r>
      <w:r>
        <w:rPr>
          <w:szCs w:val="22"/>
        </w:rPr>
        <w:t xml:space="preserve"> propose</w:t>
      </w:r>
      <w:r w:rsidR="006434B9">
        <w:rPr>
          <w:szCs w:val="22"/>
        </w:rPr>
        <w:t xml:space="preserve"> </w:t>
      </w:r>
      <w:r>
        <w:rPr>
          <w:szCs w:val="22"/>
        </w:rPr>
        <w:t xml:space="preserve">that unaccredited laboratories </w:t>
      </w:r>
      <w:r w:rsidR="0070124E">
        <w:rPr>
          <w:szCs w:val="22"/>
        </w:rPr>
        <w:t xml:space="preserve">that are </w:t>
      </w:r>
      <w:r>
        <w:rPr>
          <w:szCs w:val="22"/>
        </w:rPr>
        <w:t xml:space="preserve">listed as of the effective date of the </w:t>
      </w:r>
      <w:r w:rsidR="00412AEB">
        <w:rPr>
          <w:szCs w:val="22"/>
        </w:rPr>
        <w:t>rules</w:t>
      </w:r>
      <w:r w:rsidR="009806C6">
        <w:rPr>
          <w:szCs w:val="22"/>
        </w:rPr>
        <w:t xml:space="preserve"> </w:t>
      </w:r>
      <w:r w:rsidR="00412AEB">
        <w:rPr>
          <w:szCs w:val="22"/>
        </w:rPr>
        <w:t>may continue to</w:t>
      </w:r>
      <w:r w:rsidR="006434B9">
        <w:rPr>
          <w:szCs w:val="22"/>
        </w:rPr>
        <w:t xml:space="preserve"> perform testing in support</w:t>
      </w:r>
      <w:r w:rsidR="006A666F">
        <w:rPr>
          <w:szCs w:val="22"/>
        </w:rPr>
        <w:t xml:space="preserve"> of certification applicat</w:t>
      </w:r>
      <w:r>
        <w:rPr>
          <w:szCs w:val="22"/>
        </w:rPr>
        <w:t>ions</w:t>
      </w:r>
      <w:r w:rsidR="00412AEB">
        <w:rPr>
          <w:szCs w:val="22"/>
        </w:rPr>
        <w:t xml:space="preserve"> until </w:t>
      </w:r>
      <w:r>
        <w:rPr>
          <w:szCs w:val="22"/>
        </w:rPr>
        <w:t xml:space="preserve">one year </w:t>
      </w:r>
      <w:r w:rsidR="00412AEB">
        <w:rPr>
          <w:szCs w:val="22"/>
        </w:rPr>
        <w:t>after</w:t>
      </w:r>
      <w:r>
        <w:rPr>
          <w:szCs w:val="22"/>
        </w:rPr>
        <w:t xml:space="preserve"> the publication of final rules in the Federal Register</w:t>
      </w:r>
      <w:r w:rsidR="00412AEB">
        <w:rPr>
          <w:szCs w:val="22"/>
        </w:rPr>
        <w:t>.  After that date, th</w:t>
      </w:r>
      <w:r>
        <w:rPr>
          <w:szCs w:val="22"/>
        </w:rPr>
        <w:t xml:space="preserve">ey </w:t>
      </w:r>
      <w:r w:rsidR="00412AEB">
        <w:rPr>
          <w:szCs w:val="22"/>
        </w:rPr>
        <w:t>must be</w:t>
      </w:r>
      <w:r>
        <w:rPr>
          <w:szCs w:val="22"/>
        </w:rPr>
        <w:t xml:space="preserve"> accredited</w:t>
      </w:r>
      <w:r w:rsidR="00412AEB">
        <w:rPr>
          <w:szCs w:val="22"/>
        </w:rPr>
        <w:t xml:space="preserve"> or cease performing testing in support of certification applications </w:t>
      </w:r>
      <w:r w:rsidR="009F6506">
        <w:rPr>
          <w:szCs w:val="22"/>
        </w:rPr>
        <w:t>unless</w:t>
      </w:r>
      <w:r w:rsidR="00412AEB">
        <w:rPr>
          <w:szCs w:val="22"/>
        </w:rPr>
        <w:t xml:space="preserve"> they become accredited</w:t>
      </w:r>
      <w:r w:rsidR="006434B9">
        <w:rPr>
          <w:szCs w:val="22"/>
        </w:rPr>
        <w:t xml:space="preserve">. </w:t>
      </w:r>
      <w:r w:rsidR="006B5F89">
        <w:rPr>
          <w:szCs w:val="22"/>
        </w:rPr>
        <w:t xml:space="preserve"> </w:t>
      </w:r>
      <w:r w:rsidR="00D851C0">
        <w:rPr>
          <w:szCs w:val="22"/>
        </w:rPr>
        <w:t>Third, we propose that al</w:t>
      </w:r>
      <w:r w:rsidR="009806C6">
        <w:rPr>
          <w:szCs w:val="22"/>
        </w:rPr>
        <w:t>l laboratories listed with the Commission as of the effective date of the rules, both accredited and unaccredited, must comply with the site validation criteria in ANSI C63.4-2009</w:t>
      </w:r>
      <w:r w:rsidR="00A14E35">
        <w:rPr>
          <w:szCs w:val="22"/>
        </w:rPr>
        <w:t xml:space="preserve"> no later than</w:t>
      </w:r>
      <w:r w:rsidR="009806C6">
        <w:rPr>
          <w:szCs w:val="22"/>
        </w:rPr>
        <w:t xml:space="preserve"> one year after publication of final rules in the Federal Register. </w:t>
      </w:r>
      <w:r w:rsidR="00D851C0">
        <w:rPr>
          <w:szCs w:val="22"/>
        </w:rPr>
        <w:t xml:space="preserve"> </w:t>
      </w:r>
      <w:r w:rsidR="00A14E35">
        <w:rPr>
          <w:szCs w:val="22"/>
        </w:rPr>
        <w:t xml:space="preserve">New laboratories that wish to be listed after the effective date of the rules must comply with the </w:t>
      </w:r>
      <w:r w:rsidR="009F6506">
        <w:rPr>
          <w:szCs w:val="22"/>
        </w:rPr>
        <w:t xml:space="preserve">ANSI C63.4-2009 </w:t>
      </w:r>
      <w:r w:rsidR="00A14E35">
        <w:rPr>
          <w:szCs w:val="22"/>
        </w:rPr>
        <w:t xml:space="preserve">site validation criteria, and must be accredited as described above.  </w:t>
      </w:r>
      <w:r w:rsidR="006B5F89">
        <w:rPr>
          <w:szCs w:val="22"/>
        </w:rPr>
        <w:t>We seek comment on these proposals.</w:t>
      </w:r>
    </w:p>
    <w:p w:rsidR="00FB0A89" w:rsidRDefault="00FB0A89" w:rsidP="000116C7">
      <w:pPr>
        <w:pStyle w:val="Heading1"/>
        <w:widowControl/>
      </w:pPr>
      <w:bookmarkStart w:id="583" w:name="_Toc289272091"/>
      <w:bookmarkStart w:id="584" w:name="_Toc289272144"/>
      <w:bookmarkStart w:id="585" w:name="_Toc292693342"/>
      <w:bookmarkStart w:id="586" w:name="_Toc292693410"/>
      <w:bookmarkStart w:id="587" w:name="_Toc323028043"/>
      <w:bookmarkStart w:id="588" w:name="_Toc324843309"/>
      <w:bookmarkStart w:id="589" w:name="_Toc324864723"/>
      <w:bookmarkStart w:id="590" w:name="_Toc324929590"/>
      <w:bookmarkStart w:id="591" w:name="_Toc324929714"/>
      <w:bookmarkStart w:id="592" w:name="_Toc325013640"/>
      <w:bookmarkStart w:id="593" w:name="_Toc325013970"/>
      <w:bookmarkStart w:id="594" w:name="_Toc325013983"/>
      <w:bookmarkStart w:id="595" w:name="_Toc325014047"/>
      <w:bookmarkStart w:id="596" w:name="_Toc325014070"/>
      <w:bookmarkStart w:id="597" w:name="_Toc325014178"/>
      <w:bookmarkStart w:id="598" w:name="_Toc325016827"/>
      <w:bookmarkStart w:id="599" w:name="_Toc325030457"/>
      <w:bookmarkStart w:id="600" w:name="_Toc326243810"/>
      <w:bookmarkStart w:id="601" w:name="_Toc326244007"/>
      <w:bookmarkStart w:id="602" w:name="_Toc327450776"/>
      <w:bookmarkStart w:id="603" w:name="_Toc330288224"/>
      <w:bookmarkStart w:id="604" w:name="_Toc330367194"/>
      <w:bookmarkStart w:id="605" w:name="_Toc331420782"/>
      <w:bookmarkStart w:id="606" w:name="_Toc331604662"/>
      <w:bookmarkStart w:id="607" w:name="_Toc332121638"/>
      <w:bookmarkStart w:id="608" w:name="_Toc332204315"/>
      <w:bookmarkStart w:id="609" w:name="_Toc332894817"/>
      <w:bookmarkStart w:id="610" w:name="_Toc333581630"/>
      <w:bookmarkStart w:id="611" w:name="_Toc333936422"/>
      <w:bookmarkStart w:id="612" w:name="_Toc335141631"/>
      <w:bookmarkStart w:id="613" w:name="_Toc335291374"/>
      <w:bookmarkStart w:id="614" w:name="_Toc335291427"/>
      <w:bookmarkStart w:id="615" w:name="_Toc335291487"/>
      <w:bookmarkStart w:id="616" w:name="_Toc335291557"/>
      <w:bookmarkStart w:id="617" w:name="_Toc335291695"/>
      <w:bookmarkStart w:id="618" w:name="_Toc335291747"/>
      <w:bookmarkStart w:id="619" w:name="_Toc335631625"/>
      <w:bookmarkStart w:id="620" w:name="_Toc335632667"/>
      <w:bookmarkStart w:id="621" w:name="_Toc335632739"/>
      <w:bookmarkStart w:id="622" w:name="_Toc337649177"/>
      <w:r>
        <w:t>Procedural Matters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rsidR="006873BE" w:rsidRPr="002E207A" w:rsidRDefault="002E207A" w:rsidP="000116C7">
      <w:pPr>
        <w:pStyle w:val="Heading2"/>
        <w:widowControl/>
      </w:pPr>
      <w:bookmarkStart w:id="623" w:name="_Toc335141632"/>
      <w:bookmarkStart w:id="624" w:name="_Toc335291375"/>
      <w:bookmarkStart w:id="625" w:name="_Toc335291428"/>
      <w:bookmarkStart w:id="626" w:name="_Toc335291488"/>
      <w:bookmarkStart w:id="627" w:name="_Toc335291558"/>
      <w:bookmarkStart w:id="628" w:name="_Toc335291696"/>
      <w:bookmarkStart w:id="629" w:name="_Toc335291748"/>
      <w:bookmarkStart w:id="630" w:name="_Toc335631626"/>
      <w:bookmarkStart w:id="631" w:name="_Toc335632668"/>
      <w:bookmarkStart w:id="632" w:name="_Toc335632740"/>
      <w:bookmarkStart w:id="633" w:name="_Toc337649178"/>
      <w:r w:rsidRPr="002E207A">
        <w:rPr>
          <w:i/>
        </w:rPr>
        <w:t>Ex Parte</w:t>
      </w:r>
      <w:r w:rsidRPr="002E207A">
        <w:t xml:space="preserve"> Rules – Permit-But-Disclose</w:t>
      </w:r>
      <w:bookmarkEnd w:id="623"/>
      <w:bookmarkEnd w:id="624"/>
      <w:bookmarkEnd w:id="625"/>
      <w:bookmarkEnd w:id="626"/>
      <w:bookmarkEnd w:id="627"/>
      <w:bookmarkEnd w:id="628"/>
      <w:bookmarkEnd w:id="629"/>
      <w:bookmarkEnd w:id="630"/>
      <w:bookmarkEnd w:id="631"/>
      <w:bookmarkEnd w:id="632"/>
      <w:bookmarkEnd w:id="633"/>
    </w:p>
    <w:p w:rsidR="0035523B" w:rsidRDefault="0035523B" w:rsidP="000116C7">
      <w:pPr>
        <w:pStyle w:val="ParaNum"/>
        <w:widowControl/>
        <w:tabs>
          <w:tab w:val="num" w:pos="360"/>
        </w:tabs>
      </w:pPr>
      <w:r>
        <w:t xml:space="preserve">The </w:t>
      </w:r>
      <w:r w:rsidRPr="00984A20">
        <w:rPr>
          <w:szCs w:val="22"/>
        </w:rPr>
        <w:t>proceeding</w:t>
      </w:r>
      <w:r>
        <w:t xml:space="preserve"> this Notice initiates shall be treated as a “permit-but-disclose” proceeding in accordance with the Commission’s </w:t>
      </w:r>
      <w:r>
        <w:rPr>
          <w:i/>
          <w:iCs/>
        </w:rPr>
        <w:t xml:space="preserve">ex parte </w:t>
      </w:r>
      <w:r>
        <w:t>rules.</w:t>
      </w:r>
      <w:r>
        <w:rPr>
          <w:rStyle w:val="FootnoteReference"/>
        </w:rPr>
        <w:footnoteReference w:id="158"/>
      </w:r>
      <w:r>
        <w:t xml:space="preserve">  Persons making </w:t>
      </w:r>
      <w:r>
        <w:rPr>
          <w:i/>
        </w:rPr>
        <w:t xml:space="preserve">ex parte </w:t>
      </w:r>
      <w:r>
        <w:t xml:space="preserve">presentations must file a copy of any </w:t>
      </w:r>
      <w:r>
        <w:rPr>
          <w:kern w:val="0"/>
          <w:szCs w:val="22"/>
        </w:rPr>
        <w:t>written</w:t>
      </w:r>
      <w:r>
        <w:t xml:space="preserve"> presentation or a memorandum summarizing any oral presentation within two </w:t>
      </w:r>
      <w:r>
        <w:lastRenderedPageBreak/>
        <w:t xml:space="preserve">business days after the presentation (unless a different deadline applicable to the Sunshine period applies).  Persons making oral </w:t>
      </w:r>
      <w:r>
        <w:rPr>
          <w:i/>
          <w:iCs/>
        </w:rPr>
        <w:t xml:space="preserve">ex parte </w:t>
      </w:r>
      <w:r>
        <w:t xml:space="preserve">presentations are reminded that memoranda summarizing the presentation must (1) list all persons attending or otherwise participating in the meeting at which the </w:t>
      </w:r>
      <w:r>
        <w:rPr>
          <w:i/>
          <w:iCs/>
        </w:rPr>
        <w:t xml:space="preserve">ex parte </w:t>
      </w:r>
      <w:r>
        <w:t xml:space="preserve">presentation was made, and (2) summarize all data presented and arguments made during the presentation.  If the presentation consisted in whole or in part of the presentation of data or arguments already reflected in the </w:t>
      </w:r>
      <w:r>
        <w:rPr>
          <w:szCs w:val="22"/>
        </w:rPr>
        <w:t>presenter’s</w:t>
      </w:r>
      <w:r>
        <w:t xml:space="preserve">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Pr>
          <w:i/>
          <w:iCs/>
        </w:rPr>
        <w:t xml:space="preserve">ex parte </w:t>
      </w:r>
      <w:r>
        <w:t xml:space="preserve">meetings are deemed to be written </w:t>
      </w:r>
      <w:r>
        <w:rPr>
          <w:i/>
          <w:iCs/>
        </w:rPr>
        <w:t>ex parte</w:t>
      </w:r>
      <w:r>
        <w:t xml:space="preserve"> presentations and must be filed consistent with rule 1.1206(b).  In proceedings governed by rule 1.49(f) or for which the Commission has made available a method of electronic filing, written </w:t>
      </w:r>
      <w:r>
        <w:rPr>
          <w:i/>
          <w:iCs/>
        </w:rPr>
        <w:t xml:space="preserve">ex parte </w:t>
      </w:r>
      <w:r>
        <w:t xml:space="preserve">presentations and memoranda summarizing oral </w:t>
      </w:r>
      <w:r>
        <w:rPr>
          <w:i/>
          <w:iCs/>
        </w:rPr>
        <w:t xml:space="preserve">ex parte </w:t>
      </w:r>
      <w:r>
        <w:t>presentations, and all attachments thereto, must be filed through the electronic comment filing system available for that proceeding, and must be filed in their native format (</w:t>
      </w:r>
      <w:r>
        <w:rPr>
          <w:i/>
          <w:iCs/>
        </w:rPr>
        <w:t>e.g.</w:t>
      </w:r>
      <w:r>
        <w:t xml:space="preserve">, .doc, .xml, .ppt, searchable .pdf).  Participants in this proceeding should familiarize themselves with the Commission’s </w:t>
      </w:r>
      <w:r>
        <w:rPr>
          <w:i/>
          <w:iCs/>
        </w:rPr>
        <w:t xml:space="preserve">ex parte </w:t>
      </w:r>
      <w:r>
        <w:t>rules.</w:t>
      </w:r>
    </w:p>
    <w:p w:rsidR="00984A20" w:rsidRDefault="00984A20" w:rsidP="000116C7">
      <w:pPr>
        <w:pStyle w:val="Heading2"/>
        <w:widowControl/>
      </w:pPr>
      <w:bookmarkStart w:id="634" w:name="_Toc335291559"/>
      <w:bookmarkStart w:id="635" w:name="_Toc335291697"/>
      <w:bookmarkStart w:id="636" w:name="_Toc335291749"/>
      <w:bookmarkStart w:id="637" w:name="_Toc335631627"/>
      <w:bookmarkStart w:id="638" w:name="_Toc335632669"/>
      <w:bookmarkStart w:id="639" w:name="_Toc335632741"/>
      <w:bookmarkStart w:id="640" w:name="_Toc337649179"/>
      <w:r>
        <w:t>Comment Period and Procedures</w:t>
      </w:r>
      <w:bookmarkEnd w:id="634"/>
      <w:bookmarkEnd w:id="635"/>
      <w:bookmarkEnd w:id="636"/>
      <w:bookmarkEnd w:id="637"/>
      <w:bookmarkEnd w:id="638"/>
      <w:bookmarkEnd w:id="639"/>
      <w:bookmarkEnd w:id="640"/>
    </w:p>
    <w:p w:rsidR="006873BE" w:rsidRDefault="006873BE" w:rsidP="000116C7">
      <w:pPr>
        <w:pStyle w:val="ParaNum"/>
        <w:widowControl/>
        <w:tabs>
          <w:tab w:val="num" w:pos="360"/>
        </w:tabs>
        <w:rPr>
          <w:spacing w:val="-2"/>
        </w:rPr>
      </w:pPr>
      <w:bookmarkStart w:id="641" w:name="_Ref325031395"/>
      <w:r>
        <w:t xml:space="preserve">Pursuant to sections 1.415 and 1.419 of </w:t>
      </w:r>
      <w:r w:rsidR="00281E9D">
        <w:t xml:space="preserve">the Commission’s </w:t>
      </w:r>
      <w:r>
        <w:t>rules, 47 CFR §§ 1.415, 1.419, interested parties may file comments and reply comments on or before the dates indicated on the first page of this document.  Comments may be filed using the Commission’s Electronic Comment Filing System (ECFS)</w:t>
      </w:r>
      <w:r w:rsidR="00281E9D">
        <w:t>.</w:t>
      </w:r>
      <w:r>
        <w:t xml:space="preserve">  </w:t>
      </w:r>
      <w:r>
        <w:rPr>
          <w:i/>
        </w:rPr>
        <w:t>See Electronic Filing of Documents in Rulemaking Proceedings</w:t>
      </w:r>
      <w:r>
        <w:t>, 63 FR 24121 (1998).</w:t>
      </w:r>
      <w:bookmarkEnd w:id="641"/>
      <w:r>
        <w:t xml:space="preserve"> </w:t>
      </w:r>
    </w:p>
    <w:p w:rsidR="006873BE" w:rsidRDefault="006873BE" w:rsidP="000116C7">
      <w:pPr>
        <w:widowControl/>
        <w:numPr>
          <w:ilvl w:val="0"/>
          <w:numId w:val="5"/>
        </w:numPr>
        <w:rPr>
          <w:szCs w:val="22"/>
        </w:rPr>
      </w:pPr>
      <w:r>
        <w:rPr>
          <w:szCs w:val="22"/>
        </w:rPr>
        <w:t>Electronic Filers:  Comments may be filed electronically using the Internet by accessing the ECFS</w:t>
      </w:r>
      <w:proofErr w:type="gramStart"/>
      <w:r>
        <w:rPr>
          <w:szCs w:val="22"/>
        </w:rPr>
        <w:t xml:space="preserve">:  </w:t>
      </w:r>
      <w:proofErr w:type="gramEnd"/>
      <w:r w:rsidR="00F0744B">
        <w:fldChar w:fldCharType="begin"/>
      </w:r>
      <w:r w:rsidR="00F0744B">
        <w:instrText xml:space="preserve"> HYPERLINK "http://fjallfoss.fcc.gov/ecfs2/" </w:instrText>
      </w:r>
      <w:r w:rsidR="00F0744B">
        <w:fldChar w:fldCharType="separate"/>
      </w:r>
      <w:r w:rsidR="00281E9D" w:rsidRPr="00E54C89">
        <w:rPr>
          <w:rStyle w:val="Hyperlink"/>
          <w:szCs w:val="22"/>
        </w:rPr>
        <w:t>http://fjallfoss.fcc.gov/ecfs2/</w:t>
      </w:r>
      <w:r w:rsidR="00F0744B">
        <w:rPr>
          <w:rStyle w:val="Hyperlink"/>
          <w:szCs w:val="22"/>
        </w:rPr>
        <w:fldChar w:fldCharType="end"/>
      </w:r>
      <w:r>
        <w:rPr>
          <w:szCs w:val="22"/>
        </w:rPr>
        <w:t xml:space="preserve">.  </w:t>
      </w:r>
    </w:p>
    <w:p w:rsidR="006873BE" w:rsidRDefault="006873BE" w:rsidP="000116C7">
      <w:pPr>
        <w:widowControl/>
        <w:ind w:left="360"/>
        <w:rPr>
          <w:szCs w:val="22"/>
        </w:rPr>
      </w:pPr>
    </w:p>
    <w:p w:rsidR="006873BE" w:rsidRDefault="006873BE" w:rsidP="000116C7">
      <w:pPr>
        <w:widowControl/>
        <w:numPr>
          <w:ilvl w:val="0"/>
          <w:numId w:val="5"/>
        </w:numPr>
        <w:rPr>
          <w:spacing w:val="-2"/>
          <w:szCs w:val="22"/>
        </w:rPr>
      </w:pPr>
      <w:r>
        <w:rPr>
          <w:szCs w:val="22"/>
        </w:rPr>
        <w:t xml:space="preserve">Paper Filers:  Parties who choose to file by paper must file an original and </w:t>
      </w:r>
      <w:r w:rsidR="00281E9D">
        <w:rPr>
          <w:szCs w:val="22"/>
        </w:rPr>
        <w:t>one</w:t>
      </w:r>
      <w:r>
        <w:rPr>
          <w:szCs w:val="22"/>
        </w:rPr>
        <w:t xml:space="preserve"> cop</w:t>
      </w:r>
      <w:r w:rsidR="00281E9D">
        <w:rPr>
          <w:szCs w:val="22"/>
        </w:rPr>
        <w:t>y</w:t>
      </w:r>
      <w:r>
        <w:rPr>
          <w:szCs w:val="22"/>
        </w:rPr>
        <w:t xml:space="preserve"> of each filing.  If more than one docket or rulemaking number appears in the caption of this proceeding, filers must submit two additional copies for each additional docket or rulemaking number.</w:t>
      </w:r>
    </w:p>
    <w:p w:rsidR="006873BE" w:rsidRDefault="006873BE" w:rsidP="000116C7">
      <w:pPr>
        <w:widowControl/>
        <w:rPr>
          <w:szCs w:val="22"/>
        </w:rPr>
      </w:pPr>
    </w:p>
    <w:p w:rsidR="006873BE" w:rsidRDefault="006873BE" w:rsidP="000116C7">
      <w:pPr>
        <w:widowControl/>
        <w:ind w:left="720"/>
        <w:rPr>
          <w:szCs w:val="22"/>
        </w:rPr>
      </w:pPr>
      <w:r>
        <w:rPr>
          <w:szCs w:val="22"/>
        </w:rPr>
        <w:t>Filings can be sent by hand or messenger delivery, by commercial overnight courier, or by first-class or overnight U.S. Postal Service mail.  All filings must be addressed to the Commission’s Secretary, Office of the Secretary, Federal Communications Commission.</w:t>
      </w:r>
    </w:p>
    <w:p w:rsidR="006873BE" w:rsidRDefault="006873BE" w:rsidP="000116C7">
      <w:pPr>
        <w:widowControl/>
        <w:rPr>
          <w:szCs w:val="22"/>
        </w:rPr>
      </w:pPr>
    </w:p>
    <w:p w:rsidR="006873BE" w:rsidRDefault="006873BE" w:rsidP="000116C7">
      <w:pPr>
        <w:widowControl/>
        <w:numPr>
          <w:ilvl w:val="0"/>
          <w:numId w:val="6"/>
        </w:numPr>
        <w:rPr>
          <w:szCs w:val="22"/>
        </w:rPr>
      </w:pPr>
      <w:r>
        <w:rPr>
          <w:szCs w:val="22"/>
        </w:rPr>
        <w:t>All hand-delivered or messenger-delivered paper filings for the Commission’s Secretary must be delivered to FCC Headquarters at 445 12</w:t>
      </w:r>
      <w:r>
        <w:rPr>
          <w:szCs w:val="22"/>
          <w:vertAlign w:val="superscript"/>
        </w:rPr>
        <w:t>th</w:t>
      </w:r>
      <w:r>
        <w:rPr>
          <w:szCs w:val="22"/>
        </w:rPr>
        <w:t xml:space="preserve"> St., SW, Room TW-A325, Washington, DC 20554.  The filing hours are 8:00 a.m. to 7:00 p.m.   All hand deliveries must be held together with rubber bands or fasteners.  Any envelopes </w:t>
      </w:r>
      <w:r w:rsidR="00281E9D">
        <w:rPr>
          <w:szCs w:val="22"/>
        </w:rPr>
        <w:t xml:space="preserve">and boxes </w:t>
      </w:r>
      <w:r>
        <w:rPr>
          <w:szCs w:val="22"/>
        </w:rPr>
        <w:t xml:space="preserve">must be disposed of </w:t>
      </w:r>
      <w:r w:rsidRPr="00281E9D">
        <w:rPr>
          <w:szCs w:val="22"/>
          <w:u w:val="single"/>
        </w:rPr>
        <w:t>before</w:t>
      </w:r>
      <w:r>
        <w:rPr>
          <w:szCs w:val="22"/>
        </w:rPr>
        <w:t xml:space="preserve"> entering the building.  </w:t>
      </w:r>
    </w:p>
    <w:p w:rsidR="006873BE" w:rsidRDefault="006873BE" w:rsidP="000116C7">
      <w:pPr>
        <w:widowControl/>
        <w:ind w:left="1080"/>
        <w:rPr>
          <w:szCs w:val="22"/>
        </w:rPr>
      </w:pPr>
    </w:p>
    <w:p w:rsidR="006873BE" w:rsidRDefault="006873BE" w:rsidP="000116C7">
      <w:pPr>
        <w:widowControl/>
        <w:numPr>
          <w:ilvl w:val="0"/>
          <w:numId w:val="6"/>
        </w:numPr>
        <w:rPr>
          <w:szCs w:val="22"/>
        </w:rPr>
      </w:pPr>
      <w:r>
        <w:rPr>
          <w:szCs w:val="22"/>
        </w:rPr>
        <w:t>Commercial overnight mail (other than U.S. Postal Service Express Mail and Priority Mail) must be sent to 9300 East Hampton Drive, Capitol Heights</w:t>
      </w:r>
      <w:proofErr w:type="gramStart"/>
      <w:r>
        <w:rPr>
          <w:szCs w:val="22"/>
        </w:rPr>
        <w:t xml:space="preserve">, MD </w:t>
      </w:r>
      <w:proofErr w:type="gramEnd"/>
      <w:r>
        <w:rPr>
          <w:szCs w:val="22"/>
        </w:rPr>
        <w:t xml:space="preserve"> 20743.</w:t>
      </w:r>
    </w:p>
    <w:p w:rsidR="006873BE" w:rsidRDefault="006873BE" w:rsidP="000116C7">
      <w:pPr>
        <w:widowControl/>
        <w:rPr>
          <w:szCs w:val="22"/>
        </w:rPr>
      </w:pPr>
    </w:p>
    <w:p w:rsidR="006873BE" w:rsidRDefault="006873BE" w:rsidP="000116C7">
      <w:pPr>
        <w:widowControl/>
        <w:numPr>
          <w:ilvl w:val="0"/>
          <w:numId w:val="6"/>
        </w:numPr>
        <w:rPr>
          <w:szCs w:val="22"/>
        </w:rPr>
      </w:pPr>
      <w:r>
        <w:rPr>
          <w:szCs w:val="22"/>
        </w:rPr>
        <w:t>U. S. Postal Service first-class, Express and Priority mail must be addressed to 445 12</w:t>
      </w:r>
      <w:r>
        <w:rPr>
          <w:szCs w:val="22"/>
          <w:vertAlign w:val="superscript"/>
        </w:rPr>
        <w:t>th</w:t>
      </w:r>
      <w:r>
        <w:rPr>
          <w:szCs w:val="22"/>
        </w:rPr>
        <w:t xml:space="preserve"> Street, S.W., Washington, DC 20554.</w:t>
      </w:r>
    </w:p>
    <w:p w:rsidR="006873BE" w:rsidRDefault="006873BE" w:rsidP="000116C7">
      <w:pPr>
        <w:widowControl/>
        <w:rPr>
          <w:szCs w:val="22"/>
        </w:rPr>
      </w:pPr>
    </w:p>
    <w:p w:rsidR="006873BE" w:rsidRDefault="006873BE" w:rsidP="000116C7">
      <w:pPr>
        <w:pStyle w:val="ParaNum"/>
        <w:widowControl/>
      </w:pPr>
      <w:r>
        <w:t xml:space="preserve">People with Disabilities:  To request materials in accessible formats for people with disabilities (braille, large print, electronic files, audio format), send an e-mail to </w:t>
      </w:r>
      <w:hyperlink r:id="rId8" w:history="1">
        <w:r w:rsidR="00281E9D" w:rsidRPr="00E54C89">
          <w:rPr>
            <w:rStyle w:val="Hyperlink"/>
          </w:rPr>
          <w:t>fcc504@fcc.gov</w:t>
        </w:r>
      </w:hyperlink>
      <w:r w:rsidR="00281E9D">
        <w:t xml:space="preserve"> </w:t>
      </w:r>
      <w:r>
        <w:t>or call the Consumer &amp; Governmental Affairs Bureau at 202-418-0530 (voice), 202-418-0432 (tty).</w:t>
      </w:r>
    </w:p>
    <w:p w:rsidR="006873BE" w:rsidRDefault="006873BE" w:rsidP="000116C7">
      <w:pPr>
        <w:pStyle w:val="ParaNum"/>
        <w:widowControl/>
      </w:pPr>
      <w:r>
        <w:lastRenderedPageBreak/>
        <w:t>For further information</w:t>
      </w:r>
      <w:r w:rsidR="0029017E">
        <w:t xml:space="preserve"> on this </w:t>
      </w:r>
      <w:r w:rsidR="0029017E" w:rsidRPr="009C1889">
        <w:t>Notice of Proposed Rule Making</w:t>
      </w:r>
      <w:r>
        <w:t xml:space="preserve">, contact Hugh L. Van Tuyl at (202) 418-7506, Office of Engineering and Technology; or via the Internet at </w:t>
      </w:r>
      <w:hyperlink r:id="rId9" w:history="1">
        <w:r w:rsidRPr="00641F84">
          <w:rPr>
            <w:rStyle w:val="Hyperlink"/>
          </w:rPr>
          <w:t>Hugh.VanTuyl@fcc.gov</w:t>
        </w:r>
      </w:hyperlink>
      <w:r>
        <w:t xml:space="preserve">. </w:t>
      </w:r>
    </w:p>
    <w:p w:rsidR="006873BE" w:rsidRDefault="006873BE" w:rsidP="000116C7">
      <w:pPr>
        <w:pStyle w:val="Heading2"/>
        <w:widowControl/>
      </w:pPr>
      <w:bookmarkStart w:id="642" w:name="_Toc278210755"/>
      <w:bookmarkStart w:id="643" w:name="_Toc276639675"/>
      <w:bookmarkStart w:id="644" w:name="_Toc276477880"/>
      <w:bookmarkStart w:id="645" w:name="_Toc276477496"/>
      <w:bookmarkStart w:id="646" w:name="_Toc276477420"/>
      <w:bookmarkStart w:id="647" w:name="_Toc289272093"/>
      <w:bookmarkStart w:id="648" w:name="_Toc289272146"/>
      <w:bookmarkStart w:id="649" w:name="_Toc292693344"/>
      <w:bookmarkStart w:id="650" w:name="_Toc292693412"/>
      <w:bookmarkStart w:id="651" w:name="_Toc323028045"/>
      <w:bookmarkStart w:id="652" w:name="_Toc324843311"/>
      <w:bookmarkStart w:id="653" w:name="_Toc324864725"/>
      <w:bookmarkStart w:id="654" w:name="_Toc324929592"/>
      <w:bookmarkStart w:id="655" w:name="_Toc324929716"/>
      <w:bookmarkStart w:id="656" w:name="_Toc325013642"/>
      <w:bookmarkStart w:id="657" w:name="_Toc325013972"/>
      <w:bookmarkStart w:id="658" w:name="_Toc325013985"/>
      <w:bookmarkStart w:id="659" w:name="_Toc325014072"/>
      <w:bookmarkStart w:id="660" w:name="_Toc325014180"/>
      <w:bookmarkStart w:id="661" w:name="_Toc325016829"/>
      <w:bookmarkStart w:id="662" w:name="_Toc325030459"/>
      <w:bookmarkStart w:id="663" w:name="_Toc326243812"/>
      <w:bookmarkStart w:id="664" w:name="_Toc326244009"/>
      <w:bookmarkStart w:id="665" w:name="_Toc327450778"/>
      <w:bookmarkStart w:id="666" w:name="_Toc330288226"/>
      <w:bookmarkStart w:id="667" w:name="_Toc330367196"/>
      <w:bookmarkStart w:id="668" w:name="_Toc331420784"/>
      <w:bookmarkStart w:id="669" w:name="_Toc331604664"/>
      <w:bookmarkStart w:id="670" w:name="_Toc332121640"/>
      <w:bookmarkStart w:id="671" w:name="_Toc332204317"/>
      <w:bookmarkStart w:id="672" w:name="_Toc332894819"/>
      <w:bookmarkStart w:id="673" w:name="_Toc333581632"/>
      <w:bookmarkStart w:id="674" w:name="_Toc333936424"/>
      <w:bookmarkStart w:id="675" w:name="_Toc335141634"/>
      <w:bookmarkStart w:id="676" w:name="_Toc335291377"/>
      <w:bookmarkStart w:id="677" w:name="_Toc335291430"/>
      <w:bookmarkStart w:id="678" w:name="_Toc335291490"/>
      <w:bookmarkStart w:id="679" w:name="_Toc335291560"/>
      <w:bookmarkStart w:id="680" w:name="_Toc335291698"/>
      <w:bookmarkStart w:id="681" w:name="_Toc335291750"/>
      <w:bookmarkStart w:id="682" w:name="_Toc335631628"/>
      <w:bookmarkStart w:id="683" w:name="_Toc335632670"/>
      <w:bookmarkStart w:id="684" w:name="_Toc335632742"/>
      <w:bookmarkStart w:id="685" w:name="_Toc337649180"/>
      <w:r>
        <w:t>Initial Regulatory Flexibility Analysis</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rsidR="006873BE" w:rsidRDefault="006873BE" w:rsidP="000116C7">
      <w:pPr>
        <w:pStyle w:val="ParaNum"/>
        <w:widowControl/>
      </w:pPr>
      <w:r>
        <w:t xml:space="preserve">As required by the Regulatory Flexibility Act, </w:t>
      </w:r>
      <w:r>
        <w:rPr>
          <w:i/>
        </w:rPr>
        <w:t>see</w:t>
      </w:r>
      <w:r>
        <w:t xml:space="preserve"> 5 U.S.C. § 603, the Commission has prepared an Initial Regulatory Flexibility Analysis (IFRA) of the possible significant economic impact on small entities of the policies and rules proposed in the Notice.  </w:t>
      </w:r>
      <w:r>
        <w:rPr>
          <w:color w:val="000000"/>
          <w:spacing w:val="-3"/>
        </w:rPr>
        <w:t>An Initial Regulatory Flexibility Analysis is included in Appendix B.</w:t>
      </w:r>
    </w:p>
    <w:p w:rsidR="006873BE" w:rsidRDefault="006873BE" w:rsidP="000116C7">
      <w:pPr>
        <w:pStyle w:val="Heading2"/>
        <w:widowControl/>
      </w:pPr>
      <w:bookmarkStart w:id="686" w:name="_Toc289272094"/>
      <w:bookmarkStart w:id="687" w:name="_Toc289272147"/>
      <w:bookmarkStart w:id="688" w:name="_Toc292693345"/>
      <w:bookmarkStart w:id="689" w:name="_Toc292693413"/>
      <w:bookmarkStart w:id="690" w:name="_Toc323028046"/>
      <w:bookmarkStart w:id="691" w:name="_Toc324843312"/>
      <w:bookmarkStart w:id="692" w:name="_Toc324864726"/>
      <w:bookmarkStart w:id="693" w:name="_Toc324929593"/>
      <w:bookmarkStart w:id="694" w:name="_Toc324929717"/>
      <w:bookmarkStart w:id="695" w:name="_Toc325013643"/>
      <w:bookmarkStart w:id="696" w:name="_Toc325013973"/>
      <w:bookmarkStart w:id="697" w:name="_Toc325013986"/>
      <w:bookmarkStart w:id="698" w:name="_Toc325014073"/>
      <w:bookmarkStart w:id="699" w:name="_Toc325014181"/>
      <w:bookmarkStart w:id="700" w:name="_Toc325016830"/>
      <w:bookmarkStart w:id="701" w:name="_Toc325030460"/>
      <w:bookmarkStart w:id="702" w:name="_Toc326243813"/>
      <w:bookmarkStart w:id="703" w:name="_Toc326244010"/>
      <w:bookmarkStart w:id="704" w:name="_Toc327450779"/>
      <w:bookmarkStart w:id="705" w:name="_Toc330288227"/>
      <w:bookmarkStart w:id="706" w:name="_Toc330367197"/>
      <w:bookmarkStart w:id="707" w:name="_Toc331420785"/>
      <w:bookmarkStart w:id="708" w:name="_Toc331604665"/>
      <w:bookmarkStart w:id="709" w:name="_Toc332121641"/>
      <w:bookmarkStart w:id="710" w:name="_Toc332204318"/>
      <w:bookmarkStart w:id="711" w:name="_Toc332894820"/>
      <w:bookmarkStart w:id="712" w:name="_Toc333581633"/>
      <w:bookmarkStart w:id="713" w:name="_Toc333936425"/>
      <w:bookmarkStart w:id="714" w:name="_Toc335141635"/>
      <w:bookmarkStart w:id="715" w:name="_Toc335291378"/>
      <w:bookmarkStart w:id="716" w:name="_Toc335291431"/>
      <w:bookmarkStart w:id="717" w:name="_Toc335291491"/>
      <w:bookmarkStart w:id="718" w:name="_Toc335291561"/>
      <w:bookmarkStart w:id="719" w:name="_Toc335291699"/>
      <w:bookmarkStart w:id="720" w:name="_Toc335291751"/>
      <w:bookmarkStart w:id="721" w:name="_Toc335631629"/>
      <w:bookmarkStart w:id="722" w:name="_Toc335632671"/>
      <w:bookmarkStart w:id="723" w:name="_Toc335632743"/>
      <w:bookmarkStart w:id="724" w:name="_Toc337649181"/>
      <w:r>
        <w:t>Paperwork Reduction Act</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6873BE" w:rsidRDefault="006873BE" w:rsidP="000116C7">
      <w:pPr>
        <w:pStyle w:val="ParaNum"/>
        <w:widowControl/>
      </w:pPr>
      <w:r>
        <w:t xml:space="preserve">This document contains proposed modified information collection requirements. The Commission, as part of its continuing effort to reduce paperwork burdens, invites the general public and the Office of Management and Budget (OMB) to comment on the information collection requirements contained in this document, as required by the Paperwork Reduction Act of 1995, Public Law 104-13. In addition, pursuant to the Small Business Paperwork Relief Act of 2002, Public Law 107-198, </w:t>
      </w:r>
      <w:proofErr w:type="gramStart"/>
      <w:r>
        <w:rPr>
          <w:i/>
          <w:iCs/>
        </w:rPr>
        <w:t>see</w:t>
      </w:r>
      <w:proofErr w:type="gramEnd"/>
      <w:r>
        <w:t xml:space="preserve"> 44 U.S.C. 3506(c)(4), we seek specific comment on how we might further reduce the information collection burden for small business concerns with fewer than 25 employees.</w:t>
      </w:r>
    </w:p>
    <w:p w:rsidR="00FB0A89" w:rsidRDefault="006873BE" w:rsidP="000116C7">
      <w:pPr>
        <w:pStyle w:val="Heading1"/>
        <w:widowControl/>
      </w:pPr>
      <w:r>
        <w:t xml:space="preserve"> </w:t>
      </w:r>
      <w:bookmarkStart w:id="725" w:name="_Toc289272095"/>
      <w:bookmarkStart w:id="726" w:name="_Toc289272148"/>
      <w:bookmarkStart w:id="727" w:name="_Toc292693346"/>
      <w:bookmarkStart w:id="728" w:name="_Toc292693414"/>
      <w:bookmarkStart w:id="729" w:name="_Toc323028047"/>
      <w:bookmarkStart w:id="730" w:name="_Toc324843313"/>
      <w:bookmarkStart w:id="731" w:name="_Toc324864727"/>
      <w:bookmarkStart w:id="732" w:name="_Toc324929594"/>
      <w:bookmarkStart w:id="733" w:name="_Toc324929718"/>
      <w:bookmarkStart w:id="734" w:name="_Toc325013644"/>
      <w:bookmarkStart w:id="735" w:name="_Toc325013974"/>
      <w:bookmarkStart w:id="736" w:name="_Toc325013987"/>
      <w:bookmarkStart w:id="737" w:name="_Toc325014048"/>
      <w:bookmarkStart w:id="738" w:name="_Toc325014074"/>
      <w:bookmarkStart w:id="739" w:name="_Toc325014182"/>
      <w:bookmarkStart w:id="740" w:name="_Toc325016831"/>
      <w:bookmarkStart w:id="741" w:name="_Toc325030461"/>
      <w:bookmarkStart w:id="742" w:name="_Toc326243814"/>
      <w:bookmarkStart w:id="743" w:name="_Toc326244011"/>
      <w:bookmarkStart w:id="744" w:name="_Toc327450780"/>
      <w:bookmarkStart w:id="745" w:name="_Toc330288228"/>
      <w:bookmarkStart w:id="746" w:name="_Toc330367198"/>
      <w:bookmarkStart w:id="747" w:name="_Toc331420786"/>
      <w:bookmarkStart w:id="748" w:name="_Toc331604666"/>
      <w:bookmarkStart w:id="749" w:name="_Toc332121642"/>
      <w:bookmarkStart w:id="750" w:name="_Toc332204319"/>
      <w:bookmarkStart w:id="751" w:name="_Toc332894821"/>
      <w:bookmarkStart w:id="752" w:name="_Toc333581634"/>
      <w:bookmarkStart w:id="753" w:name="_Toc333936426"/>
      <w:bookmarkStart w:id="754" w:name="_Toc335141636"/>
      <w:bookmarkStart w:id="755" w:name="_Toc335291379"/>
      <w:bookmarkStart w:id="756" w:name="_Toc335291432"/>
      <w:bookmarkStart w:id="757" w:name="_Toc335291492"/>
      <w:bookmarkStart w:id="758" w:name="_Toc335291562"/>
      <w:bookmarkStart w:id="759" w:name="_Toc335291700"/>
      <w:bookmarkStart w:id="760" w:name="_Toc335291752"/>
      <w:bookmarkStart w:id="761" w:name="_Toc335631630"/>
      <w:bookmarkStart w:id="762" w:name="_Toc335632672"/>
      <w:bookmarkStart w:id="763" w:name="_Toc335632744"/>
      <w:bookmarkStart w:id="764" w:name="_Toc337649182"/>
      <w:r w:rsidR="00FB0A89">
        <w:t>Ordering Clauses</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6873BE" w:rsidRDefault="006873BE" w:rsidP="000116C7">
      <w:pPr>
        <w:pStyle w:val="ParaNum"/>
        <w:widowControl/>
      </w:pPr>
      <w:r>
        <w:t xml:space="preserve">IT IS ORDERED that pursuant to Sections 1, 4(i), 7(a), 301, 303(f), 303(g), 303(r), 307(e) and 332 of the Communications Act of 1934, as amended, 47 U.S.C. Sections 151, 154(i), 157(a), 301, 303(f), 303(g), 303(r), 307(e), and 332, this </w:t>
      </w:r>
      <w:r w:rsidRPr="009C1889">
        <w:t>Notice of Proposed Rule Making</w:t>
      </w:r>
      <w:r>
        <w:rPr>
          <w:i/>
          <w:iCs/>
        </w:rPr>
        <w:t xml:space="preserve"> </w:t>
      </w:r>
      <w:r>
        <w:t>IS ADOPTED.</w:t>
      </w:r>
    </w:p>
    <w:p w:rsidR="006873BE" w:rsidRDefault="006873BE" w:rsidP="000116C7">
      <w:pPr>
        <w:pStyle w:val="ParaNum"/>
        <w:widowControl/>
      </w:pPr>
      <w:r>
        <w:t xml:space="preserve">IT IS FURTHER ORDERED that the Commission’s Consumer and Governmental Affairs Bureau, Reference Information Center, SHALL SEND a copy of this </w:t>
      </w:r>
      <w:r w:rsidRPr="009C1889">
        <w:t>Notice of Proposed Rule Making</w:t>
      </w:r>
      <w:r>
        <w:rPr>
          <w:i/>
        </w:rPr>
        <w:t xml:space="preserve">, </w:t>
      </w:r>
      <w:r>
        <w:t>including the Initial Regulatory Flexibility Analysis to the Chief Counsel for Advocacy of the Small Business Administration.</w:t>
      </w:r>
    </w:p>
    <w:p w:rsidR="006873BE" w:rsidRDefault="006873BE" w:rsidP="006873BE">
      <w:pPr>
        <w:pStyle w:val="ParaNum"/>
        <w:numPr>
          <w:ilvl w:val="0"/>
          <w:numId w:val="0"/>
        </w:numPr>
      </w:pPr>
    </w:p>
    <w:p w:rsidR="006873BE" w:rsidRDefault="006873BE" w:rsidP="006873BE">
      <w:r>
        <w:tab/>
      </w:r>
      <w:r>
        <w:tab/>
      </w:r>
      <w:r>
        <w:tab/>
      </w:r>
      <w:r>
        <w:tab/>
      </w:r>
      <w:r>
        <w:tab/>
        <w:t>FEDERAL COMMUNICATIONS COMMISSION</w:t>
      </w:r>
    </w:p>
    <w:p w:rsidR="006873BE" w:rsidRDefault="006873BE" w:rsidP="006873BE"/>
    <w:p w:rsidR="006873BE" w:rsidRDefault="006873BE" w:rsidP="006873BE"/>
    <w:p w:rsidR="006873BE" w:rsidRDefault="006873BE" w:rsidP="006873BE"/>
    <w:p w:rsidR="006873BE" w:rsidRDefault="006873BE" w:rsidP="006873BE">
      <w:r>
        <w:tab/>
      </w:r>
      <w:r>
        <w:tab/>
      </w:r>
      <w:r>
        <w:tab/>
      </w:r>
      <w:r>
        <w:tab/>
      </w:r>
      <w:r>
        <w:tab/>
        <w:t>Marlene H. Dortch</w:t>
      </w:r>
    </w:p>
    <w:p w:rsidR="006873BE" w:rsidRDefault="006873BE" w:rsidP="006873BE">
      <w:r>
        <w:tab/>
      </w:r>
      <w:r>
        <w:tab/>
      </w:r>
      <w:r>
        <w:tab/>
      </w:r>
      <w:r>
        <w:tab/>
      </w:r>
      <w:r>
        <w:tab/>
        <w:t>Secretary</w:t>
      </w:r>
    </w:p>
    <w:p w:rsidR="006873BE" w:rsidRDefault="006873BE" w:rsidP="006873BE">
      <w:pPr>
        <w:pStyle w:val="ParaNum"/>
        <w:numPr>
          <w:ilvl w:val="0"/>
          <w:numId w:val="0"/>
        </w:numPr>
      </w:pPr>
    </w:p>
    <w:p w:rsidR="00FB0A89" w:rsidRPr="00FB0A89" w:rsidRDefault="00FB0A89" w:rsidP="00FB0A89">
      <w:pPr>
        <w:pStyle w:val="ParaNum"/>
        <w:numPr>
          <w:ilvl w:val="0"/>
          <w:numId w:val="0"/>
        </w:numPr>
        <w:jc w:val="center"/>
        <w:rPr>
          <w:b/>
        </w:rPr>
      </w:pPr>
      <w:r>
        <w:br w:type="page"/>
      </w:r>
      <w:r w:rsidR="00200B49" w:rsidRPr="00FB0A89">
        <w:rPr>
          <w:b/>
        </w:rPr>
        <w:lastRenderedPageBreak/>
        <w:t>APPENDIX A</w:t>
      </w:r>
    </w:p>
    <w:p w:rsidR="00FB0A89" w:rsidRDefault="00FB0A89" w:rsidP="00FB0A89">
      <w:pPr>
        <w:pStyle w:val="ParaNum"/>
        <w:numPr>
          <w:ilvl w:val="0"/>
          <w:numId w:val="0"/>
        </w:numPr>
        <w:jc w:val="center"/>
        <w:rPr>
          <w:b/>
        </w:rPr>
      </w:pPr>
      <w:r w:rsidRPr="00FB0A89">
        <w:rPr>
          <w:b/>
        </w:rPr>
        <w:t>Proposed Rules</w:t>
      </w:r>
    </w:p>
    <w:p w:rsidR="007B3978" w:rsidRDefault="007B3978" w:rsidP="007B3978">
      <w:r>
        <w:t>For the reasons set forth in the preamble, the Federal Communications Commission proposes to amend Parts 0, 2, 15 and 68 of Title 47 of the Code of Federal Regulations as follows:</w:t>
      </w:r>
    </w:p>
    <w:p w:rsidR="005833A5" w:rsidRDefault="005833A5" w:rsidP="005833A5"/>
    <w:p w:rsidR="005833A5" w:rsidRPr="00281E9D" w:rsidRDefault="005833A5" w:rsidP="005833A5">
      <w:pPr>
        <w:rPr>
          <w:b/>
        </w:rPr>
      </w:pPr>
      <w:r w:rsidRPr="00281E9D">
        <w:rPr>
          <w:b/>
        </w:rPr>
        <w:t>PART 0 COMMISSION ORGANIZATION</w:t>
      </w:r>
    </w:p>
    <w:p w:rsidR="005833A5" w:rsidRDefault="005833A5" w:rsidP="005833A5"/>
    <w:p w:rsidR="005833A5" w:rsidRDefault="005833A5" w:rsidP="005833A5">
      <w:pPr>
        <w:pStyle w:val="ParaNum"/>
        <w:numPr>
          <w:ilvl w:val="0"/>
          <w:numId w:val="10"/>
        </w:numPr>
      </w:pPr>
      <w:r>
        <w:t>The authority citation for Part 0 continues to read as follows:</w:t>
      </w:r>
    </w:p>
    <w:p w:rsidR="005833A5" w:rsidRDefault="005833A5" w:rsidP="005833A5">
      <w:r w:rsidRPr="005833A5">
        <w:rPr>
          <w:b/>
        </w:rPr>
        <w:t>Authority:</w:t>
      </w:r>
      <w:r>
        <w:t xml:space="preserve">  Secs. 5, 48 Stat. 1068, as amended; 47 U.S.C. 155</w:t>
      </w:r>
    </w:p>
    <w:p w:rsidR="005833A5" w:rsidRDefault="005833A5" w:rsidP="005833A5">
      <w:pPr>
        <w:ind w:firstLine="720"/>
      </w:pPr>
    </w:p>
    <w:p w:rsidR="005833A5" w:rsidRDefault="005833A5" w:rsidP="005833A5">
      <w:pPr>
        <w:pStyle w:val="ParaNum"/>
        <w:numPr>
          <w:ilvl w:val="0"/>
          <w:numId w:val="10"/>
        </w:numPr>
      </w:pPr>
      <w:r>
        <w:t xml:space="preserve">Section 0.241 is proposed to be amended by </w:t>
      </w:r>
      <w:r w:rsidR="00566B90">
        <w:t>revising paragraphs (a)(1) and (f)</w:t>
      </w:r>
      <w:r>
        <w:t xml:space="preserve"> to read as follows:</w:t>
      </w:r>
    </w:p>
    <w:p w:rsidR="00566B90" w:rsidRPr="00A66F2B" w:rsidRDefault="00566B90" w:rsidP="00566B90">
      <w:pPr>
        <w:rPr>
          <w:b/>
        </w:rPr>
      </w:pPr>
      <w:r w:rsidRPr="00A66F2B">
        <w:rPr>
          <w:b/>
        </w:rPr>
        <w:t>§ 0.241   Authority delegated.</w:t>
      </w:r>
    </w:p>
    <w:p w:rsidR="00566B90" w:rsidRDefault="00566B90" w:rsidP="00566B90"/>
    <w:p w:rsidR="00566B90" w:rsidRDefault="00566B90" w:rsidP="00566B90">
      <w:r>
        <w:t>(a) * * *</w:t>
      </w:r>
    </w:p>
    <w:p w:rsidR="00566B90" w:rsidRDefault="00566B90" w:rsidP="00566B90"/>
    <w:p w:rsidR="00566B90" w:rsidRDefault="00566B90" w:rsidP="00566B90">
      <w:r>
        <w:t xml:space="preserve">(1) Notices of proposed rulemaking and of inquiry and final orders in rulemaking proceedings, inquiry proceedings and non-editorial orders making changes, except that: </w:t>
      </w:r>
    </w:p>
    <w:p w:rsidR="00566B90" w:rsidRDefault="00566B90" w:rsidP="00566B90"/>
    <w:p w:rsidR="00566B90" w:rsidRDefault="00566B90" w:rsidP="00566B90">
      <w:r>
        <w:t>(i) The Chief of the Office of Engineering and Technology is delegated authority, together with the Chief of the Wireless Telecommunications Bureau, to adopt certain technical standards applicable to hearing aid compatibility under §20.19 of this chapter, as specified in §20.19(k).</w:t>
      </w:r>
    </w:p>
    <w:p w:rsidR="00566B90" w:rsidRDefault="00566B90" w:rsidP="00566B90"/>
    <w:p w:rsidR="00566B90" w:rsidRPr="00A66F2B" w:rsidRDefault="00566B90" w:rsidP="00566B90">
      <w:r>
        <w:t xml:space="preserve">(ii) The Chief of the Office of Engineering and Technology is delegated authority, by notice-and-comment rulemaking if required by statute or otherwise in the public interest, to issue an order amending </w:t>
      </w:r>
      <w:r w:rsidRPr="00A66F2B">
        <w:t xml:space="preserve">Part 2, 5, 15 and 18 </w:t>
      </w:r>
      <w:r>
        <w:t xml:space="preserve">rules </w:t>
      </w:r>
      <w:r w:rsidRPr="00A66F2B">
        <w:t>that reference industry st</w:t>
      </w:r>
      <w:r>
        <w:t xml:space="preserve">andards to specify revised versions of the </w:t>
      </w:r>
      <w:r w:rsidRPr="00A66F2B">
        <w:t xml:space="preserve">standards.  </w:t>
      </w:r>
      <w:r>
        <w:t>T</w:t>
      </w:r>
      <w:r w:rsidRPr="00A66F2B">
        <w:t xml:space="preserve">his </w:t>
      </w:r>
      <w:r>
        <w:t>delegation</w:t>
      </w:r>
      <w:r w:rsidRPr="00A66F2B">
        <w:t xml:space="preserve"> </w:t>
      </w:r>
      <w:r>
        <w:t>is</w:t>
      </w:r>
      <w:r w:rsidRPr="00A66F2B">
        <w:t xml:space="preserve"> limited to modifying rules to reference revisions to standards that are already in the rules and not to incorporate a new standard into the rules</w:t>
      </w:r>
      <w:r w:rsidR="0032598A">
        <w:t>, and is limited to the approval of changes to the technical standards that do not raise major compliance issues.</w:t>
      </w:r>
    </w:p>
    <w:p w:rsidR="00566B90" w:rsidRDefault="00566B90" w:rsidP="00566B90"/>
    <w:p w:rsidR="00566B90" w:rsidRDefault="00566B90" w:rsidP="00566B90">
      <w:r>
        <w:t>* * * * *</w:t>
      </w:r>
    </w:p>
    <w:p w:rsidR="00566B90" w:rsidRDefault="00566B90" w:rsidP="00566B90"/>
    <w:p w:rsidR="00566B90" w:rsidRDefault="00566B90" w:rsidP="00566B90">
      <w:r>
        <w:t>(f) The Chief of the Office of Engineering and Technology is authorized to enter into agreements with the National Institute of Standards and Technology and other accreditation bodies to perform accreditation of test laboratories pursuant to §2.948(e) of this chapter. In addition, the Chief is authorized to make determinations regarding the continued acceptability of individual accrediting organizations and accredited laboratories.</w:t>
      </w:r>
    </w:p>
    <w:p w:rsidR="00566B90" w:rsidRDefault="00566B90" w:rsidP="00566B90"/>
    <w:p w:rsidR="00566B90" w:rsidRDefault="00566B90" w:rsidP="00566B90">
      <w:r>
        <w:t>* * * * *</w:t>
      </w:r>
    </w:p>
    <w:p w:rsidR="005833A5" w:rsidRDefault="005833A5" w:rsidP="005833A5">
      <w:pPr>
        <w:pStyle w:val="ParaNum"/>
        <w:numPr>
          <w:ilvl w:val="0"/>
          <w:numId w:val="0"/>
        </w:numPr>
        <w:spacing w:after="0"/>
        <w:jc w:val="both"/>
      </w:pPr>
    </w:p>
    <w:p w:rsidR="005833A5" w:rsidRDefault="005833A5" w:rsidP="005833A5">
      <w:pPr>
        <w:pStyle w:val="ParaNum"/>
        <w:numPr>
          <w:ilvl w:val="0"/>
          <w:numId w:val="0"/>
        </w:numPr>
        <w:spacing w:after="0"/>
        <w:jc w:val="both"/>
      </w:pPr>
    </w:p>
    <w:p w:rsidR="005833A5" w:rsidRPr="00281E9D" w:rsidRDefault="005833A5" w:rsidP="005833A5">
      <w:pPr>
        <w:outlineLvl w:val="3"/>
        <w:rPr>
          <w:b/>
          <w:bCs/>
        </w:rPr>
      </w:pPr>
      <w:r w:rsidRPr="00281E9D">
        <w:rPr>
          <w:b/>
          <w:bCs/>
        </w:rPr>
        <w:t>PART 2—FREQUENCY ALLOCATIONS AND RADIO TREATY MATTERS; GENERAL RULES AND REGULATIONS</w:t>
      </w:r>
    </w:p>
    <w:p w:rsidR="005833A5" w:rsidRPr="005833A5" w:rsidRDefault="005833A5" w:rsidP="005833A5">
      <w:pPr>
        <w:outlineLvl w:val="3"/>
        <w:rPr>
          <w:bCs/>
        </w:rPr>
      </w:pPr>
    </w:p>
    <w:p w:rsidR="005833A5" w:rsidRPr="00D46235" w:rsidRDefault="005833A5" w:rsidP="005833A5">
      <w:pPr>
        <w:pStyle w:val="ParaNum"/>
        <w:numPr>
          <w:ilvl w:val="0"/>
          <w:numId w:val="10"/>
        </w:numPr>
        <w:rPr>
          <w:spacing w:val="-2"/>
        </w:rPr>
      </w:pPr>
      <w:r w:rsidRPr="005833A5">
        <w:t>The</w:t>
      </w:r>
      <w:r w:rsidRPr="00D46235">
        <w:rPr>
          <w:spacing w:val="-2"/>
        </w:rPr>
        <w:t xml:space="preserve"> authority citation for </w:t>
      </w:r>
      <w:r>
        <w:rPr>
          <w:spacing w:val="-2"/>
        </w:rPr>
        <w:t>P</w:t>
      </w:r>
      <w:r w:rsidRPr="00D46235">
        <w:rPr>
          <w:spacing w:val="-2"/>
        </w:rPr>
        <w:t>art 2 continues to read as follows:</w:t>
      </w:r>
    </w:p>
    <w:p w:rsidR="005833A5" w:rsidRDefault="005833A5" w:rsidP="005833A5">
      <w:r w:rsidRPr="005833A5">
        <w:rPr>
          <w:b/>
        </w:rPr>
        <w:t>Authority:</w:t>
      </w:r>
      <w:r>
        <w:rPr>
          <w:b/>
        </w:rPr>
        <w:t xml:space="preserve">  </w:t>
      </w:r>
      <w:r w:rsidRPr="00D46235">
        <w:t>47 U.S.C. 154, 302a, 303, and 336, unless otherwise noted.</w:t>
      </w:r>
    </w:p>
    <w:p w:rsidR="00712D0F" w:rsidRDefault="00712D0F" w:rsidP="005833A5"/>
    <w:p w:rsidR="002B2BC2" w:rsidRDefault="002B2BC2" w:rsidP="00712D0F">
      <w:pPr>
        <w:pStyle w:val="ParaNum"/>
        <w:numPr>
          <w:ilvl w:val="0"/>
          <w:numId w:val="10"/>
        </w:numPr>
        <w:rPr>
          <w:spacing w:val="-2"/>
        </w:rPr>
      </w:pPr>
      <w:r>
        <w:rPr>
          <w:spacing w:val="-2"/>
        </w:rPr>
        <w:t>Section 2.906 is amended by revising paragraph (a) to read as follows:</w:t>
      </w:r>
    </w:p>
    <w:p w:rsidR="002B2BC2" w:rsidRPr="00FD0C9F" w:rsidRDefault="002B2BC2" w:rsidP="002B2BC2">
      <w:pPr>
        <w:pStyle w:val="Heading5"/>
        <w:numPr>
          <w:ilvl w:val="0"/>
          <w:numId w:val="0"/>
        </w:numPr>
        <w:rPr>
          <w:szCs w:val="22"/>
        </w:rPr>
      </w:pPr>
      <w:bookmarkStart w:id="765" w:name="47:1.0.1.1.3.9.214.3"/>
      <w:proofErr w:type="gramStart"/>
      <w:r w:rsidRPr="00FD0C9F">
        <w:rPr>
          <w:szCs w:val="22"/>
        </w:rPr>
        <w:lastRenderedPageBreak/>
        <w:t>§ 2.906   Declaration of Conformity.</w:t>
      </w:r>
      <w:proofErr w:type="gramEnd"/>
    </w:p>
    <w:bookmarkEnd w:id="765"/>
    <w:p w:rsidR="002B2BC2" w:rsidRDefault="002B2BC2" w:rsidP="002B2BC2">
      <w:pPr>
        <w:pStyle w:val="NormalWeb"/>
        <w:rPr>
          <w:rFonts w:ascii="Times New Roman" w:hAnsi="Times New Roman"/>
          <w:sz w:val="22"/>
          <w:szCs w:val="22"/>
        </w:rPr>
      </w:pPr>
      <w:r w:rsidRPr="002B2BC2">
        <w:rPr>
          <w:rFonts w:ascii="Times New Roman" w:hAnsi="Times New Roman"/>
          <w:sz w:val="22"/>
          <w:szCs w:val="22"/>
        </w:rPr>
        <w:t xml:space="preserve"> (a) A Declaration of Conformity is a procedure where the responsible party, as defined in §2.909, makes measurements or takes other necessary steps to ensure that the equipment complies with the appropriate technical standards. Submittal of a sample unit or representative data to the Commission demonstrating compliance is not required unless specifically requested pursuant to §2.</w:t>
      </w:r>
      <w:r>
        <w:rPr>
          <w:rFonts w:ascii="Times New Roman" w:hAnsi="Times New Roman"/>
          <w:sz w:val="22"/>
          <w:szCs w:val="22"/>
        </w:rPr>
        <w:t>945</w:t>
      </w:r>
      <w:r w:rsidRPr="002B2BC2">
        <w:rPr>
          <w:rFonts w:ascii="Times New Roman" w:hAnsi="Times New Roman"/>
          <w:sz w:val="22"/>
          <w:szCs w:val="22"/>
        </w:rPr>
        <w:t>.</w:t>
      </w:r>
    </w:p>
    <w:p w:rsidR="002B2BC2" w:rsidRPr="002B2BC2" w:rsidRDefault="002B2BC2" w:rsidP="002B2BC2">
      <w:pPr>
        <w:pStyle w:val="NormalWeb"/>
        <w:rPr>
          <w:rFonts w:ascii="Times New Roman" w:hAnsi="Times New Roman"/>
          <w:sz w:val="22"/>
          <w:szCs w:val="22"/>
        </w:rPr>
      </w:pPr>
      <w:r w:rsidRPr="002B2BC2">
        <w:rPr>
          <w:rFonts w:ascii="Times New Roman" w:hAnsi="Times New Roman"/>
          <w:sz w:val="22"/>
          <w:szCs w:val="22"/>
        </w:rPr>
        <w:t>* * * * *</w:t>
      </w:r>
    </w:p>
    <w:p w:rsidR="00712D0F" w:rsidRPr="00712D0F" w:rsidRDefault="00712D0F" w:rsidP="00712D0F">
      <w:pPr>
        <w:pStyle w:val="ParaNum"/>
        <w:numPr>
          <w:ilvl w:val="0"/>
          <w:numId w:val="10"/>
        </w:numPr>
        <w:rPr>
          <w:spacing w:val="-2"/>
        </w:rPr>
      </w:pPr>
      <w:r>
        <w:rPr>
          <w:spacing w:val="-2"/>
        </w:rPr>
        <w:t>A new Section 2.910 is added</w:t>
      </w:r>
      <w:r w:rsidRPr="00712D0F">
        <w:rPr>
          <w:spacing w:val="-2"/>
        </w:rPr>
        <w:t xml:space="preserve"> to read as follows:</w:t>
      </w:r>
    </w:p>
    <w:p w:rsidR="00712D0F" w:rsidRPr="002B2BC2" w:rsidRDefault="00712D0F" w:rsidP="00712D0F">
      <w:pPr>
        <w:pStyle w:val="Heading5"/>
        <w:numPr>
          <w:ilvl w:val="0"/>
          <w:numId w:val="0"/>
        </w:numPr>
        <w:rPr>
          <w:szCs w:val="22"/>
        </w:rPr>
      </w:pPr>
      <w:bookmarkStart w:id="766" w:name="47:1.0.1.1.3.9.216.32"/>
      <w:proofErr w:type="gramStart"/>
      <w:r w:rsidRPr="002B2BC2">
        <w:rPr>
          <w:szCs w:val="22"/>
        </w:rPr>
        <w:t>§ 2.910   Incorporation by reference.</w:t>
      </w:r>
      <w:proofErr w:type="gramEnd"/>
    </w:p>
    <w:p w:rsidR="00712D0F" w:rsidRPr="00712D0F" w:rsidRDefault="00712D0F" w:rsidP="00712D0F">
      <w:pPr>
        <w:pStyle w:val="NormalWeb"/>
        <w:rPr>
          <w:rFonts w:ascii="Times New Roman" w:hAnsi="Times New Roman"/>
          <w:sz w:val="22"/>
          <w:szCs w:val="22"/>
        </w:rPr>
      </w:pPr>
      <w:r w:rsidRPr="00712D0F">
        <w:rPr>
          <w:rFonts w:ascii="Times New Roman" w:hAnsi="Times New Roman"/>
          <w:sz w:val="22"/>
          <w:szCs w:val="22"/>
        </w:rPr>
        <w:t xml:space="preserve">(a) The materials listed in this section are incorporated by reference in this part. </w:t>
      </w:r>
      <w:proofErr w:type="gramStart"/>
      <w:r w:rsidRPr="00712D0F">
        <w:rPr>
          <w:rFonts w:ascii="Times New Roman" w:hAnsi="Times New Roman"/>
          <w:sz w:val="22"/>
          <w:szCs w:val="22"/>
        </w:rPr>
        <w:t>These incorporations by reference were approved by the Director of the Federal Register in accordance with 5 U.S.C. 552(a) and 1 CFR part 51</w:t>
      </w:r>
      <w:proofErr w:type="gramEnd"/>
      <w:r w:rsidRPr="00712D0F">
        <w:rPr>
          <w:rFonts w:ascii="Times New Roman" w:hAnsi="Times New Roman"/>
          <w:sz w:val="22"/>
          <w:szCs w:val="22"/>
        </w:rPr>
        <w:t xml:space="preserve">. These materials are incorporated as they exist on the date of the approval, and notice of any change in these materials will be published in the Federal Register. The materials are available for purchase at the corresponding addresses as noted, and all are available for inspection at the Federal Communications Commission, 445 12th St., SW., Reference Information Center, Room CY–A257, Washington, DC 20554, (202) 418–0270, and at the National Archives and Records Administration (NARA). For information on the availability of this material at NARA, call (202) 741–6030, or go to: </w:t>
      </w:r>
      <w:r w:rsidRPr="00712D0F">
        <w:rPr>
          <w:rFonts w:ascii="Times New Roman" w:hAnsi="Times New Roman"/>
          <w:i/>
          <w:iCs/>
          <w:sz w:val="22"/>
          <w:szCs w:val="22"/>
        </w:rPr>
        <w:t xml:space="preserve">http://www.archives.gov/federal_register/code_of_federal_regulations/ibr_locations.html. </w:t>
      </w:r>
    </w:p>
    <w:p w:rsidR="00712D0F" w:rsidRPr="00712D0F" w:rsidRDefault="00712D0F" w:rsidP="00712D0F">
      <w:pPr>
        <w:pStyle w:val="NormalWeb"/>
        <w:rPr>
          <w:rFonts w:ascii="Times New Roman" w:hAnsi="Times New Roman"/>
          <w:sz w:val="22"/>
          <w:szCs w:val="22"/>
        </w:rPr>
      </w:pPr>
      <w:r w:rsidRPr="00712D0F">
        <w:rPr>
          <w:rFonts w:ascii="Times New Roman" w:hAnsi="Times New Roman"/>
          <w:sz w:val="22"/>
          <w:szCs w:val="22"/>
        </w:rPr>
        <w:t xml:space="preserve">(b) The following material is available for purchase from at least one of the following addresses: Global Engineering Documents, 15 Inverness Way East, Englewood, CO 80112, (800) 854–7179, or at </w:t>
      </w:r>
      <w:r w:rsidRPr="00712D0F">
        <w:rPr>
          <w:rFonts w:ascii="Times New Roman" w:hAnsi="Times New Roman"/>
          <w:i/>
          <w:iCs/>
          <w:sz w:val="22"/>
          <w:szCs w:val="22"/>
        </w:rPr>
        <w:t xml:space="preserve">http://global.ihs.com; </w:t>
      </w:r>
      <w:r w:rsidRPr="00712D0F">
        <w:rPr>
          <w:rFonts w:ascii="Times New Roman" w:hAnsi="Times New Roman"/>
          <w:sz w:val="22"/>
          <w:szCs w:val="22"/>
        </w:rPr>
        <w:t xml:space="preserve">or American National Standards Institute, 25 West 43rd Street, 4th Floor, New York, NY 10036, (212) 642–4900, or at </w:t>
      </w:r>
      <w:r w:rsidRPr="00712D0F">
        <w:rPr>
          <w:rFonts w:ascii="Times New Roman" w:hAnsi="Times New Roman"/>
          <w:i/>
          <w:iCs/>
          <w:sz w:val="22"/>
          <w:szCs w:val="22"/>
        </w:rPr>
        <w:t>http://webstore.ansi.org/ansidocstore/default.asp.</w:t>
      </w:r>
    </w:p>
    <w:p w:rsidR="00712D0F" w:rsidRDefault="00C74FF3" w:rsidP="00712D0F">
      <w:pPr>
        <w:pStyle w:val="NormalWeb"/>
        <w:rPr>
          <w:rFonts w:ascii="Times New Roman" w:hAnsi="Times New Roman"/>
          <w:sz w:val="22"/>
          <w:szCs w:val="22"/>
        </w:rPr>
      </w:pPr>
      <w:r>
        <w:rPr>
          <w:rFonts w:ascii="Times New Roman" w:hAnsi="Times New Roman"/>
          <w:sz w:val="22"/>
          <w:szCs w:val="22"/>
        </w:rPr>
        <w:t xml:space="preserve">(1) </w:t>
      </w:r>
      <w:r w:rsidR="00712D0F" w:rsidRPr="00712D0F">
        <w:rPr>
          <w:rFonts w:ascii="Times New Roman" w:hAnsi="Times New Roman"/>
          <w:sz w:val="22"/>
          <w:szCs w:val="22"/>
        </w:rPr>
        <w:t>ANSI C63.4–2009: “Methods of Measurement of Radio-Noise Emissions from Low-Voltage Electrical and Electronic Equipment in the Range of 9 kHz to 40 GHz,” 2009, sections 5.4.4 through 5.5 IBR approved for §</w:t>
      </w:r>
      <w:r>
        <w:rPr>
          <w:rFonts w:ascii="Times New Roman" w:hAnsi="Times New Roman"/>
          <w:sz w:val="22"/>
          <w:szCs w:val="22"/>
        </w:rPr>
        <w:t xml:space="preserve"> </w:t>
      </w:r>
      <w:r w:rsidR="00712D0F" w:rsidRPr="00712D0F">
        <w:rPr>
          <w:rFonts w:ascii="Times New Roman" w:hAnsi="Times New Roman"/>
          <w:sz w:val="22"/>
          <w:szCs w:val="22"/>
        </w:rPr>
        <w:t>2.948.</w:t>
      </w:r>
    </w:p>
    <w:p w:rsidR="00C74FF3" w:rsidRDefault="00C74FF3" w:rsidP="00C74FF3">
      <w:pPr>
        <w:pStyle w:val="NormalWeb"/>
        <w:rPr>
          <w:rFonts w:ascii="Times New Roman" w:hAnsi="Times New Roman"/>
          <w:sz w:val="22"/>
          <w:szCs w:val="22"/>
        </w:rPr>
      </w:pPr>
      <w:r>
        <w:rPr>
          <w:rFonts w:ascii="Times New Roman" w:hAnsi="Times New Roman"/>
          <w:sz w:val="22"/>
          <w:szCs w:val="22"/>
        </w:rPr>
        <w:t>(2) CISPR 16-1-4:2007: “</w:t>
      </w:r>
      <w:r w:rsidRPr="00C74FF3">
        <w:rPr>
          <w:rFonts w:ascii="Times New Roman" w:hAnsi="Times New Roman"/>
          <w:sz w:val="22"/>
          <w:szCs w:val="22"/>
        </w:rPr>
        <w:t>Specification for radio disturbance and immunity</w:t>
      </w:r>
      <w:r>
        <w:rPr>
          <w:rFonts w:ascii="Times New Roman" w:hAnsi="Times New Roman"/>
          <w:sz w:val="22"/>
          <w:szCs w:val="22"/>
        </w:rPr>
        <w:t xml:space="preserve"> </w:t>
      </w:r>
      <w:r w:rsidRPr="00C74FF3">
        <w:rPr>
          <w:rFonts w:ascii="Times New Roman" w:hAnsi="Times New Roman"/>
          <w:sz w:val="22"/>
          <w:szCs w:val="22"/>
        </w:rPr>
        <w:t>measuring apparatus and methods –</w:t>
      </w:r>
      <w:r>
        <w:rPr>
          <w:rFonts w:ascii="Times New Roman" w:hAnsi="Times New Roman"/>
          <w:sz w:val="22"/>
          <w:szCs w:val="22"/>
        </w:rPr>
        <w:t xml:space="preserve"> </w:t>
      </w:r>
      <w:r w:rsidRPr="00C74FF3">
        <w:rPr>
          <w:rFonts w:ascii="Times New Roman" w:hAnsi="Times New Roman"/>
          <w:sz w:val="22"/>
          <w:szCs w:val="22"/>
        </w:rPr>
        <w:t>Part 1-4:</w:t>
      </w:r>
      <w:r w:rsidR="008208F0">
        <w:rPr>
          <w:rFonts w:ascii="Times New Roman" w:hAnsi="Times New Roman"/>
          <w:sz w:val="22"/>
          <w:szCs w:val="22"/>
        </w:rPr>
        <w:t xml:space="preserve"> </w:t>
      </w:r>
      <w:r w:rsidRPr="00C74FF3">
        <w:rPr>
          <w:rFonts w:ascii="Times New Roman" w:hAnsi="Times New Roman"/>
          <w:sz w:val="22"/>
          <w:szCs w:val="22"/>
        </w:rPr>
        <w:t>Radio disturbance and immunity measuring</w:t>
      </w:r>
      <w:r>
        <w:rPr>
          <w:rFonts w:ascii="Times New Roman" w:hAnsi="Times New Roman"/>
          <w:sz w:val="22"/>
          <w:szCs w:val="22"/>
        </w:rPr>
        <w:t xml:space="preserve"> </w:t>
      </w:r>
      <w:r w:rsidRPr="00C74FF3">
        <w:rPr>
          <w:rFonts w:ascii="Times New Roman" w:hAnsi="Times New Roman"/>
          <w:sz w:val="22"/>
          <w:szCs w:val="22"/>
        </w:rPr>
        <w:t>apparatus – Ancillary equipment –Radiated disturbances</w:t>
      </w:r>
      <w:r>
        <w:rPr>
          <w:rFonts w:ascii="Times New Roman" w:hAnsi="Times New Roman"/>
          <w:sz w:val="22"/>
          <w:szCs w:val="22"/>
        </w:rPr>
        <w:t xml:space="preserve">”, IBR approved for </w:t>
      </w:r>
      <w:r w:rsidRPr="00712D0F">
        <w:rPr>
          <w:rFonts w:ascii="Times New Roman" w:hAnsi="Times New Roman"/>
          <w:sz w:val="22"/>
          <w:szCs w:val="22"/>
        </w:rPr>
        <w:t>§</w:t>
      </w:r>
      <w:r>
        <w:rPr>
          <w:rFonts w:ascii="Times New Roman" w:hAnsi="Times New Roman"/>
          <w:sz w:val="22"/>
          <w:szCs w:val="22"/>
        </w:rPr>
        <w:t xml:space="preserve"> </w:t>
      </w:r>
      <w:r w:rsidRPr="00712D0F">
        <w:rPr>
          <w:rFonts w:ascii="Times New Roman" w:hAnsi="Times New Roman"/>
          <w:sz w:val="22"/>
          <w:szCs w:val="22"/>
        </w:rPr>
        <w:t>2.948</w:t>
      </w:r>
      <w:r>
        <w:rPr>
          <w:rFonts w:ascii="Times New Roman" w:hAnsi="Times New Roman"/>
          <w:sz w:val="22"/>
          <w:szCs w:val="22"/>
        </w:rPr>
        <w:t>.</w:t>
      </w:r>
    </w:p>
    <w:p w:rsidR="005D7C7B" w:rsidRPr="008208F0" w:rsidRDefault="005D7C7B" w:rsidP="005D7C7B">
      <w:pPr>
        <w:pStyle w:val="NormalWeb"/>
        <w:rPr>
          <w:rFonts w:ascii="Times New Roman" w:hAnsi="Times New Roman"/>
          <w:sz w:val="22"/>
          <w:szCs w:val="22"/>
        </w:rPr>
      </w:pPr>
      <w:r w:rsidRPr="008208F0">
        <w:rPr>
          <w:rFonts w:ascii="Times New Roman" w:hAnsi="Times New Roman"/>
          <w:sz w:val="22"/>
          <w:szCs w:val="22"/>
        </w:rPr>
        <w:t>(</w:t>
      </w:r>
      <w:r>
        <w:rPr>
          <w:rFonts w:ascii="Times New Roman" w:hAnsi="Times New Roman"/>
          <w:sz w:val="22"/>
          <w:szCs w:val="22"/>
        </w:rPr>
        <w:t>c</w:t>
      </w:r>
      <w:r w:rsidRPr="008208F0">
        <w:rPr>
          <w:rFonts w:ascii="Times New Roman" w:hAnsi="Times New Roman"/>
          <w:sz w:val="22"/>
          <w:szCs w:val="22"/>
        </w:rPr>
        <w:t xml:space="preserve">) The International Organization for Standardization (ISO), 1, ch. </w:t>
      </w:r>
      <w:r w:rsidRPr="00153C55">
        <w:rPr>
          <w:rFonts w:ascii="Times New Roman" w:hAnsi="Times New Roman"/>
          <w:sz w:val="22"/>
          <w:szCs w:val="22"/>
          <w:lang w:val="fr-FR"/>
        </w:rPr>
        <w:t xml:space="preserve">De la Voie-Creuse, CP 56, CH–1211, Geneva 20, Switzerland; </w:t>
      </w:r>
      <w:proofErr w:type="gramStart"/>
      <w:r w:rsidRPr="00153C55">
        <w:rPr>
          <w:rFonts w:ascii="Times New Roman" w:hAnsi="Times New Roman"/>
          <w:sz w:val="22"/>
          <w:szCs w:val="22"/>
          <w:lang w:val="fr-FR"/>
        </w:rPr>
        <w:t>www.iso.org ;</w:t>
      </w:r>
      <w:proofErr w:type="gramEnd"/>
      <w:r w:rsidRPr="00153C55">
        <w:rPr>
          <w:rFonts w:ascii="Times New Roman" w:hAnsi="Times New Roman"/>
          <w:sz w:val="22"/>
          <w:szCs w:val="22"/>
          <w:lang w:val="fr-FR"/>
        </w:rPr>
        <w:t xml:space="preserve"> Tel.: +41 22 749 01 11; Fax: +41 22 733 34 30; email: central@iso.org . </w:t>
      </w:r>
      <w:r w:rsidRPr="008208F0">
        <w:rPr>
          <w:rFonts w:ascii="Times New Roman" w:hAnsi="Times New Roman"/>
          <w:sz w:val="22"/>
          <w:szCs w:val="22"/>
        </w:rPr>
        <w:t xml:space="preserve">(ISO publications can also be purchased from the American National Standards Institute (ANSI) through its NSSN operation (www.nssn.org), at Customer Service, American National Standards Institute, 25 West 43rd Street, New York NY 10036, </w:t>
      </w:r>
      <w:proofErr w:type="gramStart"/>
      <w:r w:rsidRPr="008208F0">
        <w:rPr>
          <w:rFonts w:ascii="Times New Roman" w:hAnsi="Times New Roman"/>
          <w:sz w:val="22"/>
          <w:szCs w:val="22"/>
        </w:rPr>
        <w:t>telephone</w:t>
      </w:r>
      <w:proofErr w:type="gramEnd"/>
      <w:r w:rsidRPr="008208F0">
        <w:rPr>
          <w:rFonts w:ascii="Times New Roman" w:hAnsi="Times New Roman"/>
          <w:sz w:val="22"/>
          <w:szCs w:val="22"/>
        </w:rPr>
        <w:t xml:space="preserve"> (212) 642–4900.)</w:t>
      </w:r>
    </w:p>
    <w:p w:rsidR="005D7C7B" w:rsidRDefault="005D7C7B" w:rsidP="005D7C7B">
      <w:pPr>
        <w:pStyle w:val="NormalWeb"/>
        <w:rPr>
          <w:rFonts w:ascii="Times New Roman" w:hAnsi="Times New Roman"/>
          <w:sz w:val="22"/>
          <w:szCs w:val="22"/>
        </w:rPr>
      </w:pPr>
      <w:r w:rsidRPr="008208F0">
        <w:rPr>
          <w:rFonts w:ascii="Times New Roman" w:hAnsi="Times New Roman"/>
          <w:sz w:val="22"/>
          <w:szCs w:val="22"/>
        </w:rPr>
        <w:t>(</w:t>
      </w:r>
      <w:r>
        <w:rPr>
          <w:rFonts w:ascii="Times New Roman" w:hAnsi="Times New Roman"/>
          <w:sz w:val="22"/>
          <w:szCs w:val="22"/>
        </w:rPr>
        <w:t>1</w:t>
      </w:r>
      <w:r w:rsidRPr="008208F0">
        <w:rPr>
          <w:rFonts w:ascii="Times New Roman" w:hAnsi="Times New Roman"/>
          <w:sz w:val="22"/>
          <w:szCs w:val="22"/>
        </w:rPr>
        <w:t>) ISO</w:t>
      </w:r>
      <w:r>
        <w:rPr>
          <w:rFonts w:ascii="Times New Roman" w:hAnsi="Times New Roman"/>
          <w:sz w:val="22"/>
          <w:szCs w:val="22"/>
        </w:rPr>
        <w:t>/IEC</w:t>
      </w:r>
      <w:r w:rsidRPr="008208F0">
        <w:rPr>
          <w:rFonts w:ascii="Times New Roman" w:hAnsi="Times New Roman"/>
          <w:sz w:val="22"/>
          <w:szCs w:val="22"/>
        </w:rPr>
        <w:t xml:space="preserve"> </w:t>
      </w:r>
      <w:r>
        <w:rPr>
          <w:rFonts w:ascii="Times New Roman" w:hAnsi="Times New Roman"/>
          <w:sz w:val="22"/>
          <w:szCs w:val="22"/>
        </w:rPr>
        <w:t>17011:2004</w:t>
      </w:r>
      <w:r w:rsidRPr="008208F0">
        <w:rPr>
          <w:rFonts w:ascii="Times New Roman" w:hAnsi="Times New Roman"/>
          <w:sz w:val="22"/>
          <w:szCs w:val="22"/>
        </w:rPr>
        <w:t>, “</w:t>
      </w:r>
      <w:r w:rsidRPr="00ED5BB8">
        <w:rPr>
          <w:rFonts w:ascii="Times New Roman" w:hAnsi="Times New Roman"/>
          <w:sz w:val="22"/>
          <w:szCs w:val="22"/>
        </w:rPr>
        <w:t xml:space="preserve">Conformity assessment – </w:t>
      </w:r>
      <w:r w:rsidRPr="00ED5BB8">
        <w:rPr>
          <w:rFonts w:ascii="Times New Roman" w:hAnsi="Times New Roman"/>
          <w:iCs/>
          <w:sz w:val="22"/>
          <w:szCs w:val="22"/>
        </w:rPr>
        <w:t>General requirements for accreditation bodies accrediting conformity assessment bodies</w:t>
      </w:r>
      <w:r w:rsidRPr="008208F0">
        <w:rPr>
          <w:rFonts w:ascii="Times New Roman" w:hAnsi="Times New Roman"/>
          <w:sz w:val="22"/>
          <w:szCs w:val="22"/>
        </w:rPr>
        <w:t>,” IBR approved for §§</w:t>
      </w:r>
      <w:r w:rsidR="001831C5">
        <w:rPr>
          <w:rFonts w:ascii="Times New Roman" w:hAnsi="Times New Roman"/>
          <w:sz w:val="22"/>
          <w:szCs w:val="22"/>
        </w:rPr>
        <w:t xml:space="preserve"> </w:t>
      </w:r>
      <w:r>
        <w:rPr>
          <w:rFonts w:ascii="Times New Roman" w:hAnsi="Times New Roman"/>
          <w:sz w:val="22"/>
          <w:szCs w:val="22"/>
        </w:rPr>
        <w:t>2.948, 2.949 and 2.960</w:t>
      </w:r>
      <w:r w:rsidRPr="008208F0">
        <w:rPr>
          <w:rFonts w:ascii="Times New Roman" w:hAnsi="Times New Roman"/>
          <w:sz w:val="22"/>
          <w:szCs w:val="22"/>
        </w:rPr>
        <w:t>.</w:t>
      </w:r>
    </w:p>
    <w:p w:rsidR="005D7C7B" w:rsidRDefault="005D7C7B" w:rsidP="005D7C7B">
      <w:pPr>
        <w:pStyle w:val="NormalWeb"/>
        <w:rPr>
          <w:rFonts w:ascii="Times New Roman" w:hAnsi="Times New Roman"/>
          <w:sz w:val="22"/>
          <w:szCs w:val="22"/>
        </w:rPr>
      </w:pPr>
      <w:r>
        <w:rPr>
          <w:rFonts w:ascii="Times New Roman" w:hAnsi="Times New Roman"/>
          <w:sz w:val="22"/>
          <w:szCs w:val="22"/>
        </w:rPr>
        <w:t>(2) ISO/IEC 17025:2005, “</w:t>
      </w:r>
      <w:r w:rsidRPr="00ED5BB8">
        <w:rPr>
          <w:rFonts w:ascii="Times New Roman" w:hAnsi="Times New Roman"/>
          <w:sz w:val="22"/>
          <w:szCs w:val="22"/>
        </w:rPr>
        <w:t>General Requirements for the Competence of Calibration and Testing Laboratories</w:t>
      </w:r>
      <w:r>
        <w:rPr>
          <w:rFonts w:ascii="Times New Roman" w:hAnsi="Times New Roman"/>
          <w:sz w:val="22"/>
          <w:szCs w:val="22"/>
        </w:rPr>
        <w:t xml:space="preserve">,” IBR approved for </w:t>
      </w:r>
      <w:r w:rsidRPr="008208F0">
        <w:rPr>
          <w:rFonts w:ascii="Times New Roman" w:hAnsi="Times New Roman"/>
          <w:sz w:val="22"/>
          <w:szCs w:val="22"/>
        </w:rPr>
        <w:t>§§</w:t>
      </w:r>
      <w:r w:rsidR="001831C5">
        <w:rPr>
          <w:rFonts w:ascii="Times New Roman" w:hAnsi="Times New Roman"/>
          <w:sz w:val="22"/>
          <w:szCs w:val="22"/>
        </w:rPr>
        <w:t xml:space="preserve"> </w:t>
      </w:r>
      <w:r>
        <w:rPr>
          <w:rFonts w:ascii="Times New Roman" w:hAnsi="Times New Roman"/>
          <w:sz w:val="22"/>
          <w:szCs w:val="22"/>
        </w:rPr>
        <w:t>2.948, 2.949 and 2.962.</w:t>
      </w:r>
    </w:p>
    <w:p w:rsidR="005D7C7B" w:rsidRPr="00CB027E" w:rsidRDefault="005D7C7B" w:rsidP="005D7C7B">
      <w:pPr>
        <w:pStyle w:val="NormalWeb"/>
        <w:rPr>
          <w:rFonts w:ascii="Times New Roman" w:hAnsi="Times New Roman"/>
          <w:sz w:val="22"/>
          <w:szCs w:val="22"/>
        </w:rPr>
      </w:pPr>
      <w:r>
        <w:rPr>
          <w:rFonts w:ascii="Times New Roman" w:hAnsi="Times New Roman"/>
          <w:sz w:val="22"/>
          <w:szCs w:val="22"/>
        </w:rPr>
        <w:t>(3) ISO/IEC 17065:2012, “</w:t>
      </w:r>
      <w:r w:rsidRPr="00CB027E">
        <w:rPr>
          <w:rFonts w:ascii="Times New Roman" w:hAnsi="Times New Roman"/>
          <w:sz w:val="22"/>
          <w:szCs w:val="22"/>
        </w:rPr>
        <w:t xml:space="preserve">Conformity </w:t>
      </w:r>
      <w:r w:rsidR="001F319C">
        <w:rPr>
          <w:rFonts w:ascii="Times New Roman" w:hAnsi="Times New Roman"/>
          <w:sz w:val="22"/>
          <w:szCs w:val="22"/>
        </w:rPr>
        <w:t>a</w:t>
      </w:r>
      <w:r w:rsidRPr="00CB027E">
        <w:rPr>
          <w:rFonts w:ascii="Times New Roman" w:hAnsi="Times New Roman"/>
          <w:sz w:val="22"/>
          <w:szCs w:val="22"/>
        </w:rPr>
        <w:t>ssessment - Requirements for bodies certifying product</w:t>
      </w:r>
      <w:r w:rsidR="001F319C">
        <w:rPr>
          <w:rFonts w:ascii="Times New Roman" w:hAnsi="Times New Roman"/>
          <w:sz w:val="22"/>
          <w:szCs w:val="22"/>
        </w:rPr>
        <w:t>s</w:t>
      </w:r>
      <w:r w:rsidRPr="00CB027E">
        <w:rPr>
          <w:rFonts w:ascii="Times New Roman" w:hAnsi="Times New Roman"/>
          <w:sz w:val="22"/>
          <w:szCs w:val="22"/>
        </w:rPr>
        <w:t>, process</w:t>
      </w:r>
      <w:r w:rsidR="001F319C">
        <w:rPr>
          <w:rFonts w:ascii="Times New Roman" w:hAnsi="Times New Roman"/>
          <w:sz w:val="22"/>
          <w:szCs w:val="22"/>
        </w:rPr>
        <w:t>es</w:t>
      </w:r>
      <w:r w:rsidRPr="00CB027E">
        <w:rPr>
          <w:rFonts w:ascii="Times New Roman" w:hAnsi="Times New Roman"/>
          <w:sz w:val="22"/>
          <w:szCs w:val="22"/>
        </w:rPr>
        <w:t xml:space="preserve"> and services</w:t>
      </w:r>
      <w:r>
        <w:rPr>
          <w:rFonts w:ascii="Times New Roman" w:hAnsi="Times New Roman"/>
          <w:sz w:val="22"/>
          <w:szCs w:val="22"/>
        </w:rPr>
        <w:t xml:space="preserve">,” IBR approved for </w:t>
      </w:r>
      <w:r w:rsidRPr="008208F0">
        <w:rPr>
          <w:rFonts w:ascii="Times New Roman" w:hAnsi="Times New Roman"/>
          <w:sz w:val="22"/>
          <w:szCs w:val="22"/>
        </w:rPr>
        <w:t>§§</w:t>
      </w:r>
      <w:r w:rsidR="001831C5">
        <w:rPr>
          <w:rFonts w:ascii="Times New Roman" w:hAnsi="Times New Roman"/>
          <w:sz w:val="22"/>
          <w:szCs w:val="22"/>
        </w:rPr>
        <w:t xml:space="preserve"> </w:t>
      </w:r>
      <w:r>
        <w:rPr>
          <w:rFonts w:ascii="Times New Roman" w:hAnsi="Times New Roman"/>
          <w:sz w:val="22"/>
          <w:szCs w:val="22"/>
        </w:rPr>
        <w:t>2.960 and 2.962.</w:t>
      </w:r>
    </w:p>
    <w:p w:rsidR="00125348" w:rsidRPr="00712D0F" w:rsidRDefault="00125348" w:rsidP="00125348">
      <w:pPr>
        <w:pStyle w:val="ParaNum"/>
        <w:numPr>
          <w:ilvl w:val="0"/>
          <w:numId w:val="10"/>
        </w:numPr>
        <w:rPr>
          <w:spacing w:val="-2"/>
        </w:rPr>
      </w:pPr>
      <w:proofErr w:type="gramStart"/>
      <w:r>
        <w:rPr>
          <w:spacing w:val="-2"/>
        </w:rPr>
        <w:lastRenderedPageBreak/>
        <w:t>Section  2.911</w:t>
      </w:r>
      <w:proofErr w:type="gramEnd"/>
      <w:r>
        <w:rPr>
          <w:spacing w:val="-2"/>
        </w:rPr>
        <w:t xml:space="preserve"> is revised</w:t>
      </w:r>
      <w:r w:rsidRPr="00712D0F">
        <w:rPr>
          <w:spacing w:val="-2"/>
        </w:rPr>
        <w:t xml:space="preserve"> to read as follows:</w:t>
      </w:r>
    </w:p>
    <w:p w:rsidR="00125348" w:rsidRPr="006E3143" w:rsidRDefault="00125348" w:rsidP="00125348">
      <w:pPr>
        <w:rPr>
          <w:b/>
        </w:rPr>
      </w:pPr>
      <w:proofErr w:type="gramStart"/>
      <w:r w:rsidRPr="006E3143">
        <w:rPr>
          <w:b/>
        </w:rPr>
        <w:t xml:space="preserve">§ 2.911   </w:t>
      </w:r>
      <w:r>
        <w:rPr>
          <w:b/>
        </w:rPr>
        <w:t>A</w:t>
      </w:r>
      <w:r w:rsidRPr="006E3143">
        <w:rPr>
          <w:b/>
        </w:rPr>
        <w:t>pplication require</w:t>
      </w:r>
      <w:r>
        <w:rPr>
          <w:b/>
        </w:rPr>
        <w:t>ments</w:t>
      </w:r>
      <w:r w:rsidRPr="006E3143">
        <w:rPr>
          <w:b/>
        </w:rPr>
        <w:t>.</w:t>
      </w:r>
      <w:proofErr w:type="gramEnd"/>
    </w:p>
    <w:p w:rsidR="00125348" w:rsidRDefault="00125348" w:rsidP="00125348"/>
    <w:p w:rsidR="00125348" w:rsidRDefault="00125348" w:rsidP="00125348">
      <w:r>
        <w:t xml:space="preserve">(a) All requests for equipment authorization shall be submitted in writing to a Telecommunication Certification Body (TCB) in a manner prescribed by the TCB.  </w:t>
      </w:r>
    </w:p>
    <w:p w:rsidR="00125348" w:rsidRDefault="00125348" w:rsidP="00125348"/>
    <w:p w:rsidR="00125348" w:rsidRDefault="00125348" w:rsidP="00125348">
      <w:r>
        <w:t>(b) A TCB shall submit a</w:t>
      </w:r>
      <w:r w:rsidR="005D45A7">
        <w:t>n electronic</w:t>
      </w:r>
      <w:r>
        <w:t xml:space="preserve"> copy of each equipment authorization application to the Commission pursuant to § 2.962(f)(6) on a form prescribed by the Commission</w:t>
      </w:r>
      <w:r w:rsidR="005D45A7">
        <w:t xml:space="preserve"> at </w:t>
      </w:r>
      <w:hyperlink r:id="rId10" w:history="1">
        <w:r w:rsidR="005D45A7" w:rsidRPr="0052102B">
          <w:rPr>
            <w:rStyle w:val="Hyperlink"/>
          </w:rPr>
          <w:t>http://www.fcc.gov/eas</w:t>
        </w:r>
      </w:hyperlink>
      <w:r w:rsidR="005D45A7">
        <w:t xml:space="preserve">. </w:t>
      </w:r>
    </w:p>
    <w:p w:rsidR="00125348" w:rsidRDefault="00125348" w:rsidP="00125348"/>
    <w:p w:rsidR="00125348" w:rsidRDefault="00125348" w:rsidP="00125348">
      <w:r>
        <w:t>(</w:t>
      </w:r>
      <w:r w:rsidR="00197D57">
        <w:t>c</w:t>
      </w:r>
      <w:r>
        <w:t xml:space="preserve">) Each application that a TCB submits to the Commission shall be accompanied by all information required by this subpart and by those parts of the rules governing operation of the equipment, </w:t>
      </w:r>
      <w:r w:rsidR="005F2B69">
        <w:t xml:space="preserve">the applicant’s certifications required in paragraphs (d)(1) and (d)(2) of this section, </w:t>
      </w:r>
      <w:r>
        <w:t xml:space="preserve">and by requisite test data, diagrams, </w:t>
      </w:r>
      <w:r w:rsidR="005D45A7">
        <w:t xml:space="preserve">photographs, </w:t>
      </w:r>
      <w:r>
        <w:t>etc., as specified in this subpart and in those sections of rules under which the equipment is to be operated.</w:t>
      </w:r>
    </w:p>
    <w:p w:rsidR="00125348" w:rsidRDefault="00125348" w:rsidP="00125348"/>
    <w:p w:rsidR="00125348" w:rsidRDefault="00125348" w:rsidP="00125348">
      <w:r>
        <w:t>(</w:t>
      </w:r>
      <w:r w:rsidR="00197D57">
        <w:t>d</w:t>
      </w:r>
      <w:r>
        <w:t xml:space="preserve">) The applicant shall provide to the TCB all information that the TCB requests to process the equipment authorization request and to submit the application form prescribed by the Commission and all exhibits required with this form. </w:t>
      </w:r>
    </w:p>
    <w:p w:rsidR="00125348" w:rsidRDefault="00125348" w:rsidP="00125348"/>
    <w:p w:rsidR="00125348" w:rsidRDefault="00125348" w:rsidP="00125348">
      <w:r>
        <w:t xml:space="preserve">(1) The applicant </w:t>
      </w:r>
      <w:r w:rsidR="005C76F0">
        <w:t xml:space="preserve">shall provide a written </w:t>
      </w:r>
      <w:r w:rsidR="005F2B69">
        <w:t xml:space="preserve">and signed </w:t>
      </w:r>
      <w:r w:rsidR="005C76F0">
        <w:t>certification</w:t>
      </w:r>
      <w:r>
        <w:rPr>
          <w:rFonts w:eastAsia="TimesNewRoman"/>
        </w:rPr>
        <w:t xml:space="preserve"> </w:t>
      </w:r>
      <w:r w:rsidR="005F2B69">
        <w:rPr>
          <w:rFonts w:eastAsia="TimesNewRoman"/>
        </w:rPr>
        <w:t xml:space="preserve">to the TCB </w:t>
      </w:r>
      <w:r>
        <w:rPr>
          <w:rFonts w:eastAsia="TimesNewRoman"/>
        </w:rPr>
        <w:t xml:space="preserve">that </w:t>
      </w:r>
      <w:r w:rsidR="005C76F0">
        <w:rPr>
          <w:rFonts w:eastAsia="TimesNewRoman"/>
        </w:rPr>
        <w:t xml:space="preserve">all </w:t>
      </w:r>
      <w:r>
        <w:rPr>
          <w:rFonts w:eastAsia="TimesNewRoman"/>
        </w:rPr>
        <w:t>statements it makes in its request for equipment authorization are true and correct to the best of its knowledge and belief.</w:t>
      </w:r>
    </w:p>
    <w:p w:rsidR="00125348" w:rsidRDefault="00125348" w:rsidP="00125348"/>
    <w:p w:rsidR="00125348" w:rsidRDefault="00125348" w:rsidP="00125348">
      <w:r>
        <w:t xml:space="preserve">(2) The applicant shall provide </w:t>
      </w:r>
      <w:r w:rsidR="005F2B69">
        <w:t xml:space="preserve">a written and signed certification to </w:t>
      </w:r>
      <w:r>
        <w:t xml:space="preserve">the TCB that the applicant complies with the requirements in § 1.2002 of this chapter concerning the Anti-Drug Abuse Act of 1988.  </w:t>
      </w:r>
      <w:r w:rsidRPr="00012FA7">
        <w:t xml:space="preserve">  </w:t>
      </w:r>
    </w:p>
    <w:p w:rsidR="00125348" w:rsidRDefault="00125348" w:rsidP="00125348"/>
    <w:p w:rsidR="00125348" w:rsidRDefault="00125348" w:rsidP="00125348">
      <w:r>
        <w:t xml:space="preserve">(3) Each request for equipment authorization submitted to a TCB, including amendments thereto, and related statements of fact and authorizations required by the Commission, shall be signed by the applicant if the applicant is an individual; by one of the partners if the applicant is a partnership; by an officer, if the applicant is a corporation; or by a member who is an officer, if the applicant is an unincorporated association: Provided, however, </w:t>
      </w:r>
      <w:r w:rsidR="00197D57">
        <w:t xml:space="preserve">that </w:t>
      </w:r>
      <w:r>
        <w:t>the application may be signed by the applicant's authorized representative who shall indicate his title, such as plant manager, project engineer, etc.</w:t>
      </w:r>
    </w:p>
    <w:p w:rsidR="00125348" w:rsidRDefault="00125348" w:rsidP="00125348"/>
    <w:p w:rsidR="00125348" w:rsidRPr="00012FA7" w:rsidRDefault="00125348" w:rsidP="00125348">
      <w:r>
        <w:t>(4) Information on the Commission’s equipment authorization requirements can be obtained from the Internet at http://www.fcc.gov/eas.</w:t>
      </w:r>
    </w:p>
    <w:p w:rsidR="00125348" w:rsidRDefault="00125348" w:rsidP="00125348"/>
    <w:p w:rsidR="00125348" w:rsidRDefault="00125348" w:rsidP="00125348">
      <w:proofErr w:type="gramStart"/>
      <w:r>
        <w:t>(</w:t>
      </w:r>
      <w:r w:rsidR="00197D57">
        <w:t>e</w:t>
      </w:r>
      <w:r>
        <w:t>) Technical test data submitted to the TCB and to the Commission shall be signed by the person who performed or supervised the tests</w:t>
      </w:r>
      <w:proofErr w:type="gramEnd"/>
      <w:r>
        <w:t>. The person signing the test data shall attest to the accuracy of such data. The Commission may require such person to submit a statement showing that he is qualified to make or supervise the required measurements.</w:t>
      </w:r>
    </w:p>
    <w:p w:rsidR="00125348" w:rsidRDefault="00125348" w:rsidP="00125348"/>
    <w:p w:rsidR="00125348" w:rsidRDefault="00125348" w:rsidP="00125348">
      <w:r>
        <w:t>(</w:t>
      </w:r>
      <w:r w:rsidR="00197D57">
        <w:t>f</w:t>
      </w:r>
      <w:r>
        <w:t xml:space="preserve">) Each application submitted by a TCB to the Commission shall be accompanied by any processing fee prescribed in subpart G of part 1 of this chapter.  Unless otherwise directed, any fees required for equipment approval services pursuant to §1.1103 of this chapter must be submitted either electronically via the Internet at </w:t>
      </w:r>
      <w:hyperlink r:id="rId11" w:history="1">
        <w:r w:rsidRPr="00FC2743">
          <w:rPr>
            <w:rStyle w:val="Hyperlink"/>
          </w:rPr>
          <w:t>http://www.fcc.gov/eas</w:t>
        </w:r>
      </w:hyperlink>
      <w:r>
        <w:t xml:space="preserve"> or by following the procedures described in §0.401(b) of this chapter. The address for fees submitted by mail is: Federal Communications Commission, Equipment Approval Services, P.O. Box 979095, St. Louis, MO 63197–9000. If the applicant chooses to make use of an air courier/package delivery service, the following address must appear on the outside of the package/envelope: Federal Communications Commission, c/o Lockbox 979095, SL–MO–C2–GL, 1005 Convention Plaza, St. Louis, MO 63101.</w:t>
      </w:r>
    </w:p>
    <w:p w:rsidR="00125348" w:rsidRDefault="00125348" w:rsidP="00125348"/>
    <w:p w:rsidR="00125348" w:rsidRDefault="00125348" w:rsidP="00125348">
      <w:r>
        <w:t>(</w:t>
      </w:r>
      <w:r w:rsidR="00197D57">
        <w:t>g</w:t>
      </w:r>
      <w:r>
        <w:t>) Signed, as used in this section, means an original handwritten signature; however, the Office of Engineering and Technology may allow signature by any symbol executed or adopted by the applicant or TCB with the intent that such symbol be a signature, including symbols formed by computer-generated electronic impulses.</w:t>
      </w:r>
    </w:p>
    <w:p w:rsidR="00125348" w:rsidRDefault="00125348" w:rsidP="00125348"/>
    <w:p w:rsidR="00125348" w:rsidRDefault="00125348" w:rsidP="00125348">
      <w:pPr>
        <w:pStyle w:val="ParaNum"/>
        <w:numPr>
          <w:ilvl w:val="0"/>
          <w:numId w:val="10"/>
        </w:numPr>
        <w:rPr>
          <w:szCs w:val="22"/>
        </w:rPr>
      </w:pPr>
      <w:r w:rsidRPr="00446124">
        <w:rPr>
          <w:spacing w:val="-2"/>
        </w:rPr>
        <w:t>Section</w:t>
      </w:r>
      <w:r>
        <w:rPr>
          <w:szCs w:val="22"/>
        </w:rPr>
        <w:t xml:space="preserve"> 2.913 is removed.</w:t>
      </w:r>
    </w:p>
    <w:p w:rsidR="00125348" w:rsidRDefault="00125348" w:rsidP="00125348">
      <w:pPr>
        <w:pStyle w:val="ParaNum"/>
        <w:numPr>
          <w:ilvl w:val="0"/>
          <w:numId w:val="0"/>
        </w:numPr>
        <w:rPr>
          <w:b/>
          <w:szCs w:val="22"/>
        </w:rPr>
      </w:pPr>
      <w:r w:rsidRPr="00F85429">
        <w:rPr>
          <w:b/>
          <w:szCs w:val="22"/>
        </w:rPr>
        <w:t>§ 2.9</w:t>
      </w:r>
      <w:r>
        <w:rPr>
          <w:b/>
          <w:szCs w:val="22"/>
        </w:rPr>
        <w:t>13</w:t>
      </w:r>
    </w:p>
    <w:p w:rsidR="00125348" w:rsidRPr="00F85429" w:rsidRDefault="00125348" w:rsidP="00125348">
      <w:pPr>
        <w:pStyle w:val="ParaNum"/>
        <w:numPr>
          <w:ilvl w:val="0"/>
          <w:numId w:val="0"/>
        </w:numPr>
        <w:rPr>
          <w:b/>
          <w:szCs w:val="22"/>
        </w:rPr>
      </w:pPr>
      <w:r>
        <w:rPr>
          <w:b/>
          <w:szCs w:val="22"/>
        </w:rPr>
        <w:t>[Removed]</w:t>
      </w:r>
    </w:p>
    <w:p w:rsidR="00446124" w:rsidRDefault="00446124" w:rsidP="00446124">
      <w:pPr>
        <w:pStyle w:val="ParaNum"/>
        <w:numPr>
          <w:ilvl w:val="0"/>
          <w:numId w:val="10"/>
        </w:numPr>
        <w:rPr>
          <w:szCs w:val="22"/>
        </w:rPr>
      </w:pPr>
      <w:r w:rsidRPr="00446124">
        <w:rPr>
          <w:spacing w:val="-2"/>
        </w:rPr>
        <w:t>Section</w:t>
      </w:r>
      <w:r>
        <w:rPr>
          <w:szCs w:val="22"/>
        </w:rPr>
        <w:t xml:space="preserve"> 2.936 is removed.</w:t>
      </w:r>
    </w:p>
    <w:p w:rsidR="00F85429" w:rsidRDefault="00F85429" w:rsidP="00F85429">
      <w:pPr>
        <w:pStyle w:val="ParaNum"/>
        <w:numPr>
          <w:ilvl w:val="0"/>
          <w:numId w:val="0"/>
        </w:numPr>
        <w:rPr>
          <w:b/>
          <w:szCs w:val="22"/>
        </w:rPr>
      </w:pPr>
      <w:r w:rsidRPr="00F85429">
        <w:rPr>
          <w:b/>
          <w:szCs w:val="22"/>
        </w:rPr>
        <w:t>§ 2.9</w:t>
      </w:r>
      <w:r>
        <w:rPr>
          <w:b/>
          <w:szCs w:val="22"/>
        </w:rPr>
        <w:t>36</w:t>
      </w:r>
    </w:p>
    <w:p w:rsidR="00F85429" w:rsidRPr="00F85429" w:rsidRDefault="00F85429" w:rsidP="00F85429">
      <w:pPr>
        <w:pStyle w:val="ParaNum"/>
        <w:numPr>
          <w:ilvl w:val="0"/>
          <w:numId w:val="0"/>
        </w:numPr>
        <w:rPr>
          <w:b/>
          <w:szCs w:val="22"/>
        </w:rPr>
      </w:pPr>
      <w:r>
        <w:rPr>
          <w:b/>
          <w:szCs w:val="22"/>
        </w:rPr>
        <w:t>[Removed]</w:t>
      </w:r>
    </w:p>
    <w:p w:rsidR="00446124" w:rsidRDefault="00446124" w:rsidP="00446124">
      <w:pPr>
        <w:pStyle w:val="ParaNum"/>
        <w:numPr>
          <w:ilvl w:val="0"/>
          <w:numId w:val="10"/>
        </w:numPr>
        <w:rPr>
          <w:szCs w:val="22"/>
        </w:rPr>
      </w:pPr>
      <w:r>
        <w:rPr>
          <w:szCs w:val="22"/>
        </w:rPr>
        <w:t>Section 2.943 is removed.</w:t>
      </w:r>
    </w:p>
    <w:p w:rsidR="00F85429" w:rsidRDefault="00F85429" w:rsidP="00F85429">
      <w:pPr>
        <w:pStyle w:val="ParaNum"/>
        <w:numPr>
          <w:ilvl w:val="0"/>
          <w:numId w:val="0"/>
        </w:numPr>
        <w:rPr>
          <w:b/>
          <w:szCs w:val="22"/>
        </w:rPr>
      </w:pPr>
      <w:r w:rsidRPr="00F85429">
        <w:rPr>
          <w:b/>
          <w:szCs w:val="22"/>
        </w:rPr>
        <w:t>§ 2.9</w:t>
      </w:r>
      <w:r>
        <w:rPr>
          <w:b/>
          <w:szCs w:val="22"/>
        </w:rPr>
        <w:t>43</w:t>
      </w:r>
    </w:p>
    <w:p w:rsidR="00F85429" w:rsidRPr="00F85429" w:rsidRDefault="00F85429" w:rsidP="00F85429">
      <w:pPr>
        <w:pStyle w:val="ParaNum"/>
        <w:numPr>
          <w:ilvl w:val="0"/>
          <w:numId w:val="0"/>
        </w:numPr>
        <w:rPr>
          <w:b/>
          <w:szCs w:val="22"/>
        </w:rPr>
      </w:pPr>
      <w:r>
        <w:rPr>
          <w:b/>
          <w:szCs w:val="22"/>
        </w:rPr>
        <w:t>[Removed]</w:t>
      </w:r>
    </w:p>
    <w:p w:rsidR="00446124" w:rsidRDefault="00446124" w:rsidP="00446124">
      <w:pPr>
        <w:pStyle w:val="ParaNum"/>
        <w:numPr>
          <w:ilvl w:val="0"/>
          <w:numId w:val="10"/>
        </w:numPr>
        <w:rPr>
          <w:szCs w:val="22"/>
        </w:rPr>
      </w:pPr>
      <w:r>
        <w:rPr>
          <w:szCs w:val="22"/>
        </w:rPr>
        <w:t>Section 2.945 is revised to read as follows:</w:t>
      </w:r>
    </w:p>
    <w:p w:rsidR="00446124" w:rsidRPr="00446124" w:rsidRDefault="00446124" w:rsidP="00446124">
      <w:pPr>
        <w:pStyle w:val="Heading5"/>
        <w:numPr>
          <w:ilvl w:val="0"/>
          <w:numId w:val="0"/>
        </w:numPr>
        <w:rPr>
          <w:szCs w:val="22"/>
        </w:rPr>
      </w:pPr>
      <w:proofErr w:type="gramStart"/>
      <w:r w:rsidRPr="00446124">
        <w:rPr>
          <w:szCs w:val="22"/>
        </w:rPr>
        <w:t>§ 2.945   Submission of equipment for testing and equipment records.</w:t>
      </w:r>
      <w:proofErr w:type="gramEnd"/>
    </w:p>
    <w:p w:rsidR="00446124" w:rsidRDefault="00446124" w:rsidP="00446124">
      <w:pPr>
        <w:pStyle w:val="NormalWeb"/>
        <w:rPr>
          <w:rFonts w:ascii="Times New Roman" w:hAnsi="Times New Roman"/>
          <w:sz w:val="22"/>
          <w:szCs w:val="22"/>
        </w:rPr>
      </w:pPr>
      <w:r w:rsidRPr="00446124">
        <w:rPr>
          <w:rFonts w:ascii="Times New Roman" w:hAnsi="Times New Roman"/>
          <w:sz w:val="22"/>
          <w:szCs w:val="22"/>
        </w:rPr>
        <w:t xml:space="preserve">(a) </w:t>
      </w:r>
      <w:r w:rsidRPr="00446124">
        <w:rPr>
          <w:rFonts w:ascii="Times New Roman" w:hAnsi="Times New Roman"/>
          <w:i/>
          <w:sz w:val="22"/>
          <w:szCs w:val="22"/>
        </w:rPr>
        <w:t xml:space="preserve">Prior to equipment authorization. </w:t>
      </w:r>
      <w:r w:rsidRPr="00446124">
        <w:rPr>
          <w:rFonts w:ascii="Times New Roman" w:hAnsi="Times New Roman"/>
          <w:sz w:val="22"/>
          <w:szCs w:val="22"/>
        </w:rPr>
        <w:t>(1) The Commission or a T</w:t>
      </w:r>
      <w:r w:rsidR="001A5F99">
        <w:rPr>
          <w:rFonts w:ascii="Times New Roman" w:hAnsi="Times New Roman"/>
          <w:sz w:val="22"/>
          <w:szCs w:val="22"/>
        </w:rPr>
        <w:t xml:space="preserve">elecommunication </w:t>
      </w:r>
      <w:r w:rsidRPr="00446124">
        <w:rPr>
          <w:rFonts w:ascii="Times New Roman" w:hAnsi="Times New Roman"/>
          <w:sz w:val="22"/>
          <w:szCs w:val="22"/>
        </w:rPr>
        <w:t>C</w:t>
      </w:r>
      <w:r w:rsidR="001A5F99">
        <w:rPr>
          <w:rFonts w:ascii="Times New Roman" w:hAnsi="Times New Roman"/>
          <w:sz w:val="22"/>
          <w:szCs w:val="22"/>
        </w:rPr>
        <w:t xml:space="preserve">ertification </w:t>
      </w:r>
      <w:r w:rsidRPr="00446124">
        <w:rPr>
          <w:rFonts w:ascii="Times New Roman" w:hAnsi="Times New Roman"/>
          <w:sz w:val="22"/>
          <w:szCs w:val="22"/>
        </w:rPr>
        <w:t>B</w:t>
      </w:r>
      <w:r w:rsidR="001A5F99">
        <w:rPr>
          <w:rFonts w:ascii="Times New Roman" w:hAnsi="Times New Roman"/>
          <w:sz w:val="22"/>
          <w:szCs w:val="22"/>
        </w:rPr>
        <w:t>ody (TCB)</w:t>
      </w:r>
      <w:r w:rsidRPr="00446124">
        <w:rPr>
          <w:rFonts w:ascii="Times New Roman" w:hAnsi="Times New Roman"/>
          <w:sz w:val="22"/>
          <w:szCs w:val="22"/>
        </w:rPr>
        <w:t xml:space="preserve"> may require an applicant for certification to submit one or more sample units for measurement at the Commission's laboratory or the TCB.</w:t>
      </w:r>
    </w:p>
    <w:p w:rsidR="001A5F99" w:rsidRPr="00446124" w:rsidRDefault="001A5F99" w:rsidP="00446124">
      <w:pPr>
        <w:pStyle w:val="NormalWeb"/>
        <w:rPr>
          <w:rFonts w:ascii="Times New Roman" w:hAnsi="Times New Roman"/>
          <w:sz w:val="22"/>
          <w:szCs w:val="22"/>
        </w:rPr>
      </w:pPr>
      <w:r>
        <w:rPr>
          <w:rFonts w:ascii="Times New Roman" w:hAnsi="Times New Roman"/>
          <w:sz w:val="22"/>
          <w:szCs w:val="22"/>
        </w:rPr>
        <w:t>(2) If the applicant fails to provide a sample of the equipment, the TCB may dismiss the application without prejudice.</w:t>
      </w:r>
    </w:p>
    <w:p w:rsidR="00446124" w:rsidRDefault="00446124" w:rsidP="00446124">
      <w:pPr>
        <w:pStyle w:val="NormalWeb"/>
        <w:rPr>
          <w:rFonts w:ascii="Times New Roman" w:hAnsi="Times New Roman"/>
          <w:sz w:val="22"/>
          <w:szCs w:val="22"/>
        </w:rPr>
      </w:pPr>
      <w:r w:rsidRPr="00446124">
        <w:rPr>
          <w:rFonts w:ascii="Times New Roman" w:hAnsi="Times New Roman"/>
          <w:sz w:val="22"/>
          <w:szCs w:val="22"/>
        </w:rPr>
        <w:t>(</w:t>
      </w:r>
      <w:r w:rsidR="001A5F99">
        <w:rPr>
          <w:rFonts w:ascii="Times New Roman" w:hAnsi="Times New Roman"/>
          <w:sz w:val="22"/>
          <w:szCs w:val="22"/>
        </w:rPr>
        <w:t>3</w:t>
      </w:r>
      <w:r w:rsidRPr="00446124">
        <w:rPr>
          <w:rFonts w:ascii="Times New Roman" w:hAnsi="Times New Roman"/>
          <w:sz w:val="22"/>
          <w:szCs w:val="22"/>
        </w:rPr>
        <w:t>) In the event the applicant believes that shipment of the sample to the Commission's laboratory or the TCB is impractical because of the size or weight of the equipment, or the power requirement, or for any other reason, the applicant may submit a written explanation why such shipment is impractical and should not be required.</w:t>
      </w:r>
    </w:p>
    <w:p w:rsidR="00376AA9" w:rsidRPr="00446124" w:rsidRDefault="00376AA9" w:rsidP="00446124">
      <w:pPr>
        <w:pStyle w:val="NormalWeb"/>
        <w:rPr>
          <w:rFonts w:ascii="Times New Roman" w:hAnsi="Times New Roman"/>
          <w:sz w:val="22"/>
          <w:szCs w:val="22"/>
        </w:rPr>
      </w:pPr>
      <w:r>
        <w:rPr>
          <w:rFonts w:ascii="Times New Roman" w:hAnsi="Times New Roman"/>
          <w:sz w:val="22"/>
          <w:szCs w:val="22"/>
        </w:rPr>
        <w:t xml:space="preserve">(4) </w:t>
      </w:r>
      <w:r w:rsidRPr="00376AA9">
        <w:rPr>
          <w:rFonts w:ascii="Times New Roman" w:hAnsi="Times New Roman"/>
          <w:sz w:val="22"/>
          <w:szCs w:val="22"/>
        </w:rPr>
        <w:t>The Commission may take administrative sanctions against a grantee of certification that fails to respond within 21 days to a Commission or TCB request for an equipment sample, such as suspending action on applications for equipment authorization submitted by that party while the matter is being resolved</w:t>
      </w:r>
      <w:r w:rsidRPr="00376AA9">
        <w:rPr>
          <w:rFonts w:ascii="Times New Roman" w:hAnsi="Times New Roman"/>
          <w:b/>
          <w:sz w:val="22"/>
          <w:szCs w:val="22"/>
        </w:rPr>
        <w:t>.</w:t>
      </w:r>
      <w:r>
        <w:rPr>
          <w:rFonts w:ascii="Times New Roman" w:hAnsi="Times New Roman"/>
          <w:b/>
          <w:sz w:val="22"/>
          <w:szCs w:val="22"/>
        </w:rPr>
        <w:t xml:space="preserve"> </w:t>
      </w:r>
      <w:r w:rsidRPr="00446124">
        <w:rPr>
          <w:rFonts w:ascii="Times New Roman" w:hAnsi="Times New Roman"/>
          <w:sz w:val="22"/>
          <w:szCs w:val="22"/>
        </w:rPr>
        <w:t>The Commission may consider extensions of time upon submission of a showing of good cause</w:t>
      </w:r>
      <w:r>
        <w:rPr>
          <w:rFonts w:ascii="Times New Roman" w:hAnsi="Times New Roman"/>
          <w:sz w:val="22"/>
          <w:szCs w:val="22"/>
        </w:rPr>
        <w:t>.</w:t>
      </w:r>
    </w:p>
    <w:p w:rsidR="00891BEB" w:rsidRDefault="00446124" w:rsidP="00446124">
      <w:pPr>
        <w:pStyle w:val="NormalWeb"/>
        <w:rPr>
          <w:rFonts w:ascii="Times New Roman" w:hAnsi="Times New Roman"/>
          <w:sz w:val="22"/>
          <w:szCs w:val="22"/>
        </w:rPr>
      </w:pPr>
      <w:r w:rsidRPr="00446124">
        <w:rPr>
          <w:rFonts w:ascii="Times New Roman" w:hAnsi="Times New Roman"/>
          <w:bCs/>
          <w:sz w:val="22"/>
          <w:szCs w:val="22"/>
        </w:rPr>
        <w:t xml:space="preserve">(b) </w:t>
      </w:r>
      <w:r w:rsidRPr="00446124">
        <w:rPr>
          <w:rFonts w:ascii="Times New Roman" w:hAnsi="Times New Roman"/>
          <w:bCs/>
          <w:i/>
          <w:sz w:val="22"/>
          <w:szCs w:val="22"/>
        </w:rPr>
        <w:t>Subsequent to equipment authorization.</w:t>
      </w:r>
      <w:r w:rsidRPr="00446124">
        <w:rPr>
          <w:rFonts w:ascii="Times New Roman" w:hAnsi="Times New Roman"/>
          <w:bCs/>
          <w:sz w:val="22"/>
          <w:szCs w:val="22"/>
        </w:rPr>
        <w:t xml:space="preserve"> (1) </w:t>
      </w:r>
      <w:r w:rsidRPr="00446124">
        <w:rPr>
          <w:rFonts w:ascii="Times New Roman" w:hAnsi="Times New Roman"/>
          <w:sz w:val="22"/>
          <w:szCs w:val="22"/>
        </w:rPr>
        <w:t xml:space="preserve">The Commission may request that the responsible party </w:t>
      </w:r>
      <w:r w:rsidR="001A5F99">
        <w:rPr>
          <w:rFonts w:ascii="Times New Roman" w:hAnsi="Times New Roman"/>
          <w:sz w:val="22"/>
          <w:szCs w:val="22"/>
        </w:rPr>
        <w:t>or any other party marketing equipment</w:t>
      </w:r>
      <w:r w:rsidRPr="00446124">
        <w:rPr>
          <w:rFonts w:ascii="Times New Roman" w:hAnsi="Times New Roman"/>
          <w:sz w:val="22"/>
          <w:szCs w:val="22"/>
        </w:rPr>
        <w:t xml:space="preserve"> subject to this chapter </w:t>
      </w:r>
      <w:r w:rsidR="001A5F99">
        <w:rPr>
          <w:rFonts w:ascii="Times New Roman" w:hAnsi="Times New Roman"/>
          <w:sz w:val="22"/>
          <w:szCs w:val="22"/>
        </w:rPr>
        <w:t xml:space="preserve">submit a sample of the equipment </w:t>
      </w:r>
      <w:r w:rsidRPr="00446124">
        <w:rPr>
          <w:rFonts w:ascii="Times New Roman" w:hAnsi="Times New Roman"/>
          <w:sz w:val="22"/>
          <w:szCs w:val="22"/>
        </w:rPr>
        <w:t>to determine the extent to which production of such equipment continues to comply with the data filed by the applicant or on file with the responsible party for equipment subject to verification</w:t>
      </w:r>
      <w:r w:rsidR="00891BEB">
        <w:rPr>
          <w:rFonts w:ascii="Times New Roman" w:hAnsi="Times New Roman"/>
          <w:sz w:val="22"/>
          <w:szCs w:val="22"/>
        </w:rPr>
        <w:t xml:space="preserve"> or Declaration of Conformity.  The Commission may request that a sample be submitted to the Commission</w:t>
      </w:r>
      <w:r w:rsidR="00ED2BD2">
        <w:rPr>
          <w:rFonts w:ascii="Times New Roman" w:hAnsi="Times New Roman"/>
          <w:sz w:val="22"/>
          <w:szCs w:val="22"/>
        </w:rPr>
        <w:t>,</w:t>
      </w:r>
      <w:r w:rsidR="00891BEB">
        <w:rPr>
          <w:rFonts w:ascii="Times New Roman" w:hAnsi="Times New Roman"/>
          <w:sz w:val="22"/>
          <w:szCs w:val="22"/>
        </w:rPr>
        <w:t xml:space="preserve"> or</w:t>
      </w:r>
      <w:r w:rsidR="00ED2BD2">
        <w:rPr>
          <w:rFonts w:ascii="Times New Roman" w:hAnsi="Times New Roman"/>
          <w:sz w:val="22"/>
          <w:szCs w:val="22"/>
        </w:rPr>
        <w:t xml:space="preserve"> in the case of equipment subject to certification, to the TCB that certified the equipment</w:t>
      </w:r>
      <w:r w:rsidR="00891BEB">
        <w:rPr>
          <w:rFonts w:ascii="Times New Roman" w:hAnsi="Times New Roman"/>
          <w:sz w:val="22"/>
          <w:szCs w:val="22"/>
        </w:rPr>
        <w:t>.</w:t>
      </w:r>
    </w:p>
    <w:p w:rsidR="00891BEB" w:rsidRDefault="00891BEB" w:rsidP="00446124">
      <w:pPr>
        <w:pStyle w:val="NormalWeb"/>
        <w:rPr>
          <w:rFonts w:ascii="Times New Roman" w:hAnsi="Times New Roman"/>
          <w:sz w:val="22"/>
          <w:szCs w:val="22"/>
        </w:rPr>
      </w:pPr>
      <w:r>
        <w:rPr>
          <w:rFonts w:ascii="Times New Roman" w:hAnsi="Times New Roman"/>
          <w:sz w:val="22"/>
          <w:szCs w:val="22"/>
        </w:rPr>
        <w:t xml:space="preserve">(2) </w:t>
      </w:r>
      <w:r w:rsidR="00446124" w:rsidRPr="00446124">
        <w:rPr>
          <w:rFonts w:ascii="Times New Roman" w:hAnsi="Times New Roman"/>
          <w:sz w:val="22"/>
          <w:szCs w:val="22"/>
        </w:rPr>
        <w:t>A TCB may request samples of equipment that it has certified from</w:t>
      </w:r>
      <w:r>
        <w:rPr>
          <w:rFonts w:ascii="Times New Roman" w:hAnsi="Times New Roman"/>
          <w:sz w:val="22"/>
          <w:szCs w:val="22"/>
        </w:rPr>
        <w:t xml:space="preserve"> the grantee of certification</w:t>
      </w:r>
      <w:r w:rsidR="001A5F99">
        <w:rPr>
          <w:rFonts w:ascii="Times New Roman" w:hAnsi="Times New Roman"/>
          <w:sz w:val="22"/>
          <w:szCs w:val="22"/>
        </w:rPr>
        <w:t xml:space="preserve"> for the purpose of performing post-market surveillance as described in §</w:t>
      </w:r>
      <w:r w:rsidR="00F173B3">
        <w:rPr>
          <w:rFonts w:ascii="Times New Roman" w:hAnsi="Times New Roman"/>
          <w:sz w:val="22"/>
          <w:szCs w:val="22"/>
        </w:rPr>
        <w:t>2.</w:t>
      </w:r>
      <w:r w:rsidR="001A5F99">
        <w:rPr>
          <w:rFonts w:ascii="Times New Roman" w:hAnsi="Times New Roman"/>
          <w:sz w:val="22"/>
          <w:szCs w:val="22"/>
        </w:rPr>
        <w:t>962</w:t>
      </w:r>
      <w:r>
        <w:rPr>
          <w:rFonts w:ascii="Times New Roman" w:hAnsi="Times New Roman"/>
          <w:sz w:val="22"/>
          <w:szCs w:val="22"/>
        </w:rPr>
        <w:t>.</w:t>
      </w:r>
      <w:r w:rsidR="001A5F99">
        <w:rPr>
          <w:rFonts w:ascii="Times New Roman" w:hAnsi="Times New Roman"/>
          <w:sz w:val="22"/>
          <w:szCs w:val="22"/>
        </w:rPr>
        <w:t xml:space="preserve">  TCBs must </w:t>
      </w:r>
      <w:r w:rsidR="00F173B3">
        <w:rPr>
          <w:rFonts w:ascii="Times New Roman" w:hAnsi="Times New Roman"/>
          <w:sz w:val="22"/>
          <w:szCs w:val="22"/>
        </w:rPr>
        <w:t xml:space="preserve">document their </w:t>
      </w:r>
      <w:r w:rsidR="00F173B3">
        <w:rPr>
          <w:rFonts w:ascii="Times New Roman" w:hAnsi="Times New Roman"/>
          <w:sz w:val="22"/>
          <w:szCs w:val="22"/>
        </w:rPr>
        <w:lastRenderedPageBreak/>
        <w:t>sample requests to show the date they were sent and provide this documentation to the Commission upon request.</w:t>
      </w:r>
    </w:p>
    <w:p w:rsidR="00446124" w:rsidRDefault="00891BEB" w:rsidP="00446124">
      <w:pPr>
        <w:pStyle w:val="NormalWeb"/>
        <w:rPr>
          <w:rFonts w:ascii="Times New Roman" w:hAnsi="Times New Roman"/>
          <w:sz w:val="22"/>
          <w:szCs w:val="22"/>
        </w:rPr>
      </w:pPr>
      <w:r>
        <w:rPr>
          <w:rFonts w:ascii="Times New Roman" w:hAnsi="Times New Roman"/>
          <w:sz w:val="22"/>
          <w:szCs w:val="22"/>
        </w:rPr>
        <w:t xml:space="preserve">(3) </w:t>
      </w:r>
      <w:r w:rsidR="001A5F99">
        <w:rPr>
          <w:rFonts w:ascii="Times New Roman" w:hAnsi="Times New Roman"/>
          <w:sz w:val="22"/>
          <w:szCs w:val="22"/>
        </w:rPr>
        <w:t>The cost of shipping the equipment to</w:t>
      </w:r>
      <w:r w:rsidR="00446124" w:rsidRPr="00446124">
        <w:rPr>
          <w:rFonts w:ascii="Times New Roman" w:hAnsi="Times New Roman"/>
          <w:sz w:val="22"/>
          <w:szCs w:val="22"/>
        </w:rPr>
        <w:t xml:space="preserve"> Commission's laboratory or a TCB and </w:t>
      </w:r>
      <w:r w:rsidR="001A5F99">
        <w:rPr>
          <w:rFonts w:ascii="Times New Roman" w:hAnsi="Times New Roman"/>
          <w:sz w:val="22"/>
          <w:szCs w:val="22"/>
        </w:rPr>
        <w:t>back to the party submitting the equipment</w:t>
      </w:r>
      <w:r w:rsidR="00446124" w:rsidRPr="00446124">
        <w:rPr>
          <w:rFonts w:ascii="Times New Roman" w:hAnsi="Times New Roman"/>
          <w:sz w:val="22"/>
          <w:szCs w:val="22"/>
        </w:rPr>
        <w:t xml:space="preserve"> shall be borne by the </w:t>
      </w:r>
      <w:r w:rsidR="001A5F99">
        <w:rPr>
          <w:rFonts w:ascii="Times New Roman" w:hAnsi="Times New Roman"/>
          <w:sz w:val="22"/>
          <w:szCs w:val="22"/>
        </w:rPr>
        <w:t xml:space="preserve">party from which the Commission </w:t>
      </w:r>
      <w:r w:rsidR="00197D57">
        <w:rPr>
          <w:rFonts w:ascii="Times New Roman" w:hAnsi="Times New Roman"/>
          <w:sz w:val="22"/>
          <w:szCs w:val="22"/>
        </w:rPr>
        <w:t xml:space="preserve">or TCB </w:t>
      </w:r>
      <w:r w:rsidR="001A5F99">
        <w:rPr>
          <w:rFonts w:ascii="Times New Roman" w:hAnsi="Times New Roman"/>
          <w:sz w:val="22"/>
          <w:szCs w:val="22"/>
        </w:rPr>
        <w:t>requested the equipment</w:t>
      </w:r>
      <w:r w:rsidR="00446124" w:rsidRPr="00446124">
        <w:rPr>
          <w:rFonts w:ascii="Times New Roman" w:hAnsi="Times New Roman"/>
          <w:sz w:val="22"/>
          <w:szCs w:val="22"/>
        </w:rPr>
        <w:t>.</w:t>
      </w:r>
    </w:p>
    <w:p w:rsidR="00197D57" w:rsidRDefault="00197D57" w:rsidP="00197D57">
      <w:pPr>
        <w:pStyle w:val="NormalWeb"/>
        <w:rPr>
          <w:rFonts w:ascii="Times New Roman" w:hAnsi="Times New Roman"/>
          <w:sz w:val="22"/>
          <w:szCs w:val="22"/>
        </w:rPr>
      </w:pPr>
      <w:r w:rsidRPr="00446124">
        <w:rPr>
          <w:rFonts w:ascii="Times New Roman" w:hAnsi="Times New Roman"/>
          <w:sz w:val="22"/>
          <w:szCs w:val="22"/>
        </w:rPr>
        <w:t>(</w:t>
      </w:r>
      <w:r>
        <w:rPr>
          <w:rFonts w:ascii="Times New Roman" w:hAnsi="Times New Roman"/>
          <w:sz w:val="22"/>
          <w:szCs w:val="22"/>
        </w:rPr>
        <w:t>4</w:t>
      </w:r>
      <w:r w:rsidRPr="00446124">
        <w:rPr>
          <w:rFonts w:ascii="Times New Roman" w:hAnsi="Times New Roman"/>
          <w:sz w:val="22"/>
          <w:szCs w:val="22"/>
        </w:rPr>
        <w:t xml:space="preserve">) In the event </w:t>
      </w:r>
      <w:r>
        <w:rPr>
          <w:rFonts w:ascii="Times New Roman" w:hAnsi="Times New Roman"/>
          <w:sz w:val="22"/>
          <w:szCs w:val="22"/>
        </w:rPr>
        <w:t>a party</w:t>
      </w:r>
      <w:r w:rsidRPr="00446124">
        <w:rPr>
          <w:rFonts w:ascii="Times New Roman" w:hAnsi="Times New Roman"/>
          <w:sz w:val="22"/>
          <w:szCs w:val="22"/>
        </w:rPr>
        <w:t xml:space="preserve"> believes that shipment of the sample to the Commission's laboratory or </w:t>
      </w:r>
      <w:r>
        <w:rPr>
          <w:rFonts w:ascii="Times New Roman" w:hAnsi="Times New Roman"/>
          <w:sz w:val="22"/>
          <w:szCs w:val="22"/>
        </w:rPr>
        <w:t>the</w:t>
      </w:r>
      <w:r w:rsidRPr="00446124">
        <w:rPr>
          <w:rFonts w:ascii="Times New Roman" w:hAnsi="Times New Roman"/>
          <w:sz w:val="22"/>
          <w:szCs w:val="22"/>
        </w:rPr>
        <w:t xml:space="preserve"> TCB is impractical because of the size or weight of the equipment, or the power requirement, or for any other reason, </w:t>
      </w:r>
      <w:r>
        <w:rPr>
          <w:rFonts w:ascii="Times New Roman" w:hAnsi="Times New Roman"/>
          <w:sz w:val="22"/>
          <w:szCs w:val="22"/>
        </w:rPr>
        <w:t>that party</w:t>
      </w:r>
      <w:r w:rsidRPr="00446124">
        <w:rPr>
          <w:rFonts w:ascii="Times New Roman" w:hAnsi="Times New Roman"/>
          <w:sz w:val="22"/>
          <w:szCs w:val="22"/>
        </w:rPr>
        <w:t xml:space="preserve"> may submit a written explanation why such shipment is impractical and should not be required.</w:t>
      </w:r>
    </w:p>
    <w:p w:rsidR="00376AA9" w:rsidRPr="00376AA9" w:rsidRDefault="00376AA9" w:rsidP="00446124">
      <w:pPr>
        <w:pStyle w:val="NormalWeb"/>
        <w:rPr>
          <w:rFonts w:ascii="Times New Roman" w:hAnsi="Times New Roman"/>
          <w:sz w:val="22"/>
          <w:szCs w:val="22"/>
        </w:rPr>
      </w:pPr>
      <w:r>
        <w:rPr>
          <w:rFonts w:ascii="Times New Roman" w:hAnsi="Times New Roman"/>
          <w:sz w:val="22"/>
          <w:szCs w:val="22"/>
        </w:rPr>
        <w:t>(</w:t>
      </w:r>
      <w:r w:rsidR="00197D57">
        <w:rPr>
          <w:rFonts w:ascii="Times New Roman" w:hAnsi="Times New Roman"/>
          <w:sz w:val="22"/>
          <w:szCs w:val="22"/>
        </w:rPr>
        <w:t>5</w:t>
      </w:r>
      <w:r>
        <w:rPr>
          <w:rFonts w:ascii="Times New Roman" w:hAnsi="Times New Roman"/>
          <w:sz w:val="22"/>
          <w:szCs w:val="22"/>
        </w:rPr>
        <w:t xml:space="preserve">) </w:t>
      </w:r>
      <w:r w:rsidRPr="00376AA9">
        <w:rPr>
          <w:rFonts w:ascii="Times New Roman" w:hAnsi="Times New Roman"/>
          <w:sz w:val="22"/>
          <w:szCs w:val="22"/>
        </w:rPr>
        <w:t xml:space="preserve">Failure of a responsible party or other party marketing equipment subject to this chapter to comply with a request </w:t>
      </w:r>
      <w:r>
        <w:rPr>
          <w:rFonts w:ascii="Times New Roman" w:hAnsi="Times New Roman"/>
          <w:sz w:val="22"/>
          <w:szCs w:val="22"/>
        </w:rPr>
        <w:t xml:space="preserve">from the Commission or TCB </w:t>
      </w:r>
      <w:r w:rsidRPr="00376AA9">
        <w:rPr>
          <w:rFonts w:ascii="Times New Roman" w:hAnsi="Times New Roman"/>
          <w:sz w:val="22"/>
          <w:szCs w:val="22"/>
        </w:rPr>
        <w:t xml:space="preserve">for equipment samples within 21 days may be cause for </w:t>
      </w:r>
      <w:r w:rsidR="00EA6183">
        <w:rPr>
          <w:rFonts w:ascii="Times New Roman" w:hAnsi="Times New Roman"/>
          <w:sz w:val="22"/>
          <w:szCs w:val="22"/>
        </w:rPr>
        <w:t xml:space="preserve">actions such as </w:t>
      </w:r>
      <w:r w:rsidR="00C76EA3" w:rsidRPr="00376AA9">
        <w:rPr>
          <w:rFonts w:ascii="Times New Roman" w:hAnsi="Times New Roman"/>
          <w:sz w:val="22"/>
          <w:szCs w:val="22"/>
        </w:rPr>
        <w:t xml:space="preserve">such as suspending action on applications for equipment authorization submitted by </w:t>
      </w:r>
      <w:r w:rsidR="00C76EA3">
        <w:rPr>
          <w:rFonts w:ascii="Times New Roman" w:hAnsi="Times New Roman"/>
          <w:sz w:val="22"/>
          <w:szCs w:val="22"/>
        </w:rPr>
        <w:t>a grantee</w:t>
      </w:r>
      <w:r w:rsidR="00C76EA3" w:rsidRPr="00376AA9">
        <w:rPr>
          <w:rFonts w:ascii="Times New Roman" w:hAnsi="Times New Roman"/>
          <w:sz w:val="22"/>
          <w:szCs w:val="22"/>
        </w:rPr>
        <w:t xml:space="preserve"> </w:t>
      </w:r>
      <w:r w:rsidR="00C76EA3">
        <w:rPr>
          <w:rFonts w:ascii="Times New Roman" w:hAnsi="Times New Roman"/>
          <w:sz w:val="22"/>
          <w:szCs w:val="22"/>
        </w:rPr>
        <w:t xml:space="preserve">or </w:t>
      </w:r>
      <w:r w:rsidRPr="00376AA9">
        <w:rPr>
          <w:rFonts w:ascii="Times New Roman" w:hAnsi="Times New Roman"/>
          <w:sz w:val="22"/>
          <w:szCs w:val="22"/>
        </w:rPr>
        <w:t>forfeiture</w:t>
      </w:r>
      <w:r w:rsidR="00EA6183">
        <w:rPr>
          <w:rFonts w:ascii="Times New Roman" w:hAnsi="Times New Roman"/>
          <w:sz w:val="22"/>
          <w:szCs w:val="22"/>
        </w:rPr>
        <w:t>s</w:t>
      </w:r>
      <w:r w:rsidRPr="00376AA9">
        <w:rPr>
          <w:rFonts w:ascii="Times New Roman" w:hAnsi="Times New Roman"/>
          <w:sz w:val="22"/>
          <w:szCs w:val="22"/>
        </w:rPr>
        <w:t xml:space="preserve"> pursuant to §1.80 of this chapter.</w:t>
      </w:r>
      <w:r w:rsidR="00C76EA3">
        <w:rPr>
          <w:rFonts w:ascii="Times New Roman" w:hAnsi="Times New Roman"/>
          <w:sz w:val="22"/>
          <w:szCs w:val="22"/>
        </w:rPr>
        <w:t xml:space="preserve"> </w:t>
      </w:r>
      <w:r>
        <w:rPr>
          <w:rFonts w:ascii="Times New Roman" w:hAnsi="Times New Roman"/>
          <w:sz w:val="22"/>
          <w:szCs w:val="22"/>
        </w:rPr>
        <w:t xml:space="preserve"> </w:t>
      </w:r>
      <w:r w:rsidRPr="00446124">
        <w:rPr>
          <w:rFonts w:ascii="Times New Roman" w:hAnsi="Times New Roman"/>
          <w:sz w:val="22"/>
          <w:szCs w:val="22"/>
        </w:rPr>
        <w:t>The Commission may consider extensions of time upon submission of a showing of good cause</w:t>
      </w:r>
      <w:r>
        <w:rPr>
          <w:rFonts w:ascii="Times New Roman" w:hAnsi="Times New Roman"/>
          <w:sz w:val="22"/>
          <w:szCs w:val="22"/>
        </w:rPr>
        <w:t>.</w:t>
      </w:r>
    </w:p>
    <w:p w:rsidR="00446124" w:rsidRDefault="00446124" w:rsidP="00446124">
      <w:pPr>
        <w:pStyle w:val="NormalWeb"/>
        <w:rPr>
          <w:rFonts w:ascii="Times New Roman" w:hAnsi="Times New Roman"/>
          <w:sz w:val="22"/>
          <w:szCs w:val="22"/>
        </w:rPr>
      </w:pPr>
      <w:r w:rsidRPr="00446124">
        <w:rPr>
          <w:rFonts w:ascii="Times New Roman" w:hAnsi="Times New Roman"/>
          <w:sz w:val="22"/>
          <w:szCs w:val="22"/>
        </w:rPr>
        <w:t xml:space="preserve">(c) </w:t>
      </w:r>
      <w:r w:rsidRPr="00446124">
        <w:rPr>
          <w:rFonts w:ascii="Times New Roman" w:hAnsi="Times New Roman"/>
          <w:i/>
          <w:sz w:val="22"/>
          <w:szCs w:val="22"/>
        </w:rPr>
        <w:t>Submission of records.</w:t>
      </w:r>
      <w:r w:rsidRPr="00446124">
        <w:rPr>
          <w:rFonts w:ascii="Times New Roman" w:hAnsi="Times New Roman"/>
          <w:sz w:val="22"/>
          <w:szCs w:val="22"/>
        </w:rPr>
        <w:t xml:space="preserve"> Upon request</w:t>
      </w:r>
      <w:r w:rsidR="00E1553C">
        <w:rPr>
          <w:rFonts w:ascii="Times New Roman" w:hAnsi="Times New Roman"/>
          <w:sz w:val="22"/>
          <w:szCs w:val="22"/>
        </w:rPr>
        <w:t xml:space="preserve"> by the Commission</w:t>
      </w:r>
      <w:r w:rsidRPr="00446124">
        <w:rPr>
          <w:rFonts w:ascii="Times New Roman" w:hAnsi="Times New Roman"/>
          <w:sz w:val="22"/>
          <w:szCs w:val="22"/>
        </w:rPr>
        <w:t xml:space="preserve">, each responsible party shall </w:t>
      </w:r>
      <w:r w:rsidR="00E1553C">
        <w:rPr>
          <w:rFonts w:ascii="Times New Roman" w:hAnsi="Times New Roman"/>
          <w:sz w:val="22"/>
          <w:szCs w:val="22"/>
        </w:rPr>
        <w:t>submit copies of</w:t>
      </w:r>
      <w:r w:rsidRPr="00446124">
        <w:rPr>
          <w:rFonts w:ascii="Times New Roman" w:hAnsi="Times New Roman"/>
          <w:sz w:val="22"/>
          <w:szCs w:val="22"/>
        </w:rPr>
        <w:t xml:space="preserve"> the </w:t>
      </w:r>
      <w:r w:rsidR="00E1553C" w:rsidRPr="00446124">
        <w:rPr>
          <w:rFonts w:ascii="Times New Roman" w:hAnsi="Times New Roman"/>
          <w:sz w:val="22"/>
          <w:szCs w:val="22"/>
        </w:rPr>
        <w:t>records required by §§2.938, 2.955, and 2.1075</w:t>
      </w:r>
      <w:r w:rsidR="00F173B3">
        <w:rPr>
          <w:rFonts w:ascii="Times New Roman" w:hAnsi="Times New Roman"/>
          <w:sz w:val="22"/>
          <w:szCs w:val="22"/>
        </w:rPr>
        <w:t xml:space="preserve"> to the Commission</w:t>
      </w:r>
      <w:r w:rsidR="00E1553C">
        <w:rPr>
          <w:rFonts w:ascii="Times New Roman" w:hAnsi="Times New Roman"/>
          <w:sz w:val="22"/>
          <w:szCs w:val="22"/>
        </w:rPr>
        <w:t>.</w:t>
      </w:r>
      <w:r w:rsidR="00376AA9">
        <w:rPr>
          <w:rFonts w:ascii="Times New Roman" w:hAnsi="Times New Roman"/>
          <w:sz w:val="22"/>
          <w:szCs w:val="22"/>
        </w:rPr>
        <w:t xml:space="preserve"> </w:t>
      </w:r>
      <w:r w:rsidR="00376AA9" w:rsidRPr="00376AA9">
        <w:rPr>
          <w:rFonts w:ascii="Times New Roman" w:hAnsi="Times New Roman"/>
          <w:sz w:val="22"/>
          <w:szCs w:val="22"/>
        </w:rPr>
        <w:t xml:space="preserve">Failure of a responsible party or other party marketing equipment subject to this chapter to comply with a request </w:t>
      </w:r>
      <w:r w:rsidR="00376AA9">
        <w:rPr>
          <w:rFonts w:ascii="Times New Roman" w:hAnsi="Times New Roman"/>
          <w:sz w:val="22"/>
          <w:szCs w:val="22"/>
        </w:rPr>
        <w:t xml:space="preserve">from the Commission </w:t>
      </w:r>
      <w:r w:rsidR="00376AA9" w:rsidRPr="00376AA9">
        <w:rPr>
          <w:rFonts w:ascii="Times New Roman" w:hAnsi="Times New Roman"/>
          <w:sz w:val="22"/>
          <w:szCs w:val="22"/>
        </w:rPr>
        <w:t xml:space="preserve">for </w:t>
      </w:r>
      <w:r w:rsidR="00376AA9">
        <w:rPr>
          <w:rFonts w:ascii="Times New Roman" w:hAnsi="Times New Roman"/>
          <w:sz w:val="22"/>
          <w:szCs w:val="22"/>
        </w:rPr>
        <w:t>records</w:t>
      </w:r>
      <w:r w:rsidR="00376AA9" w:rsidRPr="00376AA9">
        <w:rPr>
          <w:rFonts w:ascii="Times New Roman" w:hAnsi="Times New Roman"/>
          <w:sz w:val="22"/>
          <w:szCs w:val="22"/>
        </w:rPr>
        <w:t xml:space="preserve"> within 21 days may be cause for forfeiture, pursuant to §1.80 of this chapter.</w:t>
      </w:r>
      <w:r w:rsidR="00376AA9">
        <w:rPr>
          <w:rFonts w:ascii="Times New Roman" w:hAnsi="Times New Roman"/>
          <w:sz w:val="22"/>
          <w:szCs w:val="22"/>
        </w:rPr>
        <w:t xml:space="preserve"> </w:t>
      </w:r>
      <w:r w:rsidR="00376AA9" w:rsidRPr="00446124">
        <w:rPr>
          <w:rFonts w:ascii="Times New Roman" w:hAnsi="Times New Roman"/>
          <w:sz w:val="22"/>
          <w:szCs w:val="22"/>
        </w:rPr>
        <w:t>The Commission may consider extensions of time upon submission of a showing of good cause</w:t>
      </w:r>
      <w:r w:rsidR="00376AA9">
        <w:rPr>
          <w:rFonts w:ascii="Times New Roman" w:hAnsi="Times New Roman"/>
          <w:sz w:val="22"/>
          <w:szCs w:val="22"/>
        </w:rPr>
        <w:t>.</w:t>
      </w:r>
    </w:p>
    <w:p w:rsidR="00775E24" w:rsidRPr="007966D4" w:rsidRDefault="00775E24" w:rsidP="00446124">
      <w:pPr>
        <w:pStyle w:val="NormalWeb"/>
        <w:rPr>
          <w:rFonts w:ascii="Times New Roman" w:hAnsi="Times New Roman"/>
          <w:sz w:val="22"/>
          <w:szCs w:val="22"/>
        </w:rPr>
      </w:pPr>
      <w:r w:rsidRPr="007966D4">
        <w:rPr>
          <w:rFonts w:ascii="Times New Roman" w:hAnsi="Times New Roman"/>
          <w:sz w:val="22"/>
          <w:szCs w:val="22"/>
        </w:rPr>
        <w:t>(d)</w:t>
      </w:r>
      <w:r w:rsidRPr="007966D4">
        <w:rPr>
          <w:rFonts w:ascii="Times New Roman" w:hAnsi="Times New Roman"/>
          <w:i/>
          <w:sz w:val="22"/>
          <w:szCs w:val="22"/>
        </w:rPr>
        <w:t xml:space="preserve"> Inspection by the Commission.</w:t>
      </w:r>
      <w:r w:rsidRPr="007966D4">
        <w:rPr>
          <w:rFonts w:ascii="Times New Roman" w:hAnsi="Times New Roman"/>
          <w:sz w:val="22"/>
          <w:szCs w:val="22"/>
        </w:rPr>
        <w:t xml:space="preserve"> Upon </w:t>
      </w:r>
      <w:r w:rsidR="007966D4" w:rsidRPr="007966D4">
        <w:rPr>
          <w:rFonts w:ascii="Times New Roman" w:hAnsi="Times New Roman"/>
          <w:sz w:val="22"/>
          <w:szCs w:val="22"/>
        </w:rPr>
        <w:t xml:space="preserve">request </w:t>
      </w:r>
      <w:r w:rsidR="001A5F99" w:rsidRPr="007966D4">
        <w:rPr>
          <w:rFonts w:ascii="Times New Roman" w:hAnsi="Times New Roman"/>
          <w:sz w:val="22"/>
          <w:szCs w:val="22"/>
        </w:rPr>
        <w:t xml:space="preserve">by </w:t>
      </w:r>
      <w:r w:rsidRPr="007966D4">
        <w:rPr>
          <w:rFonts w:ascii="Times New Roman" w:hAnsi="Times New Roman"/>
          <w:sz w:val="22"/>
          <w:szCs w:val="22"/>
        </w:rPr>
        <w:t xml:space="preserve">the Commission, each responsible party shall make </w:t>
      </w:r>
      <w:r w:rsidR="007966D4">
        <w:rPr>
          <w:rFonts w:ascii="Times New Roman" w:hAnsi="Times New Roman"/>
          <w:sz w:val="22"/>
          <w:szCs w:val="22"/>
        </w:rPr>
        <w:t>its</w:t>
      </w:r>
      <w:r w:rsidRPr="007966D4">
        <w:rPr>
          <w:rFonts w:ascii="Times New Roman" w:hAnsi="Times New Roman"/>
          <w:sz w:val="22"/>
          <w:szCs w:val="22"/>
        </w:rPr>
        <w:t xml:space="preserve"> manufacturing plant and facilities available for inspection.</w:t>
      </w:r>
    </w:p>
    <w:p w:rsidR="00446124" w:rsidRPr="00376AA9" w:rsidRDefault="00446124" w:rsidP="00376AA9">
      <w:pPr>
        <w:pStyle w:val="NormalWeb"/>
        <w:rPr>
          <w:rFonts w:ascii="Times New Roman" w:hAnsi="Times New Roman"/>
          <w:sz w:val="22"/>
          <w:szCs w:val="22"/>
        </w:rPr>
      </w:pPr>
      <w:r w:rsidRPr="00376AA9">
        <w:rPr>
          <w:rFonts w:ascii="Times New Roman" w:hAnsi="Times New Roman"/>
          <w:sz w:val="22"/>
          <w:szCs w:val="22"/>
        </w:rPr>
        <w:t>Section 2.946 is removed.</w:t>
      </w:r>
    </w:p>
    <w:p w:rsidR="00F85429" w:rsidRDefault="00F85429" w:rsidP="00F85429">
      <w:pPr>
        <w:pStyle w:val="ParaNum"/>
        <w:numPr>
          <w:ilvl w:val="0"/>
          <w:numId w:val="0"/>
        </w:numPr>
        <w:rPr>
          <w:b/>
          <w:szCs w:val="22"/>
        </w:rPr>
      </w:pPr>
      <w:r w:rsidRPr="00F85429">
        <w:rPr>
          <w:b/>
          <w:szCs w:val="22"/>
        </w:rPr>
        <w:t>§ 2.9</w:t>
      </w:r>
      <w:r>
        <w:rPr>
          <w:b/>
          <w:szCs w:val="22"/>
        </w:rPr>
        <w:t>46</w:t>
      </w:r>
    </w:p>
    <w:p w:rsidR="00F85429" w:rsidRPr="00F85429" w:rsidRDefault="00F85429" w:rsidP="00F85429">
      <w:pPr>
        <w:pStyle w:val="ParaNum"/>
        <w:numPr>
          <w:ilvl w:val="0"/>
          <w:numId w:val="0"/>
        </w:numPr>
        <w:rPr>
          <w:b/>
          <w:szCs w:val="22"/>
        </w:rPr>
      </w:pPr>
      <w:r>
        <w:rPr>
          <w:b/>
          <w:szCs w:val="22"/>
        </w:rPr>
        <w:t>[Removed]</w:t>
      </w:r>
    </w:p>
    <w:p w:rsidR="00712D0F" w:rsidRPr="00712D0F" w:rsidRDefault="00712D0F" w:rsidP="00712D0F">
      <w:pPr>
        <w:pStyle w:val="ParaNum"/>
        <w:numPr>
          <w:ilvl w:val="0"/>
          <w:numId w:val="10"/>
        </w:numPr>
        <w:rPr>
          <w:spacing w:val="-2"/>
        </w:rPr>
      </w:pPr>
      <w:r w:rsidRPr="00712D0F">
        <w:rPr>
          <w:spacing w:val="-2"/>
        </w:rPr>
        <w:t>Section 2.948 is revised to read as follows:</w:t>
      </w:r>
    </w:p>
    <w:p w:rsidR="009D2EAA" w:rsidRPr="00712D0F" w:rsidRDefault="009D2EAA" w:rsidP="009D2EAA">
      <w:pPr>
        <w:pStyle w:val="Heading5"/>
        <w:numPr>
          <w:ilvl w:val="0"/>
          <w:numId w:val="0"/>
        </w:numPr>
        <w:rPr>
          <w:szCs w:val="22"/>
        </w:rPr>
      </w:pPr>
      <w:proofErr w:type="gramStart"/>
      <w:r w:rsidRPr="00712D0F">
        <w:rPr>
          <w:szCs w:val="22"/>
        </w:rPr>
        <w:t>§ 2.948   Measurement facilities.</w:t>
      </w:r>
      <w:proofErr w:type="gramEnd"/>
    </w:p>
    <w:p w:rsidR="009D2EAA" w:rsidRDefault="009D2EAA" w:rsidP="009D2EAA">
      <w:pPr>
        <w:pStyle w:val="NormalWeb"/>
        <w:rPr>
          <w:rFonts w:ascii="Times New Roman" w:hAnsi="Times New Roman"/>
          <w:sz w:val="22"/>
          <w:szCs w:val="22"/>
        </w:rPr>
      </w:pPr>
      <w:r w:rsidRPr="00712D0F">
        <w:rPr>
          <w:rFonts w:ascii="Times New Roman" w:hAnsi="Times New Roman"/>
          <w:sz w:val="22"/>
          <w:szCs w:val="22"/>
        </w:rPr>
        <w:t>(a) Equipment authorized under the certification</w:t>
      </w:r>
      <w:r>
        <w:rPr>
          <w:rFonts w:ascii="Times New Roman" w:hAnsi="Times New Roman"/>
          <w:sz w:val="22"/>
          <w:szCs w:val="22"/>
        </w:rPr>
        <w:t xml:space="preserve"> or</w:t>
      </w:r>
      <w:r w:rsidRPr="00712D0F">
        <w:rPr>
          <w:rFonts w:ascii="Times New Roman" w:hAnsi="Times New Roman"/>
          <w:sz w:val="22"/>
          <w:szCs w:val="22"/>
        </w:rPr>
        <w:t xml:space="preserve"> Declaration of Conformity </w:t>
      </w:r>
      <w:r>
        <w:rPr>
          <w:rFonts w:ascii="Times New Roman" w:hAnsi="Times New Roman"/>
          <w:sz w:val="22"/>
          <w:szCs w:val="22"/>
        </w:rPr>
        <w:t xml:space="preserve">(DoC) </w:t>
      </w:r>
      <w:r w:rsidRPr="00712D0F">
        <w:rPr>
          <w:rFonts w:ascii="Times New Roman" w:hAnsi="Times New Roman"/>
          <w:sz w:val="22"/>
          <w:szCs w:val="22"/>
        </w:rPr>
        <w:t xml:space="preserve">procedure </w:t>
      </w:r>
      <w:r>
        <w:rPr>
          <w:rFonts w:ascii="Times New Roman" w:hAnsi="Times New Roman"/>
          <w:sz w:val="22"/>
          <w:szCs w:val="22"/>
        </w:rPr>
        <w:t>shall</w:t>
      </w:r>
      <w:r w:rsidRPr="00712D0F">
        <w:rPr>
          <w:rFonts w:ascii="Times New Roman" w:hAnsi="Times New Roman"/>
          <w:sz w:val="22"/>
          <w:szCs w:val="22"/>
        </w:rPr>
        <w:t xml:space="preserve"> be tested at a laboratory that is accredited in accordance with paragraph (e) of this section.  </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b</w:t>
      </w:r>
      <w:r w:rsidRPr="00933BA9">
        <w:rPr>
          <w:rFonts w:ascii="Times New Roman" w:hAnsi="Times New Roman"/>
          <w:sz w:val="22"/>
          <w:szCs w:val="22"/>
        </w:rPr>
        <w:t xml:space="preserve">) </w:t>
      </w:r>
      <w:r>
        <w:rPr>
          <w:rFonts w:ascii="Times New Roman" w:hAnsi="Times New Roman"/>
          <w:sz w:val="22"/>
          <w:szCs w:val="22"/>
        </w:rPr>
        <w:t>A laboratory</w:t>
      </w:r>
      <w:r w:rsidRPr="00933BA9">
        <w:rPr>
          <w:rFonts w:ascii="Times New Roman" w:hAnsi="Times New Roman"/>
          <w:sz w:val="22"/>
          <w:szCs w:val="22"/>
        </w:rPr>
        <w:t xml:space="preserve"> </w:t>
      </w:r>
      <w:r>
        <w:rPr>
          <w:rFonts w:ascii="Times New Roman" w:hAnsi="Times New Roman"/>
          <w:sz w:val="22"/>
          <w:szCs w:val="22"/>
        </w:rPr>
        <w:t>that makes</w:t>
      </w:r>
      <w:r w:rsidRPr="00933BA9">
        <w:rPr>
          <w:rFonts w:ascii="Times New Roman" w:hAnsi="Times New Roman"/>
          <w:sz w:val="22"/>
          <w:szCs w:val="22"/>
        </w:rPr>
        <w:t xml:space="preserve"> measurements of equipment subject to an equipment authorization </w:t>
      </w:r>
      <w:r>
        <w:rPr>
          <w:rFonts w:ascii="Times New Roman" w:hAnsi="Times New Roman"/>
          <w:sz w:val="22"/>
          <w:szCs w:val="22"/>
        </w:rPr>
        <w:t xml:space="preserve">under the certification, DoC or verification procedure </w:t>
      </w:r>
      <w:r w:rsidRPr="00933BA9">
        <w:rPr>
          <w:rFonts w:ascii="Times New Roman" w:hAnsi="Times New Roman"/>
          <w:sz w:val="22"/>
          <w:szCs w:val="22"/>
        </w:rPr>
        <w:t>shall compile a description of the measurement facilities employed.</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1</w:t>
      </w:r>
      <w:r w:rsidRPr="00933BA9">
        <w:rPr>
          <w:rFonts w:ascii="Times New Roman" w:hAnsi="Times New Roman"/>
          <w:sz w:val="22"/>
          <w:szCs w:val="22"/>
        </w:rPr>
        <w:t xml:space="preserve">) The description </w:t>
      </w:r>
      <w:r>
        <w:rPr>
          <w:rFonts w:ascii="Times New Roman" w:hAnsi="Times New Roman"/>
          <w:sz w:val="22"/>
          <w:szCs w:val="22"/>
        </w:rPr>
        <w:t xml:space="preserve">of the measurement facilities </w:t>
      </w:r>
      <w:r w:rsidRPr="00933BA9">
        <w:rPr>
          <w:rFonts w:ascii="Times New Roman" w:hAnsi="Times New Roman"/>
          <w:sz w:val="22"/>
          <w:szCs w:val="22"/>
        </w:rPr>
        <w:t>shall contain the following information:</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i</w:t>
      </w:r>
      <w:r w:rsidRPr="00933BA9">
        <w:rPr>
          <w:rFonts w:ascii="Times New Roman" w:hAnsi="Times New Roman"/>
          <w:sz w:val="22"/>
          <w:szCs w:val="22"/>
        </w:rPr>
        <w:t>) Location of the test site.</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ii</w:t>
      </w:r>
      <w:r w:rsidRPr="00933BA9">
        <w:rPr>
          <w:rFonts w:ascii="Times New Roman" w:hAnsi="Times New Roman"/>
          <w:sz w:val="22"/>
          <w:szCs w:val="22"/>
        </w:rPr>
        <w:t>) Physical description of the test site accompanied by photographs of size A4 (21 cm × 29.7 cm) or 8×10 inches (20.3 cm × 25.4 cm). Smaller photographs may be used if they clearly show the details of the test site and are mounted on full size sheets of paper.</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lastRenderedPageBreak/>
        <w:t>(</w:t>
      </w:r>
      <w:r>
        <w:rPr>
          <w:rFonts w:ascii="Times New Roman" w:hAnsi="Times New Roman"/>
          <w:sz w:val="22"/>
          <w:szCs w:val="22"/>
        </w:rPr>
        <w:t>iii</w:t>
      </w:r>
      <w:r w:rsidRPr="00933BA9">
        <w:rPr>
          <w:rFonts w:ascii="Times New Roman" w:hAnsi="Times New Roman"/>
          <w:sz w:val="22"/>
          <w:szCs w:val="22"/>
        </w:rPr>
        <w:t>) A drawing showing the dimensions of the site, physical layout of all supporting structures, and all structures within 5 times the distance between the measuring antenna and the device being measured.</w:t>
      </w:r>
    </w:p>
    <w:p w:rsidR="009D2EAA" w:rsidRPr="00933BA9" w:rsidRDefault="009D2EAA" w:rsidP="009D2EAA">
      <w:pPr>
        <w:pStyle w:val="NormalWeb"/>
        <w:rPr>
          <w:rFonts w:ascii="Times New Roman" w:hAnsi="Times New Roman"/>
          <w:sz w:val="22"/>
          <w:szCs w:val="22"/>
        </w:rPr>
      </w:pPr>
      <w:proofErr w:type="gramStart"/>
      <w:r w:rsidRPr="00933BA9">
        <w:rPr>
          <w:rFonts w:ascii="Times New Roman" w:hAnsi="Times New Roman"/>
          <w:sz w:val="22"/>
          <w:szCs w:val="22"/>
        </w:rPr>
        <w:t>(</w:t>
      </w:r>
      <w:r>
        <w:rPr>
          <w:rFonts w:ascii="Times New Roman" w:hAnsi="Times New Roman"/>
          <w:sz w:val="22"/>
          <w:szCs w:val="22"/>
        </w:rPr>
        <w:t>iv</w:t>
      </w:r>
      <w:r w:rsidRPr="00933BA9">
        <w:rPr>
          <w:rFonts w:ascii="Times New Roman" w:hAnsi="Times New Roman"/>
          <w:sz w:val="22"/>
          <w:szCs w:val="22"/>
        </w:rPr>
        <w:t>) Description</w:t>
      </w:r>
      <w:proofErr w:type="gramEnd"/>
      <w:r w:rsidRPr="00933BA9">
        <w:rPr>
          <w:rFonts w:ascii="Times New Roman" w:hAnsi="Times New Roman"/>
          <w:sz w:val="22"/>
          <w:szCs w:val="22"/>
        </w:rPr>
        <w:t xml:space="preserve"> of structures used to support the device being measured and the test instrumentation.</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v</w:t>
      </w:r>
      <w:r w:rsidRPr="00933BA9">
        <w:rPr>
          <w:rFonts w:ascii="Times New Roman" w:hAnsi="Times New Roman"/>
          <w:sz w:val="22"/>
          <w:szCs w:val="22"/>
        </w:rPr>
        <w:t>) List of measuring equipment used.</w:t>
      </w:r>
    </w:p>
    <w:p w:rsidR="009D2EAA" w:rsidRPr="00933BA9" w:rsidRDefault="009D2EAA" w:rsidP="009D2EAA">
      <w:pPr>
        <w:pStyle w:val="NormalWeb"/>
        <w:rPr>
          <w:rFonts w:ascii="Times New Roman" w:hAnsi="Times New Roman"/>
          <w:sz w:val="22"/>
          <w:szCs w:val="22"/>
        </w:rPr>
      </w:pPr>
      <w:proofErr w:type="gramStart"/>
      <w:r w:rsidRPr="00933BA9">
        <w:rPr>
          <w:rFonts w:ascii="Times New Roman" w:hAnsi="Times New Roman"/>
          <w:sz w:val="22"/>
          <w:szCs w:val="22"/>
        </w:rPr>
        <w:t>(</w:t>
      </w:r>
      <w:r>
        <w:rPr>
          <w:rFonts w:ascii="Times New Roman" w:hAnsi="Times New Roman"/>
          <w:sz w:val="22"/>
          <w:szCs w:val="22"/>
        </w:rPr>
        <w:t>vi</w:t>
      </w:r>
      <w:r w:rsidRPr="00933BA9">
        <w:rPr>
          <w:rFonts w:ascii="Times New Roman" w:hAnsi="Times New Roman"/>
          <w:sz w:val="22"/>
          <w:szCs w:val="22"/>
        </w:rPr>
        <w:t>) Information</w:t>
      </w:r>
      <w:proofErr w:type="gramEnd"/>
      <w:r w:rsidRPr="00933BA9">
        <w:rPr>
          <w:rFonts w:ascii="Times New Roman" w:hAnsi="Times New Roman"/>
          <w:sz w:val="22"/>
          <w:szCs w:val="22"/>
        </w:rPr>
        <w:t xml:space="preserve"> concerning the calibration of the measuring equipment, i.e., the date the equipment was last calibrated and how often the equipment is calibrated.</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vii</w:t>
      </w:r>
      <w:r w:rsidRPr="00933BA9">
        <w:rPr>
          <w:rFonts w:ascii="Times New Roman" w:hAnsi="Times New Roman"/>
          <w:sz w:val="22"/>
          <w:szCs w:val="22"/>
        </w:rPr>
        <w:t xml:space="preserve">) For a measurement facility that will be used for testing radiated emissions, a plot of site attenuation data taken pursuant </w:t>
      </w:r>
      <w:r>
        <w:rPr>
          <w:rFonts w:ascii="Times New Roman" w:hAnsi="Times New Roman"/>
          <w:sz w:val="22"/>
          <w:szCs w:val="22"/>
        </w:rPr>
        <w:t>paragraph (d) of this section.</w:t>
      </w:r>
    </w:p>
    <w:p w:rsidR="009D2EAA" w:rsidRPr="00933BA9" w:rsidRDefault="009D2EAA" w:rsidP="009D2EAA">
      <w:pPr>
        <w:pStyle w:val="NormalWeb"/>
        <w:rPr>
          <w:rFonts w:ascii="Times New Roman" w:hAnsi="Times New Roman"/>
          <w:sz w:val="22"/>
          <w:szCs w:val="22"/>
        </w:rPr>
      </w:pPr>
      <w:r>
        <w:rPr>
          <w:rFonts w:ascii="Times New Roman" w:hAnsi="Times New Roman"/>
          <w:sz w:val="22"/>
          <w:szCs w:val="22"/>
        </w:rPr>
        <w:t>(2) The description of the measurement facilities shall be provided to a laboratory accreditation body upon request.</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w:t>
      </w:r>
      <w:r>
        <w:rPr>
          <w:rFonts w:ascii="Times New Roman" w:hAnsi="Times New Roman"/>
          <w:sz w:val="22"/>
          <w:szCs w:val="22"/>
        </w:rPr>
        <w:t>3</w:t>
      </w:r>
      <w:r w:rsidRPr="00933BA9">
        <w:rPr>
          <w:rFonts w:ascii="Times New Roman" w:hAnsi="Times New Roman"/>
          <w:sz w:val="22"/>
          <w:szCs w:val="22"/>
        </w:rPr>
        <w:t xml:space="preserve">) </w:t>
      </w:r>
      <w:r w:rsidR="00D45CEF">
        <w:rPr>
          <w:rFonts w:ascii="Times New Roman" w:hAnsi="Times New Roman"/>
          <w:sz w:val="22"/>
          <w:szCs w:val="22"/>
        </w:rPr>
        <w:t xml:space="preserve">The </w:t>
      </w:r>
      <w:r w:rsidRPr="00933BA9">
        <w:rPr>
          <w:rFonts w:ascii="Times New Roman" w:hAnsi="Times New Roman"/>
          <w:sz w:val="22"/>
          <w:szCs w:val="22"/>
        </w:rPr>
        <w:t xml:space="preserve">description of the measurement facilities shall be retained by </w:t>
      </w:r>
      <w:r w:rsidR="00D45CEF">
        <w:rPr>
          <w:rFonts w:ascii="Times New Roman" w:hAnsi="Times New Roman"/>
          <w:sz w:val="22"/>
          <w:szCs w:val="22"/>
        </w:rPr>
        <w:t xml:space="preserve">the </w:t>
      </w:r>
      <w:r w:rsidRPr="00933BA9">
        <w:rPr>
          <w:rFonts w:ascii="Times New Roman" w:hAnsi="Times New Roman"/>
          <w:sz w:val="22"/>
          <w:szCs w:val="22"/>
        </w:rPr>
        <w:t>party responsible for verification of equipment</w:t>
      </w:r>
      <w:r>
        <w:rPr>
          <w:rFonts w:ascii="Times New Roman" w:hAnsi="Times New Roman"/>
          <w:sz w:val="22"/>
          <w:szCs w:val="22"/>
        </w:rPr>
        <w:t xml:space="preserve"> and provided to the Commission upon request</w:t>
      </w:r>
      <w:r w:rsidRPr="00933BA9">
        <w:rPr>
          <w:rFonts w:ascii="Times New Roman" w:hAnsi="Times New Roman"/>
          <w:sz w:val="22"/>
          <w:szCs w:val="22"/>
        </w:rPr>
        <w:t>.</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 xml:space="preserve">(i) </w:t>
      </w:r>
      <w:r w:rsidR="00D45CEF">
        <w:rPr>
          <w:rFonts w:ascii="Times New Roman" w:hAnsi="Times New Roman"/>
          <w:sz w:val="22"/>
          <w:szCs w:val="22"/>
        </w:rPr>
        <w:t>T</w:t>
      </w:r>
      <w:r w:rsidRPr="00933BA9">
        <w:rPr>
          <w:rFonts w:ascii="Times New Roman" w:hAnsi="Times New Roman"/>
          <w:sz w:val="22"/>
          <w:szCs w:val="22"/>
        </w:rPr>
        <w:t xml:space="preserve">he party responsible for verification of equipment </w:t>
      </w:r>
      <w:r w:rsidR="00D45CEF">
        <w:rPr>
          <w:rFonts w:ascii="Times New Roman" w:hAnsi="Times New Roman"/>
          <w:sz w:val="22"/>
          <w:szCs w:val="22"/>
        </w:rPr>
        <w:t>may</w:t>
      </w:r>
      <w:r w:rsidR="00D45CEF" w:rsidRPr="00933BA9">
        <w:rPr>
          <w:rFonts w:ascii="Times New Roman" w:hAnsi="Times New Roman"/>
          <w:sz w:val="22"/>
          <w:szCs w:val="22"/>
        </w:rPr>
        <w:t xml:space="preserve"> </w:t>
      </w:r>
      <w:r w:rsidRPr="00933BA9">
        <w:rPr>
          <w:rFonts w:ascii="Times New Roman" w:hAnsi="Times New Roman"/>
          <w:sz w:val="22"/>
          <w:szCs w:val="22"/>
        </w:rPr>
        <w:t xml:space="preserve">rely upon the description of the measurement facilities retained by </w:t>
      </w:r>
      <w:r w:rsidR="00D45CEF">
        <w:rPr>
          <w:rFonts w:ascii="Times New Roman" w:hAnsi="Times New Roman"/>
          <w:sz w:val="22"/>
          <w:szCs w:val="22"/>
        </w:rPr>
        <w:t xml:space="preserve">an independent </w:t>
      </w:r>
      <w:r w:rsidRPr="00933BA9">
        <w:rPr>
          <w:rFonts w:ascii="Times New Roman" w:hAnsi="Times New Roman"/>
          <w:sz w:val="22"/>
          <w:szCs w:val="22"/>
        </w:rPr>
        <w:t>laboratory</w:t>
      </w:r>
      <w:r w:rsidR="00D45CEF">
        <w:rPr>
          <w:rFonts w:ascii="Times New Roman" w:hAnsi="Times New Roman"/>
          <w:sz w:val="22"/>
          <w:szCs w:val="22"/>
        </w:rPr>
        <w:t xml:space="preserve"> that performed the tests</w:t>
      </w:r>
      <w:r w:rsidRPr="00933BA9">
        <w:rPr>
          <w:rFonts w:ascii="Times New Roman" w:hAnsi="Times New Roman"/>
          <w:sz w:val="22"/>
          <w:szCs w:val="22"/>
        </w:rPr>
        <w:t>. In this situation, the party responsible for verification of the equipment is not required to retain a duplicate copy of the description of the measurement facilities.</w:t>
      </w:r>
    </w:p>
    <w:p w:rsidR="009D2EAA" w:rsidRPr="00933BA9" w:rsidRDefault="009D2EAA" w:rsidP="009D2EAA">
      <w:pPr>
        <w:pStyle w:val="NormalWeb"/>
        <w:rPr>
          <w:rFonts w:ascii="Times New Roman" w:hAnsi="Times New Roman"/>
          <w:sz w:val="22"/>
          <w:szCs w:val="22"/>
        </w:rPr>
      </w:pPr>
      <w:r w:rsidRPr="00933BA9">
        <w:rPr>
          <w:rFonts w:ascii="Times New Roman" w:hAnsi="Times New Roman"/>
          <w:sz w:val="22"/>
          <w:szCs w:val="22"/>
        </w:rPr>
        <w:t xml:space="preserve">(ii) </w:t>
      </w:r>
      <w:r w:rsidR="00D45CEF" w:rsidRPr="00933BA9">
        <w:rPr>
          <w:rFonts w:ascii="Times New Roman" w:hAnsi="Times New Roman"/>
          <w:sz w:val="22"/>
          <w:szCs w:val="22"/>
        </w:rPr>
        <w:t>No</w:t>
      </w:r>
      <w:r w:rsidRPr="00933BA9">
        <w:rPr>
          <w:rFonts w:ascii="Times New Roman" w:hAnsi="Times New Roman"/>
          <w:sz w:val="22"/>
          <w:szCs w:val="22"/>
        </w:rPr>
        <w:t xml:space="preserve"> specific site calibration data is required</w:t>
      </w:r>
      <w:r w:rsidR="00D45CEF" w:rsidRPr="00D45CEF">
        <w:rPr>
          <w:rFonts w:ascii="Times New Roman" w:hAnsi="Times New Roman"/>
          <w:sz w:val="22"/>
          <w:szCs w:val="22"/>
        </w:rPr>
        <w:t xml:space="preserve"> </w:t>
      </w:r>
      <w:r w:rsidR="00D45CEF">
        <w:rPr>
          <w:rFonts w:ascii="Times New Roman" w:hAnsi="Times New Roman"/>
          <w:sz w:val="22"/>
          <w:szCs w:val="22"/>
        </w:rPr>
        <w:t>for</w:t>
      </w:r>
      <w:r w:rsidR="00D45CEF" w:rsidRPr="00933BA9">
        <w:rPr>
          <w:rFonts w:ascii="Times New Roman" w:hAnsi="Times New Roman"/>
          <w:sz w:val="22"/>
          <w:szCs w:val="22"/>
        </w:rPr>
        <w:t xml:space="preserve"> equipment </w:t>
      </w:r>
      <w:r w:rsidR="00D45CEF">
        <w:rPr>
          <w:rFonts w:ascii="Times New Roman" w:hAnsi="Times New Roman"/>
          <w:sz w:val="22"/>
          <w:szCs w:val="22"/>
        </w:rPr>
        <w:t>that is</w:t>
      </w:r>
      <w:r w:rsidR="00D45CEF" w:rsidRPr="00933BA9">
        <w:rPr>
          <w:rFonts w:ascii="Times New Roman" w:hAnsi="Times New Roman"/>
          <w:sz w:val="22"/>
          <w:szCs w:val="22"/>
        </w:rPr>
        <w:t xml:space="preserve"> verified </w:t>
      </w:r>
      <w:r w:rsidR="00D45CEF">
        <w:rPr>
          <w:rFonts w:ascii="Times New Roman" w:hAnsi="Times New Roman"/>
          <w:sz w:val="22"/>
          <w:szCs w:val="22"/>
        </w:rPr>
        <w:t xml:space="preserve">for compliance </w:t>
      </w:r>
      <w:r w:rsidR="00D45CEF" w:rsidRPr="00933BA9">
        <w:rPr>
          <w:rFonts w:ascii="Times New Roman" w:hAnsi="Times New Roman"/>
          <w:sz w:val="22"/>
          <w:szCs w:val="22"/>
        </w:rPr>
        <w:t>based on measurements performed at the installation site of the eq</w:t>
      </w:r>
      <w:r w:rsidR="00D45CEF">
        <w:rPr>
          <w:rFonts w:ascii="Times New Roman" w:hAnsi="Times New Roman"/>
          <w:sz w:val="22"/>
          <w:szCs w:val="22"/>
        </w:rPr>
        <w:t>uipment</w:t>
      </w:r>
      <w:r w:rsidRPr="00933BA9">
        <w:rPr>
          <w:rFonts w:ascii="Times New Roman" w:hAnsi="Times New Roman"/>
          <w:sz w:val="22"/>
          <w:szCs w:val="22"/>
        </w:rPr>
        <w:t xml:space="preserve">. </w:t>
      </w:r>
      <w:r w:rsidR="00D45CEF">
        <w:rPr>
          <w:rFonts w:ascii="Times New Roman" w:hAnsi="Times New Roman"/>
          <w:sz w:val="22"/>
          <w:szCs w:val="22"/>
        </w:rPr>
        <w:t>T</w:t>
      </w:r>
      <w:r w:rsidR="002F7B06">
        <w:rPr>
          <w:rFonts w:ascii="Times New Roman" w:hAnsi="Times New Roman"/>
          <w:sz w:val="22"/>
          <w:szCs w:val="22"/>
        </w:rPr>
        <w:t>h</w:t>
      </w:r>
      <w:r w:rsidR="00D45CEF">
        <w:rPr>
          <w:rFonts w:ascii="Times New Roman" w:hAnsi="Times New Roman"/>
          <w:sz w:val="22"/>
          <w:szCs w:val="22"/>
        </w:rPr>
        <w:t>e</w:t>
      </w:r>
      <w:r w:rsidRPr="00933BA9">
        <w:rPr>
          <w:rFonts w:ascii="Times New Roman" w:hAnsi="Times New Roman"/>
          <w:sz w:val="22"/>
          <w:szCs w:val="22"/>
        </w:rPr>
        <w:t xml:space="preserve"> description of the measurement facilities </w:t>
      </w:r>
      <w:r w:rsidR="00D45CEF">
        <w:rPr>
          <w:rFonts w:ascii="Times New Roman" w:hAnsi="Times New Roman"/>
          <w:sz w:val="22"/>
          <w:szCs w:val="22"/>
        </w:rPr>
        <w:t xml:space="preserve">may be retained </w:t>
      </w:r>
      <w:r w:rsidRPr="00933BA9">
        <w:rPr>
          <w:rFonts w:ascii="Times New Roman" w:hAnsi="Times New Roman"/>
          <w:sz w:val="22"/>
          <w:szCs w:val="22"/>
        </w:rPr>
        <w:t>at the site at which the measurements were performed.</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 xml:space="preserve">(c) The Commission will maintain a list of accredited laboratories </w:t>
      </w:r>
      <w:r>
        <w:rPr>
          <w:rFonts w:ascii="Times New Roman" w:hAnsi="Times New Roman"/>
          <w:sz w:val="22"/>
          <w:szCs w:val="22"/>
        </w:rPr>
        <w:t>for which</w:t>
      </w:r>
      <w:r w:rsidRPr="00712D0F">
        <w:rPr>
          <w:rFonts w:ascii="Times New Roman" w:hAnsi="Times New Roman"/>
          <w:sz w:val="22"/>
          <w:szCs w:val="22"/>
        </w:rPr>
        <w:t xml:space="preserve"> the accrediting organization (or designating authority in the case of foreign laboratories) submits the information </w:t>
      </w:r>
      <w:r w:rsidR="00D45CEF">
        <w:rPr>
          <w:rFonts w:ascii="Times New Roman" w:hAnsi="Times New Roman"/>
          <w:sz w:val="22"/>
          <w:szCs w:val="22"/>
        </w:rPr>
        <w:t xml:space="preserve">listed below </w:t>
      </w:r>
      <w:r w:rsidRPr="00712D0F">
        <w:rPr>
          <w:rFonts w:ascii="Times New Roman" w:hAnsi="Times New Roman"/>
          <w:sz w:val="22"/>
          <w:szCs w:val="22"/>
        </w:rPr>
        <w:t>to the Commission's laboratory</w:t>
      </w:r>
      <w:r>
        <w:rPr>
          <w:rFonts w:ascii="Times New Roman" w:hAnsi="Times New Roman"/>
          <w:sz w:val="22"/>
          <w:szCs w:val="22"/>
        </w:rPr>
        <w:t>.  The Commission will</w:t>
      </w:r>
      <w:r w:rsidRPr="00712D0F">
        <w:rPr>
          <w:rFonts w:ascii="Times New Roman" w:hAnsi="Times New Roman"/>
          <w:sz w:val="22"/>
          <w:szCs w:val="22"/>
        </w:rPr>
        <w:t xml:space="preserve"> make publicly available a list of those laboratories that indicate they will perform testin</w:t>
      </w:r>
      <w:r>
        <w:rPr>
          <w:rFonts w:ascii="Times New Roman" w:hAnsi="Times New Roman"/>
          <w:sz w:val="22"/>
          <w:szCs w:val="22"/>
        </w:rPr>
        <w:t xml:space="preserve">g on a contract basis.  Inclusion of a facility on the Commission’s list does not constitute Commission endorsement of that facility.  </w:t>
      </w:r>
      <w:r w:rsidR="00D45CEF">
        <w:rPr>
          <w:rFonts w:ascii="Times New Roman" w:hAnsi="Times New Roman"/>
          <w:sz w:val="22"/>
          <w:szCs w:val="22"/>
        </w:rPr>
        <w:t>The Commission will list the following information:</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(i) Laboratory name, location of test site(s), mailing address and contact information;</w:t>
      </w:r>
    </w:p>
    <w:p w:rsidR="009D2EAA" w:rsidRDefault="009D2EAA" w:rsidP="009D2EAA">
      <w:pPr>
        <w:pStyle w:val="NormalWeb"/>
        <w:rPr>
          <w:rFonts w:ascii="Times New Roman" w:hAnsi="Times New Roman"/>
          <w:sz w:val="22"/>
          <w:szCs w:val="22"/>
        </w:rPr>
      </w:pPr>
      <w:r w:rsidRPr="00712D0F">
        <w:rPr>
          <w:rFonts w:ascii="Times New Roman" w:hAnsi="Times New Roman"/>
          <w:sz w:val="22"/>
          <w:szCs w:val="22"/>
        </w:rPr>
        <w:t>(ii) Name of accrediting organization;</w:t>
      </w:r>
    </w:p>
    <w:p w:rsidR="009D2EAA" w:rsidRPr="00712D0F" w:rsidRDefault="009D2EAA" w:rsidP="009D2EAA">
      <w:pPr>
        <w:pStyle w:val="NormalWeb"/>
        <w:rPr>
          <w:rFonts w:ascii="Times New Roman" w:hAnsi="Times New Roman"/>
          <w:sz w:val="22"/>
          <w:szCs w:val="22"/>
        </w:rPr>
      </w:pPr>
      <w:r>
        <w:rPr>
          <w:rFonts w:ascii="Times New Roman" w:hAnsi="Times New Roman"/>
          <w:sz w:val="22"/>
          <w:szCs w:val="22"/>
        </w:rPr>
        <w:t>(iii) Scope of laboratory accreditation;</w:t>
      </w:r>
    </w:p>
    <w:p w:rsidR="009D2EAA" w:rsidRPr="00712D0F" w:rsidRDefault="009D2EAA" w:rsidP="009D2EAA">
      <w:pPr>
        <w:pStyle w:val="NormalWeb"/>
        <w:rPr>
          <w:rFonts w:ascii="Times New Roman" w:hAnsi="Times New Roman"/>
          <w:sz w:val="22"/>
          <w:szCs w:val="22"/>
        </w:rPr>
      </w:pPr>
      <w:proofErr w:type="gramStart"/>
      <w:r w:rsidRPr="00712D0F">
        <w:rPr>
          <w:rFonts w:ascii="Times New Roman" w:hAnsi="Times New Roman"/>
          <w:sz w:val="22"/>
          <w:szCs w:val="22"/>
        </w:rPr>
        <w:t>(i</w:t>
      </w:r>
      <w:r>
        <w:rPr>
          <w:rFonts w:ascii="Times New Roman" w:hAnsi="Times New Roman"/>
          <w:sz w:val="22"/>
          <w:szCs w:val="22"/>
        </w:rPr>
        <w:t>v</w:t>
      </w:r>
      <w:r w:rsidRPr="00712D0F">
        <w:rPr>
          <w:rFonts w:ascii="Times New Roman" w:hAnsi="Times New Roman"/>
          <w:sz w:val="22"/>
          <w:szCs w:val="22"/>
        </w:rPr>
        <w:t>)</w:t>
      </w:r>
      <w:r>
        <w:rPr>
          <w:rFonts w:ascii="Times New Roman" w:hAnsi="Times New Roman"/>
          <w:sz w:val="22"/>
          <w:szCs w:val="22"/>
        </w:rPr>
        <w:t xml:space="preserve"> </w:t>
      </w:r>
      <w:r w:rsidRPr="00712D0F">
        <w:rPr>
          <w:rFonts w:ascii="Times New Roman" w:hAnsi="Times New Roman"/>
          <w:sz w:val="22"/>
          <w:szCs w:val="22"/>
        </w:rPr>
        <w:t>Date</w:t>
      </w:r>
      <w:proofErr w:type="gramEnd"/>
      <w:r w:rsidRPr="00712D0F">
        <w:rPr>
          <w:rFonts w:ascii="Times New Roman" w:hAnsi="Times New Roman"/>
          <w:sz w:val="22"/>
          <w:szCs w:val="22"/>
        </w:rPr>
        <w:t xml:space="preserve"> of expiration of accreditation;</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(v) Designation number;</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(v</w:t>
      </w:r>
      <w:r>
        <w:rPr>
          <w:rFonts w:ascii="Times New Roman" w:hAnsi="Times New Roman"/>
          <w:sz w:val="22"/>
          <w:szCs w:val="22"/>
        </w:rPr>
        <w:t>i</w:t>
      </w:r>
      <w:r w:rsidRPr="00712D0F">
        <w:rPr>
          <w:rFonts w:ascii="Times New Roman" w:hAnsi="Times New Roman"/>
          <w:sz w:val="22"/>
          <w:szCs w:val="22"/>
        </w:rPr>
        <w:t>) FCC Registration Number (FRN);</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(vi</w:t>
      </w:r>
      <w:r>
        <w:rPr>
          <w:rFonts w:ascii="Times New Roman" w:hAnsi="Times New Roman"/>
          <w:sz w:val="22"/>
          <w:szCs w:val="22"/>
        </w:rPr>
        <w:t>i</w:t>
      </w:r>
      <w:r w:rsidRPr="00712D0F">
        <w:rPr>
          <w:rFonts w:ascii="Times New Roman" w:hAnsi="Times New Roman"/>
          <w:sz w:val="22"/>
          <w:szCs w:val="22"/>
        </w:rPr>
        <w:t>) A statement as to whether or not the laboratory performs testing on a contract basis</w:t>
      </w:r>
      <w:proofErr w:type="gramStart"/>
      <w:r w:rsidRPr="00712D0F">
        <w:rPr>
          <w:rFonts w:ascii="Times New Roman" w:hAnsi="Times New Roman"/>
          <w:sz w:val="22"/>
          <w:szCs w:val="22"/>
        </w:rPr>
        <w:t>;</w:t>
      </w:r>
      <w:proofErr w:type="gramEnd"/>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lastRenderedPageBreak/>
        <w:t>(vii) For laboratories outside the United States, the name of the mutual recognition agreement or arrangement under which the accreditation of the laboratory is recognized.</w:t>
      </w:r>
    </w:p>
    <w:p w:rsidR="009D2EAA" w:rsidRDefault="009D2EAA" w:rsidP="009D2EAA">
      <w:pPr>
        <w:pStyle w:val="NormalWeb"/>
        <w:rPr>
          <w:rFonts w:ascii="Times New Roman" w:hAnsi="Times New Roman"/>
          <w:sz w:val="22"/>
          <w:szCs w:val="22"/>
        </w:rPr>
      </w:pPr>
      <w:r w:rsidRPr="00712D0F">
        <w:rPr>
          <w:rFonts w:ascii="Times New Roman" w:hAnsi="Times New Roman"/>
          <w:sz w:val="22"/>
          <w:szCs w:val="22"/>
        </w:rPr>
        <w:t xml:space="preserve">(d) For a measurement facility that will be used for testing radiated emissions, the site attenuation must comply with the requirements of Sections 5.4.4 through 5.5 of the following procedure: American National Standards Institute (ANSI) C63.4–2009, “American National Standard for Methods of Measurement of Radio-Noise Emissions from Low-Voltage Electrical and Electronic Equipment in the Range of 9 kHz to 40 GHz” (incorporated by reference, see §2.910). </w:t>
      </w:r>
      <w:proofErr w:type="gramStart"/>
      <w:r w:rsidRPr="00712D0F">
        <w:rPr>
          <w:rFonts w:ascii="Times New Roman" w:hAnsi="Times New Roman"/>
          <w:sz w:val="22"/>
          <w:szCs w:val="22"/>
        </w:rPr>
        <w:t>This incorporation by reference was approved by the Director of the Federal Register in accordance with 5 U.S.C. 552(a) and 1 CFR part 51</w:t>
      </w:r>
      <w:proofErr w:type="gramEnd"/>
      <w:r w:rsidRPr="00712D0F">
        <w:rPr>
          <w:rFonts w:ascii="Times New Roman" w:hAnsi="Times New Roman"/>
          <w:sz w:val="22"/>
          <w:szCs w:val="22"/>
        </w:rPr>
        <w:t>.</w:t>
      </w:r>
      <w:r w:rsidRPr="00712D0F" w:rsidDel="00247F8C">
        <w:rPr>
          <w:rFonts w:ascii="Times New Roman" w:hAnsi="Times New Roman"/>
          <w:sz w:val="22"/>
          <w:szCs w:val="22"/>
        </w:rPr>
        <w:t xml:space="preserve"> </w:t>
      </w:r>
      <w:r w:rsidRPr="00712D0F">
        <w:rPr>
          <w:rFonts w:ascii="Times New Roman" w:hAnsi="Times New Roman"/>
          <w:sz w:val="22"/>
          <w:szCs w:val="22"/>
        </w:rPr>
        <w:t xml:space="preserve">If the measurement site will be used for measuring radiated emissions in the range of 1 GHz to 40 GHz, the site must meet the first alternative specified in Section 5.5 of </w:t>
      </w:r>
      <w:r>
        <w:rPr>
          <w:rFonts w:ascii="Times New Roman" w:hAnsi="Times New Roman"/>
          <w:sz w:val="22"/>
          <w:szCs w:val="22"/>
        </w:rPr>
        <w:t>C63.4-2009</w:t>
      </w:r>
      <w:r w:rsidRPr="00712D0F">
        <w:rPr>
          <w:rFonts w:ascii="Times New Roman" w:hAnsi="Times New Roman"/>
          <w:sz w:val="22"/>
          <w:szCs w:val="22"/>
        </w:rPr>
        <w:t xml:space="preserve"> which states that RF absorbing material must cover the ground plane such that the site validation criterion called out in CISPR 16-1-4:2007 is met.  </w:t>
      </w:r>
      <w:r>
        <w:rPr>
          <w:rFonts w:ascii="Times New Roman" w:hAnsi="Times New Roman"/>
          <w:sz w:val="22"/>
          <w:szCs w:val="22"/>
        </w:rPr>
        <w:t>T</w:t>
      </w:r>
      <w:r w:rsidRPr="00712D0F">
        <w:rPr>
          <w:rFonts w:ascii="Times New Roman" w:hAnsi="Times New Roman"/>
          <w:sz w:val="22"/>
          <w:szCs w:val="22"/>
        </w:rPr>
        <w:t xml:space="preserve">est site revalidation shall occur on an interval not to exceed </w:t>
      </w:r>
      <w:r>
        <w:rPr>
          <w:rFonts w:ascii="Times New Roman" w:hAnsi="Times New Roman"/>
          <w:sz w:val="22"/>
          <w:szCs w:val="22"/>
        </w:rPr>
        <w:t>three</w:t>
      </w:r>
      <w:r w:rsidRPr="00712D0F">
        <w:rPr>
          <w:rFonts w:ascii="Times New Roman" w:hAnsi="Times New Roman"/>
          <w:sz w:val="22"/>
          <w:szCs w:val="22"/>
        </w:rPr>
        <w:t xml:space="preserve"> years.</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 xml:space="preserve">(e) A laboratory that has been accredited with a scope covering the measurements </w:t>
      </w:r>
      <w:r w:rsidR="00D77BC1">
        <w:rPr>
          <w:rFonts w:ascii="Times New Roman" w:hAnsi="Times New Roman"/>
          <w:sz w:val="22"/>
          <w:szCs w:val="22"/>
        </w:rPr>
        <w:t xml:space="preserve">required for the types of equipment </w:t>
      </w:r>
      <w:r w:rsidR="00D45CEF">
        <w:rPr>
          <w:rFonts w:ascii="Times New Roman" w:hAnsi="Times New Roman"/>
          <w:sz w:val="22"/>
          <w:szCs w:val="22"/>
        </w:rPr>
        <w:t xml:space="preserve">that </w:t>
      </w:r>
      <w:r w:rsidR="00D77BC1">
        <w:rPr>
          <w:rFonts w:ascii="Times New Roman" w:hAnsi="Times New Roman"/>
          <w:sz w:val="22"/>
          <w:szCs w:val="22"/>
        </w:rPr>
        <w:t xml:space="preserve">it will test </w:t>
      </w:r>
      <w:r w:rsidRPr="00712D0F">
        <w:rPr>
          <w:rFonts w:ascii="Times New Roman" w:hAnsi="Times New Roman"/>
          <w:sz w:val="22"/>
          <w:szCs w:val="22"/>
        </w:rPr>
        <w:t>shall be deemed competent to test and submit test data for equipment subject to verification, Declaration of Conformity, and certification. Such a laboratory shall be accredited by an approved accreditation organization based on the International Organization for Standardization/International Electrotechnical Commission (ISO/IEC) Standard 17025, “</w:t>
      </w:r>
      <w:r w:rsidRPr="005A3181">
        <w:rPr>
          <w:rFonts w:ascii="Times New Roman" w:hAnsi="Times New Roman"/>
          <w:i/>
          <w:sz w:val="22"/>
          <w:szCs w:val="22"/>
        </w:rPr>
        <w:t>General Requirements for the Competence of Calibration and Testing Laboratories.</w:t>
      </w:r>
      <w:r w:rsidRPr="00712D0F">
        <w:rPr>
          <w:rFonts w:ascii="Times New Roman" w:hAnsi="Times New Roman"/>
          <w:sz w:val="22"/>
          <w:szCs w:val="22"/>
        </w:rPr>
        <w:t>” The organization accrediting the laboratory must be approved by the Commission's Office of Engineering and Technology, as indicated in §0.241 of this chapter, to perform such accreditation based on ISO/IEC Standard 17011, “</w:t>
      </w:r>
      <w:r w:rsidRPr="00712D0F">
        <w:rPr>
          <w:rFonts w:ascii="Times New Roman" w:hAnsi="Times New Roman"/>
          <w:i/>
          <w:sz w:val="22"/>
          <w:szCs w:val="22"/>
        </w:rPr>
        <w:t xml:space="preserve">Conformity assessment – </w:t>
      </w:r>
      <w:r w:rsidRPr="00712D0F">
        <w:rPr>
          <w:rFonts w:ascii="Times New Roman" w:hAnsi="Times New Roman"/>
          <w:i/>
          <w:iCs/>
          <w:sz w:val="22"/>
          <w:szCs w:val="22"/>
        </w:rPr>
        <w:t>General requirements for accreditation bodies accrediting conformity assessment bodies</w:t>
      </w:r>
      <w:r w:rsidRPr="00712D0F">
        <w:rPr>
          <w:rFonts w:ascii="Times New Roman" w:hAnsi="Times New Roman"/>
          <w:sz w:val="22"/>
          <w:szCs w:val="22"/>
        </w:rPr>
        <w:t xml:space="preserve">.” The frequency for </w:t>
      </w:r>
      <w:r w:rsidR="000A36DB">
        <w:rPr>
          <w:rFonts w:ascii="Times New Roman" w:hAnsi="Times New Roman"/>
          <w:sz w:val="22"/>
          <w:szCs w:val="22"/>
        </w:rPr>
        <w:t>re-assessment</w:t>
      </w:r>
      <w:r w:rsidRPr="00712D0F">
        <w:rPr>
          <w:rFonts w:ascii="Times New Roman" w:hAnsi="Times New Roman"/>
          <w:sz w:val="22"/>
          <w:szCs w:val="22"/>
        </w:rPr>
        <w:t xml:space="preserve"> of the test </w:t>
      </w:r>
      <w:r w:rsidR="000A36DB">
        <w:rPr>
          <w:rFonts w:ascii="Times New Roman" w:hAnsi="Times New Roman"/>
          <w:sz w:val="22"/>
          <w:szCs w:val="22"/>
        </w:rPr>
        <w:t>facility</w:t>
      </w:r>
      <w:r w:rsidRPr="00712D0F">
        <w:rPr>
          <w:rFonts w:ascii="Times New Roman" w:hAnsi="Times New Roman"/>
          <w:sz w:val="22"/>
          <w:szCs w:val="22"/>
        </w:rPr>
        <w:t xml:space="preserve"> and the information that </w:t>
      </w:r>
      <w:proofErr w:type="gramStart"/>
      <w:r w:rsidRPr="00712D0F">
        <w:rPr>
          <w:rFonts w:ascii="Times New Roman" w:hAnsi="Times New Roman"/>
          <w:sz w:val="22"/>
          <w:szCs w:val="22"/>
        </w:rPr>
        <w:t>is required to be filed or</w:t>
      </w:r>
      <w:proofErr w:type="gramEnd"/>
      <w:r w:rsidRPr="00712D0F">
        <w:rPr>
          <w:rFonts w:ascii="Times New Roman" w:hAnsi="Times New Roman"/>
          <w:sz w:val="22"/>
          <w:szCs w:val="22"/>
        </w:rPr>
        <w:t xml:space="preserve"> retained by the testing party shall comply with the requirements established by the accrediting organization</w:t>
      </w:r>
      <w:r w:rsidR="000A36DB">
        <w:rPr>
          <w:rFonts w:ascii="Times New Roman" w:hAnsi="Times New Roman"/>
          <w:sz w:val="22"/>
          <w:szCs w:val="22"/>
        </w:rPr>
        <w:t>, but shall occur on an interval not to exceed two years.</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(f) The accreditation of a laboratory located outside of the United States, or its possessions, will be acceptable only under one of the following conditions:</w:t>
      </w:r>
    </w:p>
    <w:p w:rsidR="009D2EAA" w:rsidRPr="00712D0F" w:rsidRDefault="009D2EAA" w:rsidP="009D2EAA">
      <w:pPr>
        <w:pStyle w:val="NormalWeb"/>
        <w:rPr>
          <w:rFonts w:ascii="Times New Roman" w:hAnsi="Times New Roman"/>
          <w:sz w:val="22"/>
          <w:szCs w:val="22"/>
        </w:rPr>
      </w:pPr>
      <w:r w:rsidRPr="00712D0F">
        <w:rPr>
          <w:rFonts w:ascii="Times New Roman" w:hAnsi="Times New Roman"/>
          <w:sz w:val="22"/>
          <w:szCs w:val="22"/>
        </w:rPr>
        <w:t>(1) If the accredited laboratory has been designated by a foreign designating authority and recognized by the Commission under the terms of a government-to-government Mutual Recognition Agreement/Arrangement</w:t>
      </w:r>
      <w:r>
        <w:rPr>
          <w:rFonts w:ascii="Times New Roman" w:hAnsi="Times New Roman"/>
          <w:sz w:val="22"/>
          <w:szCs w:val="22"/>
        </w:rPr>
        <w:t xml:space="preserve"> (MRA)</w:t>
      </w:r>
      <w:r w:rsidRPr="00712D0F">
        <w:rPr>
          <w:rFonts w:ascii="Times New Roman" w:hAnsi="Times New Roman"/>
          <w:sz w:val="22"/>
          <w:szCs w:val="22"/>
        </w:rPr>
        <w:t>; or</w:t>
      </w:r>
    </w:p>
    <w:p w:rsidR="009D2EAA" w:rsidRDefault="009D2EAA" w:rsidP="009D2EAA">
      <w:pPr>
        <w:pStyle w:val="NormalWeb"/>
        <w:rPr>
          <w:rFonts w:ascii="Times New Roman" w:hAnsi="Times New Roman"/>
          <w:sz w:val="22"/>
          <w:szCs w:val="22"/>
        </w:rPr>
      </w:pPr>
      <w:r w:rsidRPr="00712D0F">
        <w:rPr>
          <w:rFonts w:ascii="Times New Roman" w:hAnsi="Times New Roman"/>
          <w:sz w:val="22"/>
          <w:szCs w:val="22"/>
        </w:rPr>
        <w:t xml:space="preserve">(2) If the laboratory </w:t>
      </w:r>
      <w:r>
        <w:rPr>
          <w:rFonts w:ascii="Times New Roman" w:hAnsi="Times New Roman"/>
          <w:sz w:val="22"/>
          <w:szCs w:val="22"/>
        </w:rPr>
        <w:t>is located in a country that does not have an MRA with the United States, then it must be accredited by an organization recognized by the Commission under the provisions of § 2.949 for performing accreditations in the country where the laboratory is located.</w:t>
      </w:r>
    </w:p>
    <w:bookmarkEnd w:id="766"/>
    <w:p w:rsidR="00712D0F" w:rsidRPr="00712D0F" w:rsidRDefault="00712D0F" w:rsidP="00712D0F">
      <w:pPr>
        <w:pStyle w:val="ParaNum"/>
        <w:numPr>
          <w:ilvl w:val="0"/>
          <w:numId w:val="10"/>
        </w:numPr>
        <w:rPr>
          <w:szCs w:val="22"/>
        </w:rPr>
      </w:pPr>
      <w:r>
        <w:rPr>
          <w:szCs w:val="22"/>
        </w:rPr>
        <w:t xml:space="preserve">A new Section 2.949 is </w:t>
      </w:r>
      <w:r w:rsidRPr="00712D0F">
        <w:rPr>
          <w:spacing w:val="-2"/>
        </w:rPr>
        <w:t>added</w:t>
      </w:r>
      <w:r>
        <w:rPr>
          <w:szCs w:val="22"/>
        </w:rPr>
        <w:t xml:space="preserve"> to read as follows:</w:t>
      </w:r>
    </w:p>
    <w:p w:rsidR="00712D0F" w:rsidRPr="002E6007" w:rsidRDefault="00712D0F" w:rsidP="00712D0F">
      <w:pPr>
        <w:pStyle w:val="Heading5"/>
        <w:numPr>
          <w:ilvl w:val="0"/>
          <w:numId w:val="0"/>
        </w:numPr>
        <w:rPr>
          <w:szCs w:val="22"/>
        </w:rPr>
      </w:pPr>
      <w:r w:rsidRPr="002E6007">
        <w:rPr>
          <w:szCs w:val="22"/>
        </w:rPr>
        <w:t>§ </w:t>
      </w:r>
      <w:proofErr w:type="gramStart"/>
      <w:r w:rsidRPr="002E6007">
        <w:rPr>
          <w:szCs w:val="22"/>
        </w:rPr>
        <w:t>2.949  Selection</w:t>
      </w:r>
      <w:proofErr w:type="gramEnd"/>
      <w:r w:rsidRPr="002E6007">
        <w:rPr>
          <w:szCs w:val="22"/>
        </w:rPr>
        <w:t xml:space="preserve"> of laboratory accreditation bodies.</w:t>
      </w:r>
    </w:p>
    <w:p w:rsidR="003C0D82" w:rsidRDefault="003C0D82" w:rsidP="00712D0F">
      <w:pPr>
        <w:pStyle w:val="Heading5"/>
        <w:numPr>
          <w:ilvl w:val="0"/>
          <w:numId w:val="0"/>
        </w:numPr>
        <w:rPr>
          <w:b w:val="0"/>
          <w:szCs w:val="22"/>
        </w:rPr>
      </w:pPr>
      <w:r>
        <w:rPr>
          <w:b w:val="0"/>
          <w:szCs w:val="22"/>
        </w:rPr>
        <w:t xml:space="preserve">(a) </w:t>
      </w:r>
      <w:r w:rsidR="00712D0F" w:rsidRPr="002E6007">
        <w:rPr>
          <w:b w:val="0"/>
          <w:szCs w:val="22"/>
        </w:rPr>
        <w:t xml:space="preserve">A party wishing to become a laboratory accreditation body </w:t>
      </w:r>
      <w:r w:rsidR="003E189F">
        <w:rPr>
          <w:b w:val="0"/>
          <w:szCs w:val="22"/>
        </w:rPr>
        <w:t xml:space="preserve">recognized by OET </w:t>
      </w:r>
      <w:r w:rsidR="00712D0F" w:rsidRPr="002E6007">
        <w:rPr>
          <w:b w:val="0"/>
          <w:szCs w:val="22"/>
        </w:rPr>
        <w:t xml:space="preserve">must submit a </w:t>
      </w:r>
      <w:r>
        <w:rPr>
          <w:b w:val="0"/>
          <w:szCs w:val="22"/>
        </w:rPr>
        <w:t xml:space="preserve">written </w:t>
      </w:r>
      <w:r w:rsidR="00712D0F" w:rsidRPr="002E6007">
        <w:rPr>
          <w:b w:val="0"/>
          <w:szCs w:val="22"/>
        </w:rPr>
        <w:t xml:space="preserve">request to the Chief of OET requesting such recognition.  OET will make a determination based on the information provided in support of the request for recognition.  </w:t>
      </w:r>
    </w:p>
    <w:p w:rsidR="00712D0F" w:rsidRPr="002E6007" w:rsidRDefault="003C0D82" w:rsidP="00712D0F">
      <w:pPr>
        <w:pStyle w:val="Heading5"/>
        <w:numPr>
          <w:ilvl w:val="0"/>
          <w:numId w:val="0"/>
        </w:numPr>
        <w:rPr>
          <w:b w:val="0"/>
          <w:szCs w:val="22"/>
        </w:rPr>
      </w:pPr>
      <w:r>
        <w:rPr>
          <w:b w:val="0"/>
          <w:szCs w:val="22"/>
        </w:rPr>
        <w:t xml:space="preserve">(b) </w:t>
      </w:r>
      <w:r w:rsidR="006228A8">
        <w:rPr>
          <w:b w:val="0"/>
          <w:szCs w:val="22"/>
        </w:rPr>
        <w:t>Applicants shall provide t</w:t>
      </w:r>
      <w:r w:rsidR="00712D0F" w:rsidRPr="002E6007">
        <w:rPr>
          <w:b w:val="0"/>
          <w:szCs w:val="22"/>
        </w:rPr>
        <w:t xml:space="preserve">he following information </w:t>
      </w:r>
      <w:r w:rsidR="006228A8">
        <w:rPr>
          <w:b w:val="0"/>
          <w:szCs w:val="22"/>
        </w:rPr>
        <w:t>as</w:t>
      </w:r>
      <w:r w:rsidR="00712D0F" w:rsidRPr="002E6007">
        <w:rPr>
          <w:b w:val="0"/>
          <w:szCs w:val="22"/>
        </w:rPr>
        <w:t xml:space="preserve"> evidence of </w:t>
      </w:r>
      <w:r w:rsidR="001762D7">
        <w:rPr>
          <w:b w:val="0"/>
          <w:szCs w:val="22"/>
        </w:rPr>
        <w:t>their</w:t>
      </w:r>
      <w:r w:rsidR="00712D0F" w:rsidRPr="002E6007">
        <w:rPr>
          <w:b w:val="0"/>
          <w:szCs w:val="22"/>
        </w:rPr>
        <w:t xml:space="preserve"> credentials and qualifications to perform accreditation of laboratories that test equipment to Commission requirements, consistent with the requirements of Section 2.948(e) of the Commission’s rules.</w:t>
      </w:r>
      <w:r w:rsidR="006228A8">
        <w:rPr>
          <w:b w:val="0"/>
          <w:szCs w:val="22"/>
        </w:rPr>
        <w:t xml:space="preserve"> OET may request additional information, as needed, to determine the </w:t>
      </w:r>
      <w:r w:rsidR="001762D7">
        <w:rPr>
          <w:b w:val="0"/>
          <w:szCs w:val="22"/>
        </w:rPr>
        <w:t>applicant’s</w:t>
      </w:r>
      <w:r w:rsidR="006228A8">
        <w:rPr>
          <w:b w:val="0"/>
          <w:szCs w:val="22"/>
        </w:rPr>
        <w:t xml:space="preserve"> credentials and qualifications.</w:t>
      </w:r>
    </w:p>
    <w:p w:rsidR="00712D0F" w:rsidRPr="002E6007" w:rsidRDefault="00712D0F" w:rsidP="00712D0F">
      <w:pPr>
        <w:pStyle w:val="Heading5"/>
        <w:numPr>
          <w:ilvl w:val="0"/>
          <w:numId w:val="0"/>
        </w:numPr>
        <w:rPr>
          <w:b w:val="0"/>
          <w:szCs w:val="22"/>
        </w:rPr>
      </w:pPr>
      <w:r w:rsidRPr="002E6007">
        <w:rPr>
          <w:b w:val="0"/>
          <w:szCs w:val="22"/>
        </w:rPr>
        <w:t>(</w:t>
      </w:r>
      <w:r w:rsidR="003C0D82">
        <w:rPr>
          <w:b w:val="0"/>
          <w:szCs w:val="22"/>
        </w:rPr>
        <w:t>1</w:t>
      </w:r>
      <w:r w:rsidRPr="002E6007">
        <w:rPr>
          <w:b w:val="0"/>
          <w:szCs w:val="22"/>
        </w:rPr>
        <w:t xml:space="preserve">) Successful completion of an ISO/IEC 17011 peer review, such as being a signatory to the </w:t>
      </w:r>
      <w:r w:rsidRPr="007E0782">
        <w:rPr>
          <w:b w:val="0"/>
          <w:szCs w:val="22"/>
        </w:rPr>
        <w:lastRenderedPageBreak/>
        <w:t>International Laboratory Accreditation Cooperation (ILAC) Mutual Recognition Arrangement</w:t>
      </w:r>
      <w:r w:rsidRPr="002E6007">
        <w:rPr>
          <w:b w:val="0"/>
          <w:szCs w:val="22"/>
        </w:rPr>
        <w:t xml:space="preserve"> or other equivalent laboratory accreditation agreement.</w:t>
      </w:r>
    </w:p>
    <w:p w:rsidR="00712D0F" w:rsidRPr="002E6007" w:rsidRDefault="00712D0F" w:rsidP="00712D0F">
      <w:pPr>
        <w:pStyle w:val="Heading5"/>
        <w:numPr>
          <w:ilvl w:val="0"/>
          <w:numId w:val="0"/>
        </w:numPr>
        <w:rPr>
          <w:b w:val="0"/>
          <w:szCs w:val="22"/>
        </w:rPr>
      </w:pPr>
      <w:r w:rsidRPr="002E6007">
        <w:rPr>
          <w:b w:val="0"/>
          <w:szCs w:val="22"/>
        </w:rPr>
        <w:t>(</w:t>
      </w:r>
      <w:r w:rsidR="003C0D82">
        <w:rPr>
          <w:b w:val="0"/>
          <w:szCs w:val="22"/>
        </w:rPr>
        <w:t>2</w:t>
      </w:r>
      <w:r w:rsidRPr="002E6007">
        <w:rPr>
          <w:b w:val="0"/>
          <w:szCs w:val="22"/>
        </w:rPr>
        <w:t xml:space="preserve">) Experience with the accreditation of electromagnetic compatibility (EMC), radio and telecom testing laboratories to ISO/IEC 17025. This can be demonstrated by having OET staff participate in a witness audit of the accreditation body performing an assessment of an EMC/Radio/Telecom testing laboratory; or by having OET staff review the report generated by the National Institute of Standards and Technology (NIST) laboratory accreditation evaluation program conducted to support the Asia Pacific Economic Cooperation (APEC) Mutual Recognition Arrangement (MRA) for Conformity Assessment of Telecommunications Equipment.  An applicant that offers other evidence has the burden of demonstrating that the information would enable OET to evaluate its experience with the accreditation of electromagnetic compatibility (EMC), radio and telecom testing laboratories to ISO/IEC 17025.   </w:t>
      </w:r>
    </w:p>
    <w:p w:rsidR="00712D0F" w:rsidRPr="002E6007" w:rsidRDefault="00712D0F" w:rsidP="00712D0F">
      <w:pPr>
        <w:pStyle w:val="Heading5"/>
        <w:numPr>
          <w:ilvl w:val="0"/>
          <w:numId w:val="0"/>
        </w:numPr>
        <w:rPr>
          <w:b w:val="0"/>
          <w:szCs w:val="22"/>
        </w:rPr>
      </w:pPr>
      <w:r w:rsidRPr="002E6007">
        <w:rPr>
          <w:b w:val="0"/>
          <w:szCs w:val="22"/>
        </w:rPr>
        <w:t>(</w:t>
      </w:r>
      <w:r w:rsidR="003C0D82">
        <w:rPr>
          <w:b w:val="0"/>
          <w:szCs w:val="22"/>
        </w:rPr>
        <w:t>3</w:t>
      </w:r>
      <w:r w:rsidRPr="002E6007">
        <w:rPr>
          <w:b w:val="0"/>
          <w:szCs w:val="22"/>
        </w:rPr>
        <w:t>) Accreditation personnel/assessors with specific technical experience on the Commission equipment authorization rules and requirements.</w:t>
      </w:r>
    </w:p>
    <w:p w:rsidR="00712D0F" w:rsidRDefault="00712D0F" w:rsidP="00712D0F">
      <w:pPr>
        <w:pStyle w:val="Heading5"/>
        <w:numPr>
          <w:ilvl w:val="0"/>
          <w:numId w:val="0"/>
        </w:numPr>
        <w:rPr>
          <w:b w:val="0"/>
          <w:szCs w:val="22"/>
        </w:rPr>
      </w:pPr>
      <w:r w:rsidRPr="002E6007">
        <w:rPr>
          <w:b w:val="0"/>
          <w:szCs w:val="22"/>
        </w:rPr>
        <w:t>(</w:t>
      </w:r>
      <w:r w:rsidR="003C0D82">
        <w:rPr>
          <w:b w:val="0"/>
          <w:szCs w:val="22"/>
        </w:rPr>
        <w:t>4</w:t>
      </w:r>
      <w:r w:rsidRPr="002E6007">
        <w:rPr>
          <w:b w:val="0"/>
          <w:szCs w:val="22"/>
        </w:rPr>
        <w:t>) Procedures and policies developed for the accreditation of testing laboratories for FCC equipment authorization programs.</w:t>
      </w:r>
    </w:p>
    <w:p w:rsidR="00E45792" w:rsidRDefault="00E45792" w:rsidP="00E45792">
      <w:pPr>
        <w:pStyle w:val="ParaNum"/>
        <w:numPr>
          <w:ilvl w:val="0"/>
          <w:numId w:val="10"/>
        </w:numPr>
      </w:pPr>
      <w:proofErr w:type="gramStart"/>
      <w:r>
        <w:t>Section 2.953 is amended by revising paragraph (b) to read as follows</w:t>
      </w:r>
      <w:proofErr w:type="gramEnd"/>
      <w:r>
        <w:t>.</w:t>
      </w:r>
    </w:p>
    <w:p w:rsidR="00E45792" w:rsidRPr="00E45792" w:rsidRDefault="00E45792" w:rsidP="00E45792">
      <w:pPr>
        <w:pStyle w:val="ParaNum"/>
        <w:numPr>
          <w:ilvl w:val="0"/>
          <w:numId w:val="0"/>
        </w:numPr>
        <w:rPr>
          <w:b/>
        </w:rPr>
      </w:pPr>
      <w:proofErr w:type="gramStart"/>
      <w:r w:rsidRPr="00E45792">
        <w:rPr>
          <w:b/>
        </w:rPr>
        <w:t>§ 2.953   Responsibility for compliance.</w:t>
      </w:r>
      <w:proofErr w:type="gramEnd"/>
    </w:p>
    <w:p w:rsidR="00E45792" w:rsidRDefault="00E45792" w:rsidP="00E45792">
      <w:pPr>
        <w:pStyle w:val="ParaNum"/>
        <w:numPr>
          <w:ilvl w:val="0"/>
          <w:numId w:val="0"/>
        </w:numPr>
      </w:pPr>
      <w:r>
        <w:t>* * * * *</w:t>
      </w:r>
    </w:p>
    <w:p w:rsidR="00E45792" w:rsidRDefault="00E45792" w:rsidP="00E45792">
      <w:pPr>
        <w:pStyle w:val="ParaNum"/>
        <w:numPr>
          <w:ilvl w:val="0"/>
          <w:numId w:val="0"/>
        </w:numPr>
      </w:pPr>
      <w:r>
        <w:t>(b) The importer of equipment subject to verification may upon receiving a written statement from the manufacturer that the equipment complies with the appropriate technical standards rely on the manufacturer or independent testing agency to verify compliance. The test records required by §2.955 however should be in the English language and made available to the Commission upon a reasonable request, in accordance with §2.945.</w:t>
      </w:r>
    </w:p>
    <w:p w:rsidR="00E45792" w:rsidRPr="00E45792" w:rsidRDefault="00E45792" w:rsidP="00E45792">
      <w:pPr>
        <w:pStyle w:val="ParaNum"/>
        <w:numPr>
          <w:ilvl w:val="0"/>
          <w:numId w:val="0"/>
        </w:numPr>
      </w:pPr>
      <w:r>
        <w:t>* * * * *</w:t>
      </w:r>
    </w:p>
    <w:p w:rsidR="002B2BC2" w:rsidRDefault="002B2BC2" w:rsidP="002B2BC2">
      <w:pPr>
        <w:pStyle w:val="ParaNum"/>
        <w:numPr>
          <w:ilvl w:val="0"/>
          <w:numId w:val="10"/>
        </w:numPr>
      </w:pPr>
      <w:r>
        <w:t>Section 2.956 is removed.</w:t>
      </w:r>
    </w:p>
    <w:p w:rsidR="002B2BC2" w:rsidRPr="002B2BC2" w:rsidRDefault="002B2BC2" w:rsidP="002B2BC2">
      <w:pPr>
        <w:pStyle w:val="Heading5"/>
        <w:numPr>
          <w:ilvl w:val="0"/>
          <w:numId w:val="0"/>
        </w:numPr>
        <w:rPr>
          <w:szCs w:val="22"/>
        </w:rPr>
      </w:pPr>
      <w:bookmarkStart w:id="767" w:name="47:1.0.1.1.3.9.217.38"/>
      <w:r w:rsidRPr="002B2BC2">
        <w:rPr>
          <w:szCs w:val="22"/>
        </w:rPr>
        <w:t>§ 2.956   </w:t>
      </w:r>
    </w:p>
    <w:bookmarkEnd w:id="767"/>
    <w:p w:rsidR="002B2BC2" w:rsidRPr="00F85429" w:rsidRDefault="002B2BC2" w:rsidP="002B2BC2">
      <w:pPr>
        <w:pStyle w:val="ParaNum"/>
        <w:numPr>
          <w:ilvl w:val="0"/>
          <w:numId w:val="0"/>
        </w:numPr>
        <w:rPr>
          <w:b/>
          <w:szCs w:val="22"/>
        </w:rPr>
      </w:pPr>
      <w:r>
        <w:rPr>
          <w:b/>
          <w:szCs w:val="22"/>
        </w:rPr>
        <w:t>[Removed]</w:t>
      </w:r>
    </w:p>
    <w:p w:rsidR="007B3978" w:rsidRPr="00D46235" w:rsidRDefault="007B3978" w:rsidP="007B3978">
      <w:pPr>
        <w:pStyle w:val="ParaNum"/>
        <w:numPr>
          <w:ilvl w:val="0"/>
          <w:numId w:val="10"/>
        </w:numPr>
        <w:rPr>
          <w:spacing w:val="-2"/>
        </w:rPr>
      </w:pPr>
      <w:r>
        <w:t>Section 2.960 is revised</w:t>
      </w:r>
      <w:r w:rsidRPr="00D46235">
        <w:rPr>
          <w:spacing w:val="-2"/>
        </w:rPr>
        <w:t xml:space="preserve"> </w:t>
      </w:r>
      <w:r w:rsidR="008152F7">
        <w:rPr>
          <w:spacing w:val="-2"/>
        </w:rPr>
        <w:t>by amending paragraphs (a), (b) and (c)(</w:t>
      </w:r>
      <w:r w:rsidR="000B7E37">
        <w:rPr>
          <w:spacing w:val="-2"/>
        </w:rPr>
        <w:t>1</w:t>
      </w:r>
      <w:r w:rsidR="008152F7">
        <w:rPr>
          <w:spacing w:val="-2"/>
        </w:rPr>
        <w:t xml:space="preserve">) </w:t>
      </w:r>
      <w:r w:rsidRPr="00D46235">
        <w:rPr>
          <w:spacing w:val="-2"/>
        </w:rPr>
        <w:t>to read as follows:</w:t>
      </w:r>
    </w:p>
    <w:p w:rsidR="007B3978" w:rsidRPr="007B3978" w:rsidRDefault="007B3978" w:rsidP="007B3978">
      <w:pPr>
        <w:pStyle w:val="Heading5"/>
        <w:numPr>
          <w:ilvl w:val="0"/>
          <w:numId w:val="0"/>
        </w:numPr>
        <w:rPr>
          <w:szCs w:val="22"/>
        </w:rPr>
      </w:pPr>
      <w:proofErr w:type="gramStart"/>
      <w:r w:rsidRPr="007B3978">
        <w:rPr>
          <w:szCs w:val="22"/>
        </w:rPr>
        <w:t>§ 2.960   </w:t>
      </w:r>
      <w:r w:rsidR="00696538">
        <w:rPr>
          <w:szCs w:val="22"/>
        </w:rPr>
        <w:t>Recognition</w:t>
      </w:r>
      <w:r w:rsidR="00696538" w:rsidRPr="007B3978">
        <w:rPr>
          <w:szCs w:val="22"/>
        </w:rPr>
        <w:t xml:space="preserve"> </w:t>
      </w:r>
      <w:r w:rsidRPr="007B3978">
        <w:rPr>
          <w:szCs w:val="22"/>
        </w:rPr>
        <w:t>of Telecommunication Certification Bodies (TCBs).</w:t>
      </w:r>
      <w:proofErr w:type="gramEnd"/>
    </w:p>
    <w:p w:rsidR="007B3978" w:rsidRPr="007B3978" w:rsidRDefault="007B3978" w:rsidP="007B3978">
      <w:pPr>
        <w:pStyle w:val="NormalWeb"/>
        <w:rPr>
          <w:rFonts w:ascii="Times New Roman" w:hAnsi="Times New Roman"/>
          <w:sz w:val="22"/>
          <w:szCs w:val="22"/>
        </w:rPr>
      </w:pPr>
      <w:r w:rsidRPr="007B3978">
        <w:rPr>
          <w:rFonts w:ascii="Times New Roman" w:hAnsi="Times New Roman"/>
          <w:sz w:val="22"/>
          <w:szCs w:val="22"/>
        </w:rPr>
        <w:t xml:space="preserve">(a) The Commission may </w:t>
      </w:r>
      <w:r w:rsidR="00327D2F">
        <w:rPr>
          <w:rFonts w:ascii="Times New Roman" w:hAnsi="Times New Roman"/>
          <w:sz w:val="22"/>
          <w:szCs w:val="22"/>
        </w:rPr>
        <w:t>recognize</w:t>
      </w:r>
      <w:r w:rsidR="00327D2F" w:rsidRPr="007B3978">
        <w:rPr>
          <w:rFonts w:ascii="Times New Roman" w:hAnsi="Times New Roman"/>
          <w:sz w:val="22"/>
          <w:szCs w:val="22"/>
        </w:rPr>
        <w:t xml:space="preserve"> </w:t>
      </w:r>
      <w:r w:rsidR="006D3CAC">
        <w:rPr>
          <w:rFonts w:ascii="Times New Roman" w:hAnsi="Times New Roman"/>
          <w:sz w:val="22"/>
          <w:szCs w:val="22"/>
        </w:rPr>
        <w:t xml:space="preserve">designated </w:t>
      </w:r>
      <w:r w:rsidRPr="007B3978">
        <w:rPr>
          <w:rFonts w:ascii="Times New Roman" w:hAnsi="Times New Roman"/>
          <w:sz w:val="22"/>
          <w:szCs w:val="22"/>
        </w:rPr>
        <w:t xml:space="preserve">Telecommunication Certification Bodies (TCBs) to approve equipment </w:t>
      </w:r>
      <w:r w:rsidR="00D80837">
        <w:rPr>
          <w:rFonts w:ascii="Times New Roman" w:hAnsi="Times New Roman"/>
          <w:sz w:val="22"/>
          <w:szCs w:val="22"/>
        </w:rPr>
        <w:t xml:space="preserve">for certification </w:t>
      </w:r>
      <w:r w:rsidRPr="007B3978">
        <w:rPr>
          <w:rFonts w:ascii="Times New Roman" w:hAnsi="Times New Roman"/>
          <w:sz w:val="22"/>
          <w:szCs w:val="22"/>
        </w:rPr>
        <w:t xml:space="preserve">as required under this part. Certification of equipment by a TCB shall be based on an application with all the information specified in this part. The TCB shall process the application to determine </w:t>
      </w:r>
      <w:r w:rsidR="00B01853">
        <w:rPr>
          <w:rFonts w:ascii="Times New Roman" w:hAnsi="Times New Roman"/>
          <w:sz w:val="22"/>
          <w:szCs w:val="22"/>
        </w:rPr>
        <w:t>compliance with</w:t>
      </w:r>
      <w:r w:rsidRPr="007B3978">
        <w:rPr>
          <w:rFonts w:ascii="Times New Roman" w:hAnsi="Times New Roman"/>
          <w:sz w:val="22"/>
          <w:szCs w:val="22"/>
        </w:rPr>
        <w:t xml:space="preserve"> the Commission's requirements and </w:t>
      </w:r>
      <w:r w:rsidRPr="00343181">
        <w:rPr>
          <w:rFonts w:ascii="Times New Roman" w:hAnsi="Times New Roman"/>
          <w:sz w:val="22"/>
          <w:szCs w:val="22"/>
        </w:rPr>
        <w:t xml:space="preserve">shall issue a </w:t>
      </w:r>
      <w:r w:rsidR="00343181" w:rsidRPr="00343181">
        <w:rPr>
          <w:rFonts w:ascii="Times New Roman" w:hAnsi="Times New Roman"/>
          <w:sz w:val="22"/>
          <w:szCs w:val="22"/>
        </w:rPr>
        <w:t xml:space="preserve">written </w:t>
      </w:r>
      <w:r w:rsidRPr="00343181">
        <w:rPr>
          <w:rFonts w:ascii="Times New Roman" w:hAnsi="Times New Roman"/>
          <w:sz w:val="22"/>
          <w:szCs w:val="22"/>
        </w:rPr>
        <w:t>grant of equipment authorization.</w:t>
      </w:r>
      <w:r w:rsidRPr="007B3978">
        <w:rPr>
          <w:rFonts w:ascii="Times New Roman" w:hAnsi="Times New Roman"/>
          <w:sz w:val="22"/>
          <w:szCs w:val="22"/>
        </w:rPr>
        <w:t xml:space="preserve"> The grant shall identify the </w:t>
      </w:r>
      <w:r w:rsidR="00BC46BF">
        <w:rPr>
          <w:rFonts w:ascii="Times New Roman" w:hAnsi="Times New Roman"/>
          <w:sz w:val="22"/>
          <w:szCs w:val="22"/>
        </w:rPr>
        <w:t xml:space="preserve">approving </w:t>
      </w:r>
      <w:r w:rsidRPr="007B3978">
        <w:rPr>
          <w:rFonts w:ascii="Times New Roman" w:hAnsi="Times New Roman"/>
          <w:sz w:val="22"/>
          <w:szCs w:val="22"/>
        </w:rPr>
        <w:t xml:space="preserve">TCB and the </w:t>
      </w:r>
      <w:r w:rsidR="00BC46BF">
        <w:rPr>
          <w:rFonts w:ascii="Times New Roman" w:hAnsi="Times New Roman"/>
          <w:sz w:val="22"/>
          <w:szCs w:val="22"/>
        </w:rPr>
        <w:t>Commission as the issuing authority</w:t>
      </w:r>
      <w:r w:rsidRPr="007B3978">
        <w:rPr>
          <w:rFonts w:ascii="Times New Roman" w:hAnsi="Times New Roman"/>
          <w:sz w:val="22"/>
          <w:szCs w:val="22"/>
        </w:rPr>
        <w:t>.</w:t>
      </w:r>
    </w:p>
    <w:p w:rsidR="007B3978" w:rsidRPr="007B3978" w:rsidRDefault="007B3978" w:rsidP="007B3978">
      <w:pPr>
        <w:pStyle w:val="NormalWeb"/>
        <w:rPr>
          <w:rFonts w:ascii="Times New Roman" w:hAnsi="Times New Roman"/>
          <w:sz w:val="22"/>
          <w:szCs w:val="22"/>
        </w:rPr>
      </w:pPr>
      <w:r w:rsidRPr="007B3978">
        <w:rPr>
          <w:rFonts w:ascii="Times New Roman" w:hAnsi="Times New Roman"/>
          <w:sz w:val="22"/>
          <w:szCs w:val="22"/>
        </w:rPr>
        <w:t xml:space="preserve">(b) </w:t>
      </w:r>
      <w:r w:rsidR="00327D2F">
        <w:rPr>
          <w:rFonts w:ascii="Times New Roman" w:hAnsi="Times New Roman"/>
          <w:sz w:val="22"/>
          <w:szCs w:val="22"/>
        </w:rPr>
        <w:t>In the United States,</w:t>
      </w:r>
      <w:r w:rsidRPr="007B3978">
        <w:rPr>
          <w:rFonts w:ascii="Times New Roman" w:hAnsi="Times New Roman"/>
          <w:sz w:val="22"/>
          <w:szCs w:val="22"/>
        </w:rPr>
        <w:t xml:space="preserve"> TCBs shall be accredited </w:t>
      </w:r>
      <w:r w:rsidR="00327D2F">
        <w:rPr>
          <w:rFonts w:ascii="Times New Roman" w:hAnsi="Times New Roman"/>
          <w:sz w:val="22"/>
          <w:szCs w:val="22"/>
        </w:rPr>
        <w:t xml:space="preserve">and designated </w:t>
      </w:r>
      <w:r w:rsidRPr="007B3978">
        <w:rPr>
          <w:rFonts w:ascii="Times New Roman" w:hAnsi="Times New Roman"/>
          <w:sz w:val="22"/>
          <w:szCs w:val="22"/>
        </w:rPr>
        <w:t>by the National Institute of Standards and Technology (NIST) under its National Voluntary Conformity Assessment Evaluation (NVCASE) program, or other recognized programs based on ISO/IEC 17065, to comply with the Commission's qualification criteria for TCBs. NIST may, in accordance with its procedures, allow other appropriately qualified accrediting bodies to accredit TCBs.</w:t>
      </w:r>
      <w:r w:rsidR="00327D2F">
        <w:rPr>
          <w:rFonts w:ascii="Times New Roman" w:hAnsi="Times New Roman"/>
          <w:sz w:val="22"/>
          <w:szCs w:val="22"/>
        </w:rPr>
        <w:t xml:space="preserve"> </w:t>
      </w:r>
      <w:r w:rsidRPr="007B3978">
        <w:rPr>
          <w:rFonts w:ascii="Times New Roman" w:hAnsi="Times New Roman"/>
          <w:sz w:val="22"/>
          <w:szCs w:val="22"/>
        </w:rPr>
        <w:t xml:space="preserve"> TCBs shall comply with the requirements in §2.962 of this part.</w:t>
      </w:r>
    </w:p>
    <w:p w:rsidR="007B3978" w:rsidRPr="007B3978" w:rsidRDefault="007B3978" w:rsidP="007B3978">
      <w:pPr>
        <w:pStyle w:val="NormalWeb"/>
        <w:rPr>
          <w:rFonts w:ascii="Times New Roman" w:hAnsi="Times New Roman"/>
          <w:sz w:val="22"/>
          <w:szCs w:val="22"/>
        </w:rPr>
      </w:pPr>
      <w:r w:rsidRPr="007B3978">
        <w:rPr>
          <w:rFonts w:ascii="Times New Roman" w:hAnsi="Times New Roman"/>
          <w:sz w:val="22"/>
          <w:szCs w:val="22"/>
        </w:rPr>
        <w:lastRenderedPageBreak/>
        <w:t xml:space="preserve">(c) </w:t>
      </w:r>
      <w:r w:rsidR="008152F7">
        <w:rPr>
          <w:rFonts w:ascii="Times New Roman" w:hAnsi="Times New Roman"/>
          <w:sz w:val="22"/>
          <w:szCs w:val="22"/>
        </w:rPr>
        <w:t>* * *</w:t>
      </w:r>
    </w:p>
    <w:p w:rsidR="007B3978" w:rsidRPr="008152F7" w:rsidRDefault="007B3978" w:rsidP="007B3978">
      <w:pPr>
        <w:pStyle w:val="NormalWeb"/>
        <w:rPr>
          <w:rFonts w:ascii="Times New Roman" w:hAnsi="Times New Roman"/>
          <w:sz w:val="22"/>
          <w:szCs w:val="22"/>
        </w:rPr>
      </w:pPr>
      <w:r w:rsidRPr="008152F7">
        <w:rPr>
          <w:rFonts w:ascii="Times New Roman" w:hAnsi="Times New Roman"/>
          <w:sz w:val="22"/>
          <w:szCs w:val="22"/>
        </w:rPr>
        <w:t>(1) The organization accrediting the prospective telecommunication certification body shall be capable of meeting the requirements and conditions of ISO/IEC 17011.</w:t>
      </w:r>
    </w:p>
    <w:p w:rsidR="007B3978" w:rsidRDefault="008152F7" w:rsidP="007B3978">
      <w:pPr>
        <w:pStyle w:val="NormalWeb"/>
        <w:rPr>
          <w:rFonts w:ascii="Times New Roman" w:hAnsi="Times New Roman"/>
          <w:sz w:val="22"/>
          <w:szCs w:val="22"/>
        </w:rPr>
      </w:pPr>
      <w:r>
        <w:rPr>
          <w:rFonts w:ascii="Times New Roman" w:hAnsi="Times New Roman"/>
          <w:sz w:val="22"/>
          <w:szCs w:val="22"/>
        </w:rPr>
        <w:t>* * * * *</w:t>
      </w:r>
    </w:p>
    <w:p w:rsidR="005B72C1" w:rsidRPr="008152F7" w:rsidRDefault="005B72C1" w:rsidP="005B72C1">
      <w:pPr>
        <w:pStyle w:val="ParaNum"/>
        <w:numPr>
          <w:ilvl w:val="0"/>
          <w:numId w:val="10"/>
        </w:numPr>
        <w:rPr>
          <w:szCs w:val="22"/>
        </w:rPr>
      </w:pPr>
      <w:r>
        <w:rPr>
          <w:szCs w:val="22"/>
        </w:rPr>
        <w:t xml:space="preserve">Section 2.962 is revised to </w:t>
      </w:r>
      <w:r w:rsidRPr="005B72C1">
        <w:t>read</w:t>
      </w:r>
      <w:r>
        <w:rPr>
          <w:szCs w:val="22"/>
        </w:rPr>
        <w:t xml:space="preserve"> as follows:</w:t>
      </w:r>
    </w:p>
    <w:p w:rsidR="007B3978" w:rsidRPr="005B72C1" w:rsidRDefault="007B3978" w:rsidP="005B72C1">
      <w:pPr>
        <w:pStyle w:val="Heading5"/>
        <w:numPr>
          <w:ilvl w:val="0"/>
          <w:numId w:val="0"/>
        </w:numPr>
        <w:rPr>
          <w:szCs w:val="22"/>
        </w:rPr>
      </w:pPr>
      <w:proofErr w:type="gramStart"/>
      <w:r w:rsidRPr="005B72C1">
        <w:rPr>
          <w:szCs w:val="22"/>
        </w:rPr>
        <w:t>§ 2.962   Requirements for Telecommunication Certification Bodies.</w:t>
      </w:r>
      <w:proofErr w:type="gramEnd"/>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(a) Telecommunication certification bodies (TCBs) designated by </w:t>
      </w:r>
      <w:r w:rsidR="006D3CAC">
        <w:rPr>
          <w:rFonts w:ascii="Times New Roman" w:hAnsi="Times New Roman"/>
          <w:sz w:val="22"/>
          <w:szCs w:val="22"/>
        </w:rPr>
        <w:t>NIST</w:t>
      </w:r>
      <w:r w:rsidRPr="005B72C1">
        <w:rPr>
          <w:rFonts w:ascii="Times New Roman" w:hAnsi="Times New Roman"/>
          <w:sz w:val="22"/>
          <w:szCs w:val="22"/>
        </w:rPr>
        <w:t>, or designated by another authority pursuant to an effective bilateral or multilateral mutual recognition agreement or arrangement to which the United States is a party, shall comply with the following requirements.</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(b) </w:t>
      </w:r>
      <w:r w:rsidRPr="005B72C1">
        <w:rPr>
          <w:rFonts w:ascii="Times New Roman" w:hAnsi="Times New Roman"/>
          <w:i/>
          <w:iCs/>
          <w:sz w:val="22"/>
          <w:szCs w:val="22"/>
        </w:rPr>
        <w:t xml:space="preserve">Certification methodology. </w:t>
      </w:r>
      <w:r w:rsidRPr="005B72C1">
        <w:rPr>
          <w:rFonts w:ascii="Times New Roman" w:hAnsi="Times New Roman"/>
          <w:sz w:val="22"/>
          <w:szCs w:val="22"/>
        </w:rPr>
        <w:t>(1) The certification system shall be based on type testing as identified in ISO/IEC 17065.</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(2) Certification shall normally be based on testing no more than one unmodified representative sample of each product type for which certification is sought. Additional samples may be requested if clearly warranted, such as when certain tests are likely to render a sample inoperative.</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(c) </w:t>
      </w:r>
      <w:r w:rsidRPr="005B72C1">
        <w:rPr>
          <w:rFonts w:ascii="Times New Roman" w:hAnsi="Times New Roman"/>
          <w:i/>
          <w:iCs/>
          <w:sz w:val="22"/>
          <w:szCs w:val="22"/>
        </w:rPr>
        <w:t xml:space="preserve">Criteria for Designation. </w:t>
      </w:r>
      <w:r w:rsidRPr="005B72C1">
        <w:rPr>
          <w:rFonts w:ascii="Times New Roman" w:hAnsi="Times New Roman"/>
          <w:sz w:val="22"/>
          <w:szCs w:val="22"/>
        </w:rPr>
        <w:t>(1) To be designated as a TCB under this section, an entity shall, by means of accreditation, meet all the appropriate specifications in ISO/IEC 17065 for the scope of equipment it will certify. The accreditation shall specify the group of equipment to be certified and the applicable regulations for product evaluation.</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(2) The TCB shall demonstrate expert knowledge of the regulations for each product with respect to which the body seeks designation. Such expertise shall include familiarity with all applicable technical regulations, administrative provisions or requirements, as well as the policies and procedures used in the application thereof.</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(3) The TCB shall have the technical expertise and capability to test the equipment it will certify and shall also be accredited in accordance with ISO/IEC 17025 to demonstrate it is competent to perform such tests.</w:t>
      </w:r>
      <w:r w:rsidR="00BF49EA">
        <w:rPr>
          <w:rFonts w:ascii="Times New Roman" w:hAnsi="Times New Roman"/>
          <w:sz w:val="22"/>
          <w:szCs w:val="22"/>
        </w:rPr>
        <w:t xml:space="preserve"> </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(4) The TCB shall demonstrate an ability to recognize situations where interpretations of the regulations or test procedures may be necessary. The appropriate key certification and laboratory personnel shall demonstrate knowledge of how to obtain current and correct technical regulation interpretations. The competence of the </w:t>
      </w:r>
      <w:r w:rsidR="004B6085">
        <w:rPr>
          <w:rFonts w:ascii="Times New Roman" w:hAnsi="Times New Roman"/>
          <w:sz w:val="22"/>
          <w:szCs w:val="22"/>
        </w:rPr>
        <w:t>TCB</w:t>
      </w:r>
      <w:r w:rsidRPr="005B72C1">
        <w:rPr>
          <w:rFonts w:ascii="Times New Roman" w:hAnsi="Times New Roman"/>
          <w:sz w:val="22"/>
          <w:szCs w:val="22"/>
        </w:rPr>
        <w:t xml:space="preserve"> shall be demonstrated by assessment. The general competence, efficiency, experience, familiarity with technical regulations and products included in those technical regulations, as well as compliance with applicable parts of the ISO/IEC 17025 and ISO/IEC 17065, shall be taken into consideration.</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(5) A TCB shall participate in any consultative activities, identified by the Commission or NIST, to facilitate a common understanding and interpretation of applicable regulations.</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(6) The Commission will provide public notice of the specific methods that will be used to accredit TCBs, consistent with these qualification criteria.</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lastRenderedPageBreak/>
        <w:t>(7) A TCB shall be reassessed for continued accreditation on intervals not exceeding two years.</w:t>
      </w:r>
    </w:p>
    <w:p w:rsidR="000F41E5"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(d) </w:t>
      </w:r>
      <w:r w:rsidR="000F41E5">
        <w:rPr>
          <w:rFonts w:ascii="Times New Roman" w:hAnsi="Times New Roman"/>
          <w:i/>
          <w:iCs/>
          <w:sz w:val="22"/>
          <w:szCs w:val="22"/>
        </w:rPr>
        <w:t>External resources</w:t>
      </w:r>
      <w:r w:rsidRPr="005B72C1">
        <w:rPr>
          <w:rFonts w:ascii="Times New Roman" w:hAnsi="Times New Roman"/>
          <w:i/>
          <w:iCs/>
          <w:sz w:val="22"/>
          <w:szCs w:val="22"/>
        </w:rPr>
        <w:t xml:space="preserve">. </w:t>
      </w:r>
      <w:r w:rsidRPr="005B72C1">
        <w:rPr>
          <w:rFonts w:ascii="Times New Roman" w:hAnsi="Times New Roman"/>
          <w:sz w:val="22"/>
          <w:szCs w:val="22"/>
        </w:rPr>
        <w:t xml:space="preserve">(1) In accordance with the provisions of ISO/IEC 17065, the </w:t>
      </w:r>
      <w:r w:rsidR="000F41E5">
        <w:rPr>
          <w:rFonts w:ascii="Times New Roman" w:hAnsi="Times New Roman"/>
          <w:sz w:val="22"/>
          <w:szCs w:val="22"/>
        </w:rPr>
        <w:t>evaluation</w:t>
      </w:r>
      <w:r w:rsidRPr="005B72C1">
        <w:rPr>
          <w:rFonts w:ascii="Times New Roman" w:hAnsi="Times New Roman"/>
          <w:sz w:val="22"/>
          <w:szCs w:val="22"/>
        </w:rPr>
        <w:t xml:space="preserve"> of a product, or a portion thereof, may be performed by </w:t>
      </w:r>
      <w:r w:rsidR="000F41E5">
        <w:rPr>
          <w:rFonts w:ascii="Times New Roman" w:hAnsi="Times New Roman"/>
          <w:sz w:val="22"/>
          <w:szCs w:val="22"/>
        </w:rPr>
        <w:t xml:space="preserve">bodies that meet the applicable requirements of ISO/IEC 17025 and ISO/IEC 17065, </w:t>
      </w:r>
      <w:r w:rsidRPr="005B72C1">
        <w:rPr>
          <w:rFonts w:ascii="Times New Roman" w:hAnsi="Times New Roman"/>
          <w:sz w:val="22"/>
          <w:szCs w:val="22"/>
        </w:rPr>
        <w:t xml:space="preserve">in </w:t>
      </w:r>
      <w:r w:rsidR="000F41E5">
        <w:rPr>
          <w:rFonts w:ascii="Times New Roman" w:hAnsi="Times New Roman"/>
          <w:sz w:val="22"/>
          <w:szCs w:val="22"/>
        </w:rPr>
        <w:t>accordance</w:t>
      </w:r>
      <w:r w:rsidR="000F41E5" w:rsidRPr="005B72C1">
        <w:rPr>
          <w:rFonts w:ascii="Times New Roman" w:hAnsi="Times New Roman"/>
          <w:sz w:val="22"/>
          <w:szCs w:val="22"/>
        </w:rPr>
        <w:t xml:space="preserve"> </w:t>
      </w:r>
      <w:r w:rsidRPr="005B72C1">
        <w:rPr>
          <w:rFonts w:ascii="Times New Roman" w:hAnsi="Times New Roman"/>
          <w:sz w:val="22"/>
          <w:szCs w:val="22"/>
        </w:rPr>
        <w:t>with the applicable provisions of ISO/IEC 17065</w:t>
      </w:r>
      <w:r w:rsidR="00765BF9">
        <w:rPr>
          <w:rFonts w:ascii="Times New Roman" w:hAnsi="Times New Roman"/>
          <w:sz w:val="22"/>
          <w:szCs w:val="22"/>
        </w:rPr>
        <w:t xml:space="preserve"> for external resources (outsourcing)</w:t>
      </w:r>
      <w:r w:rsidRPr="005B72C1">
        <w:rPr>
          <w:rFonts w:ascii="Times New Roman" w:hAnsi="Times New Roman"/>
          <w:sz w:val="22"/>
          <w:szCs w:val="22"/>
        </w:rPr>
        <w:t xml:space="preserve"> and other relevant standards.</w:t>
      </w:r>
      <w:r w:rsidR="0062642F">
        <w:rPr>
          <w:rFonts w:ascii="Times New Roman" w:hAnsi="Times New Roman"/>
          <w:sz w:val="22"/>
          <w:szCs w:val="22"/>
        </w:rPr>
        <w:t xml:space="preserve">  </w:t>
      </w:r>
    </w:p>
    <w:p w:rsidR="007B3978" w:rsidRPr="005B72C1" w:rsidRDefault="000F41E5" w:rsidP="007B3978">
      <w:pPr>
        <w:pStyle w:val="NormalWeb"/>
        <w:rPr>
          <w:rFonts w:ascii="Times New Roman" w:hAnsi="Times New Roman"/>
          <w:sz w:val="22"/>
          <w:szCs w:val="22"/>
        </w:rPr>
      </w:pPr>
      <w:r>
        <w:rPr>
          <w:rFonts w:ascii="Times New Roman" w:hAnsi="Times New Roman"/>
          <w:sz w:val="22"/>
          <w:szCs w:val="22"/>
        </w:rPr>
        <w:t xml:space="preserve">(2) </w:t>
      </w:r>
      <w:r w:rsidR="0062642F">
        <w:rPr>
          <w:rFonts w:ascii="Times New Roman" w:hAnsi="Times New Roman"/>
          <w:sz w:val="22"/>
          <w:szCs w:val="22"/>
        </w:rPr>
        <w:t>A recognized TCB shall not sub-contract certification decision activities.</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0F41E5">
        <w:rPr>
          <w:rFonts w:ascii="Times New Roman" w:hAnsi="Times New Roman"/>
          <w:sz w:val="22"/>
          <w:szCs w:val="22"/>
        </w:rPr>
        <w:t>3</w:t>
      </w:r>
      <w:r w:rsidRPr="005B72C1">
        <w:rPr>
          <w:rFonts w:ascii="Times New Roman" w:hAnsi="Times New Roman"/>
          <w:sz w:val="22"/>
          <w:szCs w:val="22"/>
        </w:rPr>
        <w:t>) When a subcontractor is used</w:t>
      </w:r>
      <w:r w:rsidR="00261D86">
        <w:rPr>
          <w:rFonts w:ascii="Times New Roman" w:hAnsi="Times New Roman"/>
          <w:sz w:val="22"/>
          <w:szCs w:val="22"/>
        </w:rPr>
        <w:t xml:space="preserve"> to provide testing of equipment subject to </w:t>
      </w:r>
      <w:r w:rsidR="009C790D">
        <w:rPr>
          <w:rFonts w:ascii="Times New Roman" w:hAnsi="Times New Roman"/>
          <w:sz w:val="22"/>
          <w:szCs w:val="22"/>
        </w:rPr>
        <w:t>certification,</w:t>
      </w:r>
      <w:r w:rsidRPr="005B72C1">
        <w:rPr>
          <w:rFonts w:ascii="Times New Roman" w:hAnsi="Times New Roman"/>
          <w:sz w:val="22"/>
          <w:szCs w:val="22"/>
        </w:rPr>
        <w:t xml:space="preserve"> the TCB shall be responsible for the test results and shall maintain appropriate oversight of the subcontractor to ensure reliability of the test results. </w:t>
      </w:r>
      <w:r w:rsidR="008A7CA1">
        <w:rPr>
          <w:rFonts w:ascii="Times New Roman" w:hAnsi="Times New Roman"/>
          <w:sz w:val="22"/>
          <w:szCs w:val="22"/>
        </w:rPr>
        <w:t xml:space="preserve"> </w:t>
      </w:r>
      <w:r w:rsidRPr="005B72C1">
        <w:rPr>
          <w:rFonts w:ascii="Times New Roman" w:hAnsi="Times New Roman"/>
          <w:sz w:val="22"/>
          <w:szCs w:val="22"/>
        </w:rPr>
        <w:t>Such oversight shall include periodic audits of products that have been tested</w:t>
      </w:r>
      <w:r w:rsidR="000F41E5">
        <w:rPr>
          <w:rFonts w:ascii="Times New Roman" w:hAnsi="Times New Roman"/>
          <w:sz w:val="22"/>
          <w:szCs w:val="22"/>
        </w:rPr>
        <w:t xml:space="preserve"> and other activities as required in ISO/IEC 17065</w:t>
      </w:r>
      <w:r w:rsidR="00261D86">
        <w:rPr>
          <w:rFonts w:ascii="Times New Roman" w:hAnsi="Times New Roman"/>
          <w:sz w:val="22"/>
          <w:szCs w:val="22"/>
        </w:rPr>
        <w:t xml:space="preserve"> when a certification body uses external resources</w:t>
      </w:r>
      <w:r w:rsidR="008A7CA1">
        <w:rPr>
          <w:rFonts w:ascii="Times New Roman" w:hAnsi="Times New Roman"/>
          <w:sz w:val="22"/>
          <w:szCs w:val="22"/>
        </w:rPr>
        <w:t xml:space="preserve"> for evaluation</w:t>
      </w:r>
      <w:r w:rsidRPr="005B72C1">
        <w:rPr>
          <w:rFonts w:ascii="Times New Roman" w:hAnsi="Times New Roman"/>
          <w:sz w:val="22"/>
          <w:szCs w:val="22"/>
        </w:rPr>
        <w:t>.</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(e) </w:t>
      </w:r>
      <w:r w:rsidR="0062642F">
        <w:rPr>
          <w:rFonts w:ascii="Times New Roman" w:hAnsi="Times New Roman"/>
          <w:i/>
          <w:iCs/>
          <w:sz w:val="22"/>
          <w:szCs w:val="22"/>
        </w:rPr>
        <w:t>Recognition</w:t>
      </w:r>
      <w:r w:rsidR="0062642F" w:rsidRPr="005B72C1">
        <w:rPr>
          <w:rFonts w:ascii="Times New Roman" w:hAnsi="Times New Roman"/>
          <w:i/>
          <w:iCs/>
          <w:sz w:val="22"/>
          <w:szCs w:val="22"/>
        </w:rPr>
        <w:t xml:space="preserve"> </w:t>
      </w:r>
      <w:r w:rsidRPr="005B72C1">
        <w:rPr>
          <w:rFonts w:ascii="Times New Roman" w:hAnsi="Times New Roman"/>
          <w:i/>
          <w:iCs/>
          <w:sz w:val="22"/>
          <w:szCs w:val="22"/>
        </w:rPr>
        <w:t xml:space="preserve">of a TCB. </w:t>
      </w:r>
      <w:r w:rsidRPr="005B72C1">
        <w:rPr>
          <w:rFonts w:ascii="Times New Roman" w:hAnsi="Times New Roman"/>
          <w:sz w:val="22"/>
          <w:szCs w:val="22"/>
        </w:rPr>
        <w:t>(1)(</w:t>
      </w:r>
      <w:proofErr w:type="gramStart"/>
      <w:r w:rsidRPr="005B72C1">
        <w:rPr>
          <w:rFonts w:ascii="Times New Roman" w:hAnsi="Times New Roman"/>
          <w:sz w:val="22"/>
          <w:szCs w:val="22"/>
        </w:rPr>
        <w:t>i)</w:t>
      </w:r>
      <w:proofErr w:type="gramEnd"/>
      <w:r w:rsidRPr="005B72C1">
        <w:rPr>
          <w:rFonts w:ascii="Times New Roman" w:hAnsi="Times New Roman"/>
          <w:sz w:val="22"/>
          <w:szCs w:val="22"/>
        </w:rPr>
        <w:t xml:space="preserve">The Commission will </w:t>
      </w:r>
      <w:r w:rsidR="0062642F">
        <w:rPr>
          <w:rFonts w:ascii="Times New Roman" w:hAnsi="Times New Roman"/>
          <w:sz w:val="22"/>
          <w:szCs w:val="22"/>
        </w:rPr>
        <w:t>recognize</w:t>
      </w:r>
      <w:r w:rsidR="0062642F" w:rsidRPr="005B72C1">
        <w:rPr>
          <w:rFonts w:ascii="Times New Roman" w:hAnsi="Times New Roman"/>
          <w:sz w:val="22"/>
          <w:szCs w:val="22"/>
        </w:rPr>
        <w:t xml:space="preserve"> </w:t>
      </w:r>
      <w:r w:rsidRPr="005B72C1">
        <w:rPr>
          <w:rFonts w:ascii="Times New Roman" w:hAnsi="Times New Roman"/>
          <w:sz w:val="22"/>
          <w:szCs w:val="22"/>
        </w:rPr>
        <w:t xml:space="preserve">as a TCB any organization in the United States that meets the qualification criteria and is accredited </w:t>
      </w:r>
      <w:r w:rsidR="0062642F">
        <w:rPr>
          <w:rFonts w:ascii="Times New Roman" w:hAnsi="Times New Roman"/>
          <w:sz w:val="22"/>
          <w:szCs w:val="22"/>
        </w:rPr>
        <w:t xml:space="preserve">and designated </w:t>
      </w:r>
      <w:r w:rsidRPr="005B72C1">
        <w:rPr>
          <w:rFonts w:ascii="Times New Roman" w:hAnsi="Times New Roman"/>
          <w:sz w:val="22"/>
          <w:szCs w:val="22"/>
        </w:rPr>
        <w:t xml:space="preserve">by NIST or </w:t>
      </w:r>
      <w:r w:rsidR="0062642F">
        <w:rPr>
          <w:rFonts w:ascii="Times New Roman" w:hAnsi="Times New Roman"/>
          <w:sz w:val="22"/>
          <w:szCs w:val="22"/>
        </w:rPr>
        <w:t>NIST’s</w:t>
      </w:r>
      <w:r w:rsidR="0062642F" w:rsidRPr="005B72C1">
        <w:rPr>
          <w:rFonts w:ascii="Times New Roman" w:hAnsi="Times New Roman"/>
          <w:sz w:val="22"/>
          <w:szCs w:val="22"/>
        </w:rPr>
        <w:t xml:space="preserve"> </w:t>
      </w:r>
      <w:r w:rsidRPr="005B72C1">
        <w:rPr>
          <w:rFonts w:ascii="Times New Roman" w:hAnsi="Times New Roman"/>
          <w:sz w:val="22"/>
          <w:szCs w:val="22"/>
        </w:rPr>
        <w:t>recognized accreditor as provided in §2.960(b) of this chapter.</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proofErr w:type="gramStart"/>
      <w:r w:rsidRPr="005B72C1">
        <w:rPr>
          <w:rFonts w:ascii="Times New Roman" w:hAnsi="Times New Roman"/>
          <w:sz w:val="22"/>
          <w:szCs w:val="22"/>
        </w:rPr>
        <w:t>ii)</w:t>
      </w:r>
      <w:proofErr w:type="gramEnd"/>
      <w:r w:rsidRPr="005B72C1">
        <w:rPr>
          <w:rFonts w:ascii="Times New Roman" w:hAnsi="Times New Roman"/>
          <w:sz w:val="22"/>
          <w:szCs w:val="22"/>
        </w:rPr>
        <w:t>The Commission will recognize as a TCB any organization outside the United States that meets the qualification criteria and is designated pursuant to an effective bilateral or multilateral MRA as provided in §2.960(c) of this chapter.</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(2) The Commission will withdraw its recognition of a TCB if the TCB's </w:t>
      </w:r>
      <w:r w:rsidR="0062642F">
        <w:rPr>
          <w:rFonts w:ascii="Times New Roman" w:hAnsi="Times New Roman"/>
          <w:sz w:val="22"/>
          <w:szCs w:val="22"/>
        </w:rPr>
        <w:t xml:space="preserve">designation or </w:t>
      </w:r>
      <w:r w:rsidRPr="005B72C1">
        <w:rPr>
          <w:rFonts w:ascii="Times New Roman" w:hAnsi="Times New Roman"/>
          <w:sz w:val="22"/>
          <w:szCs w:val="22"/>
        </w:rPr>
        <w:t xml:space="preserve">accreditation is withdrawn, if the Commission determines there is just cause for withdrawing the recognition, or if the TCB requests that it no longer hold </w:t>
      </w:r>
      <w:r w:rsidR="00447874">
        <w:rPr>
          <w:rFonts w:ascii="Times New Roman" w:hAnsi="Times New Roman"/>
          <w:sz w:val="22"/>
          <w:szCs w:val="22"/>
        </w:rPr>
        <w:t>its</w:t>
      </w:r>
      <w:r w:rsidR="00447874" w:rsidRPr="005B72C1">
        <w:rPr>
          <w:rFonts w:ascii="Times New Roman" w:hAnsi="Times New Roman"/>
          <w:sz w:val="22"/>
          <w:szCs w:val="22"/>
        </w:rPr>
        <w:t xml:space="preserve"> </w:t>
      </w:r>
      <w:r w:rsidRPr="005B72C1">
        <w:rPr>
          <w:rFonts w:ascii="Times New Roman" w:hAnsi="Times New Roman"/>
          <w:sz w:val="22"/>
          <w:szCs w:val="22"/>
        </w:rPr>
        <w:t>designation</w:t>
      </w:r>
      <w:r w:rsidR="00D80837">
        <w:rPr>
          <w:rFonts w:ascii="Times New Roman" w:hAnsi="Times New Roman"/>
          <w:sz w:val="22"/>
          <w:szCs w:val="22"/>
        </w:rPr>
        <w:t xml:space="preserve"> or recognition</w:t>
      </w:r>
      <w:r w:rsidRPr="005B72C1">
        <w:rPr>
          <w:rFonts w:ascii="Times New Roman" w:hAnsi="Times New Roman"/>
          <w:sz w:val="22"/>
          <w:szCs w:val="22"/>
        </w:rPr>
        <w:t xml:space="preserve">. The Commission will limit the scope of equipment that can be approved by a TCB if its accreditor limits the scope of its accreditation or if the Commission determines there is </w:t>
      </w:r>
      <w:r w:rsidR="000B7E37">
        <w:rPr>
          <w:rFonts w:ascii="Times New Roman" w:hAnsi="Times New Roman"/>
          <w:sz w:val="22"/>
          <w:szCs w:val="22"/>
        </w:rPr>
        <w:t>good</w:t>
      </w:r>
      <w:r w:rsidRPr="005B72C1">
        <w:rPr>
          <w:rFonts w:ascii="Times New Roman" w:hAnsi="Times New Roman"/>
          <w:sz w:val="22"/>
          <w:szCs w:val="22"/>
        </w:rPr>
        <w:t xml:space="preserve"> cause to do so.  The Commission </w:t>
      </w:r>
      <w:r w:rsidR="00431D34">
        <w:rPr>
          <w:rFonts w:ascii="Times New Roman" w:hAnsi="Times New Roman"/>
          <w:sz w:val="22"/>
          <w:szCs w:val="22"/>
        </w:rPr>
        <w:t xml:space="preserve">will </w:t>
      </w:r>
      <w:r w:rsidR="00D80837">
        <w:rPr>
          <w:rFonts w:ascii="Times New Roman" w:hAnsi="Times New Roman"/>
          <w:sz w:val="22"/>
          <w:szCs w:val="22"/>
        </w:rPr>
        <w:t>notify a TCB</w:t>
      </w:r>
      <w:r w:rsidRPr="005B72C1">
        <w:rPr>
          <w:rFonts w:ascii="Times New Roman" w:hAnsi="Times New Roman"/>
          <w:sz w:val="22"/>
          <w:szCs w:val="22"/>
        </w:rPr>
        <w:t xml:space="preserve"> </w:t>
      </w:r>
      <w:r w:rsidR="00431D34">
        <w:rPr>
          <w:rFonts w:ascii="Times New Roman" w:hAnsi="Times New Roman"/>
          <w:sz w:val="22"/>
          <w:szCs w:val="22"/>
        </w:rPr>
        <w:t xml:space="preserve">in writing </w:t>
      </w:r>
      <w:r w:rsidRPr="005B72C1">
        <w:rPr>
          <w:rFonts w:ascii="Times New Roman" w:hAnsi="Times New Roman"/>
          <w:sz w:val="22"/>
          <w:szCs w:val="22"/>
        </w:rPr>
        <w:t xml:space="preserve">of its intention to withdraw or limit the scope of </w:t>
      </w:r>
      <w:r w:rsidR="00D80837">
        <w:rPr>
          <w:rFonts w:ascii="Times New Roman" w:hAnsi="Times New Roman"/>
          <w:sz w:val="22"/>
          <w:szCs w:val="22"/>
        </w:rPr>
        <w:t>the TCB’s</w:t>
      </w:r>
      <w:r w:rsidRPr="005B72C1">
        <w:rPr>
          <w:rFonts w:ascii="Times New Roman" w:hAnsi="Times New Roman"/>
          <w:sz w:val="22"/>
          <w:szCs w:val="22"/>
        </w:rPr>
        <w:t xml:space="preserve"> recognition and provide </w:t>
      </w:r>
      <w:r w:rsidR="00D80837">
        <w:rPr>
          <w:rFonts w:ascii="Times New Roman" w:hAnsi="Times New Roman"/>
          <w:sz w:val="22"/>
          <w:szCs w:val="22"/>
        </w:rPr>
        <w:t xml:space="preserve">at least </w:t>
      </w:r>
      <w:r w:rsidR="0062642F">
        <w:rPr>
          <w:rFonts w:ascii="Times New Roman" w:hAnsi="Times New Roman"/>
          <w:sz w:val="22"/>
          <w:szCs w:val="22"/>
        </w:rPr>
        <w:t xml:space="preserve">60 </w:t>
      </w:r>
      <w:r w:rsidR="00D80837">
        <w:rPr>
          <w:rFonts w:ascii="Times New Roman" w:hAnsi="Times New Roman"/>
          <w:sz w:val="22"/>
          <w:szCs w:val="22"/>
        </w:rPr>
        <w:t>days</w:t>
      </w:r>
      <w:r w:rsidRPr="005B72C1">
        <w:rPr>
          <w:rFonts w:ascii="Times New Roman" w:hAnsi="Times New Roman"/>
          <w:sz w:val="22"/>
          <w:szCs w:val="22"/>
        </w:rPr>
        <w:t xml:space="preserve"> </w:t>
      </w:r>
      <w:r w:rsidR="00D80837">
        <w:rPr>
          <w:rFonts w:ascii="Times New Roman" w:hAnsi="Times New Roman"/>
          <w:sz w:val="22"/>
          <w:szCs w:val="22"/>
        </w:rPr>
        <w:t xml:space="preserve">for the TCB </w:t>
      </w:r>
      <w:r w:rsidRPr="005B72C1">
        <w:rPr>
          <w:rFonts w:ascii="Times New Roman" w:hAnsi="Times New Roman"/>
          <w:sz w:val="22"/>
          <w:szCs w:val="22"/>
        </w:rPr>
        <w:t xml:space="preserve">to respond. In the case of a TCB designated </w:t>
      </w:r>
      <w:r w:rsidR="0062642F">
        <w:rPr>
          <w:rFonts w:ascii="Times New Roman" w:hAnsi="Times New Roman"/>
          <w:sz w:val="22"/>
          <w:szCs w:val="22"/>
        </w:rPr>
        <w:t>and</w:t>
      </w:r>
      <w:r w:rsidR="0062642F" w:rsidRPr="005B72C1">
        <w:rPr>
          <w:rFonts w:ascii="Times New Roman" w:hAnsi="Times New Roman"/>
          <w:sz w:val="22"/>
          <w:szCs w:val="22"/>
        </w:rPr>
        <w:t xml:space="preserve"> </w:t>
      </w:r>
      <w:r w:rsidRPr="005B72C1">
        <w:rPr>
          <w:rFonts w:ascii="Times New Roman" w:hAnsi="Times New Roman"/>
          <w:sz w:val="22"/>
          <w:szCs w:val="22"/>
        </w:rPr>
        <w:t>recognized pursuant to an effective bilateral or multilateral mutual recognition agreement or arrangement (MRA), the Commission shall consult with the Office of the United States Trade Representative (USTR), as necessary, concerning any disputes arising under an MRA for compliance with the Telecommunications Trade Act of 1988 (Section 1371–1382 of the Omnibus Trade and Competitiveness Act of 1988).</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(3) </w:t>
      </w:r>
      <w:r w:rsidR="00D80837">
        <w:rPr>
          <w:rFonts w:ascii="Times New Roman" w:hAnsi="Times New Roman"/>
          <w:sz w:val="22"/>
          <w:szCs w:val="22"/>
        </w:rPr>
        <w:t xml:space="preserve">The Commission </w:t>
      </w:r>
      <w:r w:rsidR="00163283">
        <w:rPr>
          <w:rFonts w:ascii="Times New Roman" w:hAnsi="Times New Roman"/>
          <w:sz w:val="22"/>
          <w:szCs w:val="22"/>
        </w:rPr>
        <w:t xml:space="preserve">will notify a TCB </w:t>
      </w:r>
      <w:r w:rsidR="00EC5DF0">
        <w:rPr>
          <w:rFonts w:ascii="Times New Roman" w:hAnsi="Times New Roman"/>
          <w:sz w:val="22"/>
          <w:szCs w:val="22"/>
        </w:rPr>
        <w:t xml:space="preserve">in writing </w:t>
      </w:r>
      <w:r w:rsidR="00163283">
        <w:rPr>
          <w:rFonts w:ascii="Times New Roman" w:hAnsi="Times New Roman"/>
          <w:sz w:val="22"/>
          <w:szCs w:val="22"/>
        </w:rPr>
        <w:t xml:space="preserve">when it has evidence that the TCB is </w:t>
      </w:r>
      <w:r w:rsidR="0041040B">
        <w:rPr>
          <w:rFonts w:ascii="Times New Roman" w:hAnsi="Times New Roman"/>
          <w:sz w:val="22"/>
          <w:szCs w:val="22"/>
        </w:rPr>
        <w:t xml:space="preserve">not </w:t>
      </w:r>
      <w:r w:rsidR="00163283">
        <w:rPr>
          <w:rFonts w:ascii="Times New Roman" w:hAnsi="Times New Roman"/>
          <w:sz w:val="22"/>
          <w:szCs w:val="22"/>
        </w:rPr>
        <w:t>approving equipment in accordance with the Commission’s rules and policies</w:t>
      </w:r>
      <w:r w:rsidR="00431D34">
        <w:rPr>
          <w:rFonts w:ascii="Times New Roman" w:hAnsi="Times New Roman"/>
          <w:sz w:val="22"/>
          <w:szCs w:val="22"/>
        </w:rPr>
        <w:t xml:space="preserve"> and request that it correct any apparent deficiencies</w:t>
      </w:r>
      <w:r w:rsidR="00163283">
        <w:rPr>
          <w:rFonts w:ascii="Times New Roman" w:hAnsi="Times New Roman"/>
          <w:sz w:val="22"/>
          <w:szCs w:val="22"/>
        </w:rPr>
        <w:t>.  T</w:t>
      </w:r>
      <w:r w:rsidRPr="005B72C1">
        <w:rPr>
          <w:rFonts w:ascii="Times New Roman" w:hAnsi="Times New Roman"/>
          <w:sz w:val="22"/>
          <w:szCs w:val="22"/>
        </w:rPr>
        <w:t xml:space="preserve">he Commission may require that all applications for </w:t>
      </w:r>
      <w:r w:rsidR="00431D34">
        <w:rPr>
          <w:rFonts w:ascii="Times New Roman" w:hAnsi="Times New Roman"/>
          <w:sz w:val="22"/>
          <w:szCs w:val="22"/>
        </w:rPr>
        <w:t>the</w:t>
      </w:r>
      <w:r w:rsidRPr="005B72C1">
        <w:rPr>
          <w:rFonts w:ascii="Times New Roman" w:hAnsi="Times New Roman"/>
          <w:sz w:val="22"/>
          <w:szCs w:val="22"/>
        </w:rPr>
        <w:t xml:space="preserve"> TCB be processed under the </w:t>
      </w:r>
      <w:r w:rsidR="0062642F">
        <w:rPr>
          <w:rFonts w:ascii="Times New Roman" w:hAnsi="Times New Roman"/>
          <w:sz w:val="22"/>
          <w:szCs w:val="22"/>
        </w:rPr>
        <w:t>pre-approval guidance</w:t>
      </w:r>
      <w:r w:rsidRPr="005B72C1">
        <w:rPr>
          <w:rFonts w:ascii="Times New Roman" w:hAnsi="Times New Roman"/>
          <w:sz w:val="22"/>
          <w:szCs w:val="22"/>
        </w:rPr>
        <w:t xml:space="preserve"> procedure in §2.964 of this chapter for at least 30 days</w:t>
      </w:r>
      <w:r w:rsidR="00431D34">
        <w:rPr>
          <w:rFonts w:ascii="Times New Roman" w:hAnsi="Times New Roman"/>
          <w:sz w:val="22"/>
          <w:szCs w:val="22"/>
        </w:rPr>
        <w:t>, and</w:t>
      </w:r>
      <w:r w:rsidR="00431D34" w:rsidRPr="005B72C1">
        <w:rPr>
          <w:rFonts w:ascii="Times New Roman" w:hAnsi="Times New Roman"/>
          <w:sz w:val="22"/>
          <w:szCs w:val="22"/>
        </w:rPr>
        <w:t xml:space="preserve"> </w:t>
      </w:r>
      <w:r w:rsidRPr="005B72C1">
        <w:rPr>
          <w:rFonts w:ascii="Times New Roman" w:hAnsi="Times New Roman"/>
          <w:sz w:val="22"/>
          <w:szCs w:val="22"/>
        </w:rPr>
        <w:t xml:space="preserve">will provide a TCB with 30 days notice of its intent to </w:t>
      </w:r>
      <w:r w:rsidR="00431D34">
        <w:rPr>
          <w:rFonts w:ascii="Times New Roman" w:hAnsi="Times New Roman"/>
          <w:sz w:val="22"/>
          <w:szCs w:val="22"/>
        </w:rPr>
        <w:t>do so</w:t>
      </w:r>
      <w:r w:rsidRPr="005B72C1">
        <w:rPr>
          <w:rFonts w:ascii="Times New Roman" w:hAnsi="Times New Roman"/>
          <w:sz w:val="22"/>
          <w:szCs w:val="22"/>
        </w:rPr>
        <w:t xml:space="preserve"> unless good cause exists for providing shorter notice.  </w:t>
      </w:r>
      <w:r w:rsidR="00163283">
        <w:rPr>
          <w:rFonts w:ascii="Times New Roman" w:hAnsi="Times New Roman"/>
          <w:sz w:val="22"/>
          <w:szCs w:val="22"/>
        </w:rPr>
        <w:t>The Commission may request that</w:t>
      </w:r>
      <w:r w:rsidR="005B2DCC">
        <w:rPr>
          <w:rFonts w:ascii="Times New Roman" w:hAnsi="Times New Roman"/>
          <w:sz w:val="22"/>
          <w:szCs w:val="22"/>
        </w:rPr>
        <w:t xml:space="preserve"> </w:t>
      </w:r>
      <w:r w:rsidR="00163283">
        <w:rPr>
          <w:rFonts w:ascii="Times New Roman" w:hAnsi="Times New Roman"/>
          <w:sz w:val="22"/>
          <w:szCs w:val="22"/>
        </w:rPr>
        <w:t>a</w:t>
      </w:r>
      <w:r w:rsidR="005B2DCC">
        <w:rPr>
          <w:rFonts w:ascii="Times New Roman" w:hAnsi="Times New Roman"/>
          <w:sz w:val="22"/>
          <w:szCs w:val="22"/>
        </w:rPr>
        <w:t xml:space="preserve"> TCB’s </w:t>
      </w:r>
      <w:r w:rsidR="0062642F">
        <w:rPr>
          <w:rFonts w:ascii="Times New Roman" w:hAnsi="Times New Roman"/>
          <w:sz w:val="22"/>
          <w:szCs w:val="22"/>
        </w:rPr>
        <w:t>designati</w:t>
      </w:r>
      <w:r w:rsidR="00447874">
        <w:rPr>
          <w:rFonts w:ascii="Times New Roman" w:hAnsi="Times New Roman"/>
          <w:sz w:val="22"/>
          <w:szCs w:val="22"/>
        </w:rPr>
        <w:t>ng</w:t>
      </w:r>
      <w:r w:rsidR="0062642F">
        <w:rPr>
          <w:rFonts w:ascii="Times New Roman" w:hAnsi="Times New Roman"/>
          <w:sz w:val="22"/>
          <w:szCs w:val="22"/>
        </w:rPr>
        <w:t xml:space="preserve"> authority or </w:t>
      </w:r>
      <w:r w:rsidR="005B2DCC">
        <w:rPr>
          <w:rFonts w:ascii="Times New Roman" w:hAnsi="Times New Roman"/>
          <w:sz w:val="22"/>
          <w:szCs w:val="22"/>
        </w:rPr>
        <w:t xml:space="preserve">accreditation body investigate and take appropriate </w:t>
      </w:r>
      <w:r w:rsidR="00163283">
        <w:rPr>
          <w:rFonts w:ascii="Times New Roman" w:hAnsi="Times New Roman"/>
          <w:sz w:val="22"/>
          <w:szCs w:val="22"/>
        </w:rPr>
        <w:t>corrective actions as required</w:t>
      </w:r>
      <w:r w:rsidR="00431D34">
        <w:rPr>
          <w:rFonts w:ascii="Times New Roman" w:hAnsi="Times New Roman"/>
          <w:sz w:val="22"/>
          <w:szCs w:val="22"/>
        </w:rPr>
        <w:t>,</w:t>
      </w:r>
      <w:r w:rsidR="00163283">
        <w:rPr>
          <w:rFonts w:ascii="Times New Roman" w:hAnsi="Times New Roman"/>
          <w:sz w:val="22"/>
          <w:szCs w:val="22"/>
        </w:rPr>
        <w:t xml:space="preserve"> and </w:t>
      </w:r>
      <w:r w:rsidR="00431D34">
        <w:rPr>
          <w:rFonts w:ascii="Times New Roman" w:hAnsi="Times New Roman"/>
          <w:sz w:val="22"/>
          <w:szCs w:val="22"/>
        </w:rPr>
        <w:t xml:space="preserve">the Commission </w:t>
      </w:r>
      <w:r w:rsidR="005B2DCC">
        <w:rPr>
          <w:rFonts w:ascii="Times New Roman" w:hAnsi="Times New Roman"/>
          <w:sz w:val="22"/>
          <w:szCs w:val="22"/>
        </w:rPr>
        <w:t>may initiate</w:t>
      </w:r>
      <w:r w:rsidRPr="005B72C1">
        <w:rPr>
          <w:rFonts w:ascii="Times New Roman" w:hAnsi="Times New Roman"/>
          <w:sz w:val="22"/>
          <w:szCs w:val="22"/>
        </w:rPr>
        <w:t xml:space="preserve"> action to limit or withdraw the</w:t>
      </w:r>
      <w:r w:rsidR="0062642F">
        <w:rPr>
          <w:rFonts w:ascii="Times New Roman" w:hAnsi="Times New Roman"/>
          <w:sz w:val="22"/>
          <w:szCs w:val="22"/>
        </w:rPr>
        <w:t xml:space="preserve"> </w:t>
      </w:r>
      <w:r w:rsidRPr="005B72C1">
        <w:rPr>
          <w:rFonts w:ascii="Times New Roman" w:hAnsi="Times New Roman"/>
          <w:sz w:val="22"/>
          <w:szCs w:val="22"/>
        </w:rPr>
        <w:t>recognition of the TCB as described in §2.962(e)(2) of this chapter.</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(4) If the Commission withdraws </w:t>
      </w:r>
      <w:r w:rsidR="00EF6051">
        <w:rPr>
          <w:rFonts w:ascii="Times New Roman" w:hAnsi="Times New Roman"/>
          <w:sz w:val="22"/>
          <w:szCs w:val="22"/>
        </w:rPr>
        <w:t>its</w:t>
      </w:r>
      <w:r w:rsidRPr="005B72C1">
        <w:rPr>
          <w:rFonts w:ascii="Times New Roman" w:hAnsi="Times New Roman"/>
          <w:sz w:val="22"/>
          <w:szCs w:val="22"/>
        </w:rPr>
        <w:t xml:space="preserve"> recognition of a TCB, all equipment approvals issued by that TCB will remain valid unless specifically </w:t>
      </w:r>
      <w:r w:rsidR="00431D34">
        <w:rPr>
          <w:rFonts w:ascii="Times New Roman" w:hAnsi="Times New Roman"/>
          <w:sz w:val="22"/>
          <w:szCs w:val="22"/>
        </w:rPr>
        <w:t xml:space="preserve">set aside or </w:t>
      </w:r>
      <w:r w:rsidRPr="005B72C1">
        <w:rPr>
          <w:rFonts w:ascii="Times New Roman" w:hAnsi="Times New Roman"/>
          <w:sz w:val="22"/>
          <w:szCs w:val="22"/>
        </w:rPr>
        <w:t>revoked by the Commission</w:t>
      </w:r>
      <w:r w:rsidR="00431D34">
        <w:rPr>
          <w:rFonts w:ascii="Times New Roman" w:hAnsi="Times New Roman"/>
          <w:sz w:val="22"/>
          <w:szCs w:val="22"/>
        </w:rPr>
        <w:t xml:space="preserve"> under </w:t>
      </w:r>
      <w:r w:rsidR="0062642F">
        <w:rPr>
          <w:rFonts w:ascii="Times New Roman" w:hAnsi="Times New Roman"/>
          <w:sz w:val="22"/>
          <w:szCs w:val="22"/>
        </w:rPr>
        <w:t xml:space="preserve">paragraph </w:t>
      </w:r>
      <w:r w:rsidR="00431D34">
        <w:rPr>
          <w:rFonts w:ascii="Times New Roman" w:hAnsi="Times New Roman"/>
          <w:sz w:val="22"/>
          <w:szCs w:val="22"/>
        </w:rPr>
        <w:t>(f)(</w:t>
      </w:r>
      <w:r w:rsidR="00BA00B6">
        <w:rPr>
          <w:rFonts w:ascii="Times New Roman" w:hAnsi="Times New Roman"/>
          <w:sz w:val="22"/>
          <w:szCs w:val="22"/>
        </w:rPr>
        <w:t>5</w:t>
      </w:r>
      <w:r w:rsidR="00431D34">
        <w:rPr>
          <w:rFonts w:ascii="Times New Roman" w:hAnsi="Times New Roman"/>
          <w:sz w:val="22"/>
          <w:szCs w:val="22"/>
        </w:rPr>
        <w:t>) of this section</w:t>
      </w:r>
      <w:r w:rsidRPr="005B72C1">
        <w:rPr>
          <w:rFonts w:ascii="Times New Roman" w:hAnsi="Times New Roman"/>
          <w:sz w:val="22"/>
          <w:szCs w:val="22"/>
        </w:rPr>
        <w:t>.</w:t>
      </w:r>
    </w:p>
    <w:p w:rsidR="007B3978" w:rsidRPr="005B72C1" w:rsidRDefault="007B3978" w:rsidP="007B3978">
      <w:pPr>
        <w:pStyle w:val="NormalWeb"/>
        <w:rPr>
          <w:rFonts w:ascii="Times New Roman" w:hAnsi="Times New Roman"/>
          <w:sz w:val="22"/>
          <w:szCs w:val="22"/>
        </w:rPr>
      </w:pPr>
      <w:proofErr w:type="gramStart"/>
      <w:r w:rsidRPr="005B72C1">
        <w:rPr>
          <w:rFonts w:ascii="Times New Roman" w:hAnsi="Times New Roman"/>
          <w:sz w:val="22"/>
          <w:szCs w:val="22"/>
        </w:rPr>
        <w:t xml:space="preserve">(5) A list of </w:t>
      </w:r>
      <w:r w:rsidR="00EF6051">
        <w:rPr>
          <w:rFonts w:ascii="Times New Roman" w:hAnsi="Times New Roman"/>
          <w:sz w:val="22"/>
          <w:szCs w:val="22"/>
        </w:rPr>
        <w:t>recognized</w:t>
      </w:r>
      <w:r w:rsidR="00EF6051" w:rsidRPr="005B72C1">
        <w:rPr>
          <w:rFonts w:ascii="Times New Roman" w:hAnsi="Times New Roman"/>
          <w:sz w:val="22"/>
          <w:szCs w:val="22"/>
        </w:rPr>
        <w:t xml:space="preserve"> </w:t>
      </w:r>
      <w:r w:rsidRPr="005B72C1">
        <w:rPr>
          <w:rFonts w:ascii="Times New Roman" w:hAnsi="Times New Roman"/>
          <w:sz w:val="22"/>
          <w:szCs w:val="22"/>
        </w:rPr>
        <w:t>TCBs will be published by the Commission</w:t>
      </w:r>
      <w:proofErr w:type="gramEnd"/>
      <w:r w:rsidRPr="005B72C1">
        <w:rPr>
          <w:rFonts w:ascii="Times New Roman" w:hAnsi="Times New Roman"/>
          <w:sz w:val="22"/>
          <w:szCs w:val="22"/>
        </w:rPr>
        <w:t>.</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lastRenderedPageBreak/>
        <w:t xml:space="preserve">(f) </w:t>
      </w:r>
      <w:r w:rsidRPr="005B72C1">
        <w:rPr>
          <w:rFonts w:ascii="Times New Roman" w:hAnsi="Times New Roman"/>
          <w:i/>
          <w:iCs/>
          <w:sz w:val="22"/>
          <w:szCs w:val="22"/>
        </w:rPr>
        <w:t xml:space="preserve">Scope of responsibility. </w:t>
      </w:r>
      <w:r w:rsidRPr="005B72C1">
        <w:rPr>
          <w:rFonts w:ascii="Times New Roman" w:hAnsi="Times New Roman"/>
          <w:sz w:val="22"/>
          <w:szCs w:val="22"/>
        </w:rPr>
        <w:t>(1) A TCB shall certify equipment in accordance with the Commission's rules and policies.</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(2) A TCB shall accept test data from any </w:t>
      </w:r>
      <w:r w:rsidR="00EF6051">
        <w:rPr>
          <w:rFonts w:ascii="Times New Roman" w:hAnsi="Times New Roman"/>
          <w:sz w:val="22"/>
          <w:szCs w:val="22"/>
        </w:rPr>
        <w:t xml:space="preserve">Commission-recognized accredited test </w:t>
      </w:r>
      <w:r w:rsidR="00321FA5">
        <w:rPr>
          <w:rFonts w:ascii="Times New Roman" w:hAnsi="Times New Roman"/>
          <w:sz w:val="22"/>
          <w:szCs w:val="22"/>
        </w:rPr>
        <w:t>laboratory</w:t>
      </w:r>
      <w:r w:rsidRPr="005B72C1">
        <w:rPr>
          <w:rFonts w:ascii="Times New Roman" w:hAnsi="Times New Roman"/>
          <w:sz w:val="22"/>
          <w:szCs w:val="22"/>
        </w:rPr>
        <w:t>, subject to the requirements in ISO/IEC 17065, and shall not unnecessarily repeat tests.</w:t>
      </w:r>
    </w:p>
    <w:p w:rsidR="007B3978" w:rsidRDefault="007B3978" w:rsidP="007B3978">
      <w:pPr>
        <w:pStyle w:val="NormalWeb"/>
        <w:rPr>
          <w:rFonts w:ascii="Times New Roman" w:hAnsi="Times New Roman"/>
          <w:sz w:val="22"/>
          <w:szCs w:val="22"/>
        </w:rPr>
      </w:pPr>
      <w:r w:rsidRPr="005B72C1">
        <w:rPr>
          <w:rFonts w:ascii="Times New Roman" w:hAnsi="Times New Roman"/>
          <w:sz w:val="22"/>
          <w:szCs w:val="22"/>
        </w:rPr>
        <w:t xml:space="preserve">(3) A TCB may establish and assess fees for processing certification applications and </w:t>
      </w:r>
      <w:r w:rsidRPr="00B75F20">
        <w:rPr>
          <w:rFonts w:ascii="Times New Roman" w:hAnsi="Times New Roman"/>
          <w:sz w:val="22"/>
          <w:szCs w:val="22"/>
        </w:rPr>
        <w:t xml:space="preserve">other </w:t>
      </w:r>
      <w:r w:rsidR="00EF6051">
        <w:rPr>
          <w:rFonts w:ascii="Times New Roman" w:hAnsi="Times New Roman"/>
          <w:sz w:val="22"/>
          <w:szCs w:val="22"/>
        </w:rPr>
        <w:t xml:space="preserve">Commission-required </w:t>
      </w:r>
      <w:r w:rsidRPr="00B75F20">
        <w:rPr>
          <w:rFonts w:ascii="Times New Roman" w:hAnsi="Times New Roman"/>
          <w:sz w:val="22"/>
          <w:szCs w:val="22"/>
        </w:rPr>
        <w:t>tasks</w:t>
      </w:r>
      <w:r w:rsidRPr="005B72C1">
        <w:rPr>
          <w:rFonts w:ascii="Times New Roman" w:hAnsi="Times New Roman"/>
          <w:sz w:val="22"/>
          <w:szCs w:val="22"/>
        </w:rPr>
        <w:t>.</w:t>
      </w:r>
    </w:p>
    <w:p w:rsidR="002D5E77" w:rsidRPr="005B72C1" w:rsidRDefault="002D5E77" w:rsidP="007B3978">
      <w:pPr>
        <w:pStyle w:val="NormalWeb"/>
        <w:rPr>
          <w:rFonts w:ascii="Times New Roman" w:hAnsi="Times New Roman"/>
          <w:sz w:val="22"/>
          <w:szCs w:val="22"/>
        </w:rPr>
      </w:pPr>
      <w:r>
        <w:rPr>
          <w:rFonts w:ascii="Times New Roman" w:hAnsi="Times New Roman"/>
          <w:sz w:val="22"/>
          <w:szCs w:val="22"/>
        </w:rPr>
        <w:t xml:space="preserve">(4) A TCB shall dismiss an application </w:t>
      </w:r>
      <w:r w:rsidR="00EC42C1">
        <w:rPr>
          <w:rFonts w:ascii="Times New Roman" w:hAnsi="Times New Roman"/>
          <w:sz w:val="22"/>
          <w:szCs w:val="22"/>
        </w:rPr>
        <w:t>which is not in accordance with the provisions of this subpart or when the applicant requests dismissal</w:t>
      </w:r>
      <w:r>
        <w:rPr>
          <w:rFonts w:ascii="Times New Roman" w:hAnsi="Times New Roman"/>
          <w:sz w:val="22"/>
          <w:szCs w:val="22"/>
        </w:rPr>
        <w:t>, and may dismiss an application</w:t>
      </w:r>
      <w:r w:rsidR="00CA6DC7">
        <w:rPr>
          <w:rFonts w:ascii="Times New Roman" w:hAnsi="Times New Roman"/>
          <w:sz w:val="22"/>
          <w:szCs w:val="22"/>
        </w:rPr>
        <w:t xml:space="preserve"> if the applicant does not submit additional information or test samples requested by the TCB.</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CA6DC7">
        <w:rPr>
          <w:rFonts w:ascii="Times New Roman" w:hAnsi="Times New Roman"/>
          <w:sz w:val="22"/>
          <w:szCs w:val="22"/>
        </w:rPr>
        <w:t>5</w:t>
      </w:r>
      <w:r w:rsidRPr="005B72C1">
        <w:rPr>
          <w:rFonts w:ascii="Times New Roman" w:hAnsi="Times New Roman"/>
          <w:sz w:val="22"/>
          <w:szCs w:val="22"/>
        </w:rPr>
        <w:t xml:space="preserve">) </w:t>
      </w:r>
      <w:r w:rsidR="00163283">
        <w:rPr>
          <w:rFonts w:ascii="Times New Roman" w:hAnsi="Times New Roman"/>
          <w:sz w:val="22"/>
          <w:szCs w:val="22"/>
        </w:rPr>
        <w:t>The Commission</w:t>
      </w:r>
      <w:r w:rsidRPr="005B72C1">
        <w:rPr>
          <w:rFonts w:ascii="Times New Roman" w:hAnsi="Times New Roman"/>
          <w:sz w:val="22"/>
          <w:szCs w:val="22"/>
        </w:rPr>
        <w:t xml:space="preserve"> </w:t>
      </w:r>
      <w:r w:rsidR="00431D34">
        <w:rPr>
          <w:rFonts w:ascii="Times New Roman" w:hAnsi="Times New Roman"/>
          <w:sz w:val="22"/>
          <w:szCs w:val="22"/>
        </w:rPr>
        <w:t xml:space="preserve">or TCB </w:t>
      </w:r>
      <w:r w:rsidRPr="005B72C1">
        <w:rPr>
          <w:rFonts w:ascii="Times New Roman" w:hAnsi="Times New Roman"/>
          <w:sz w:val="22"/>
          <w:szCs w:val="22"/>
        </w:rPr>
        <w:t xml:space="preserve">may </w:t>
      </w:r>
      <w:r w:rsidR="00163283">
        <w:rPr>
          <w:rFonts w:ascii="Times New Roman" w:hAnsi="Times New Roman"/>
          <w:sz w:val="22"/>
          <w:szCs w:val="22"/>
        </w:rPr>
        <w:t>set aside</w:t>
      </w:r>
      <w:r w:rsidRPr="005B72C1">
        <w:rPr>
          <w:rFonts w:ascii="Times New Roman" w:hAnsi="Times New Roman"/>
          <w:sz w:val="22"/>
          <w:szCs w:val="22"/>
        </w:rPr>
        <w:t xml:space="preserve"> a grant of certification within 30 days of grant. </w:t>
      </w:r>
      <w:r w:rsidR="00431D34">
        <w:rPr>
          <w:rFonts w:ascii="Times New Roman" w:hAnsi="Times New Roman"/>
          <w:sz w:val="22"/>
          <w:szCs w:val="22"/>
        </w:rPr>
        <w:t xml:space="preserve">A TCB shall notify the applicant and the Commission when a grant is set aside. </w:t>
      </w:r>
      <w:r w:rsidRPr="005B72C1">
        <w:rPr>
          <w:rFonts w:ascii="Times New Roman" w:hAnsi="Times New Roman"/>
          <w:sz w:val="22"/>
          <w:szCs w:val="22"/>
        </w:rPr>
        <w:t xml:space="preserve">After </w:t>
      </w:r>
      <w:r w:rsidR="0018676C">
        <w:rPr>
          <w:rFonts w:ascii="Times New Roman" w:hAnsi="Times New Roman"/>
          <w:sz w:val="22"/>
          <w:szCs w:val="22"/>
        </w:rPr>
        <w:t>30 days</w:t>
      </w:r>
      <w:r w:rsidRPr="005B72C1">
        <w:rPr>
          <w:rFonts w:ascii="Times New Roman" w:hAnsi="Times New Roman"/>
          <w:sz w:val="22"/>
          <w:szCs w:val="22"/>
        </w:rPr>
        <w:t xml:space="preserve">, </w:t>
      </w:r>
      <w:r w:rsidR="00CD2015">
        <w:rPr>
          <w:rFonts w:ascii="Times New Roman" w:hAnsi="Times New Roman"/>
          <w:sz w:val="22"/>
          <w:szCs w:val="22"/>
        </w:rPr>
        <w:t xml:space="preserve">the Commission may revoke </w:t>
      </w:r>
      <w:r w:rsidRPr="005B72C1">
        <w:rPr>
          <w:rFonts w:ascii="Times New Roman" w:hAnsi="Times New Roman"/>
          <w:sz w:val="22"/>
          <w:szCs w:val="22"/>
        </w:rPr>
        <w:t xml:space="preserve">a grant </w:t>
      </w:r>
      <w:r w:rsidR="00CD2015">
        <w:rPr>
          <w:rFonts w:ascii="Times New Roman" w:hAnsi="Times New Roman"/>
          <w:sz w:val="22"/>
          <w:szCs w:val="22"/>
        </w:rPr>
        <w:t xml:space="preserve">of certification </w:t>
      </w:r>
      <w:r w:rsidRPr="005B72C1">
        <w:rPr>
          <w:rFonts w:ascii="Times New Roman" w:hAnsi="Times New Roman"/>
          <w:sz w:val="22"/>
          <w:szCs w:val="22"/>
        </w:rPr>
        <w:t>through the pro</w:t>
      </w:r>
      <w:r w:rsidR="00163283">
        <w:rPr>
          <w:rFonts w:ascii="Times New Roman" w:hAnsi="Times New Roman"/>
          <w:sz w:val="22"/>
          <w:szCs w:val="22"/>
        </w:rPr>
        <w:t>cedures in §2.939 of this part.</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CA6DC7">
        <w:rPr>
          <w:rFonts w:ascii="Times New Roman" w:hAnsi="Times New Roman"/>
          <w:sz w:val="22"/>
          <w:szCs w:val="22"/>
        </w:rPr>
        <w:t>6</w:t>
      </w:r>
      <w:r w:rsidRPr="005B72C1">
        <w:rPr>
          <w:rFonts w:ascii="Times New Roman" w:hAnsi="Times New Roman"/>
          <w:sz w:val="22"/>
          <w:szCs w:val="22"/>
        </w:rPr>
        <w:t xml:space="preserve">) A TCB </w:t>
      </w:r>
      <w:r w:rsidR="00CD2015">
        <w:rPr>
          <w:rFonts w:ascii="Times New Roman" w:hAnsi="Times New Roman"/>
          <w:sz w:val="22"/>
          <w:szCs w:val="22"/>
        </w:rPr>
        <w:t>shall</w:t>
      </w:r>
      <w:r w:rsidRPr="005B72C1">
        <w:rPr>
          <w:rFonts w:ascii="Times New Roman" w:hAnsi="Times New Roman"/>
          <w:sz w:val="22"/>
          <w:szCs w:val="22"/>
        </w:rPr>
        <w:t xml:space="preserve"> follow the procedures in §2.964 of this part for equipment on the </w:t>
      </w:r>
      <w:r w:rsidR="00ED6ABD">
        <w:rPr>
          <w:rFonts w:ascii="Times New Roman" w:hAnsi="Times New Roman"/>
          <w:sz w:val="22"/>
          <w:szCs w:val="22"/>
        </w:rPr>
        <w:t>pre-approval guidance</w:t>
      </w:r>
      <w:r w:rsidRPr="005B72C1">
        <w:rPr>
          <w:rFonts w:ascii="Times New Roman" w:hAnsi="Times New Roman"/>
          <w:sz w:val="22"/>
          <w:szCs w:val="22"/>
        </w:rPr>
        <w:t xml:space="preserve"> list.</w:t>
      </w:r>
    </w:p>
    <w:p w:rsidR="007B3978"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CA6DC7">
        <w:rPr>
          <w:rFonts w:ascii="Times New Roman" w:hAnsi="Times New Roman"/>
          <w:sz w:val="22"/>
          <w:szCs w:val="22"/>
        </w:rPr>
        <w:t>7</w:t>
      </w:r>
      <w:r w:rsidRPr="005B72C1">
        <w:rPr>
          <w:rFonts w:ascii="Times New Roman" w:hAnsi="Times New Roman"/>
          <w:sz w:val="22"/>
          <w:szCs w:val="22"/>
        </w:rPr>
        <w:t xml:space="preserve">) A TCB shall supply an electronic copy of each equipment authorization application form and all </w:t>
      </w:r>
      <w:r w:rsidR="00EF6051">
        <w:rPr>
          <w:rFonts w:ascii="Times New Roman" w:hAnsi="Times New Roman"/>
          <w:sz w:val="22"/>
          <w:szCs w:val="22"/>
        </w:rPr>
        <w:t>necessary</w:t>
      </w:r>
      <w:r w:rsidR="00EF6051" w:rsidRPr="005B72C1">
        <w:rPr>
          <w:rFonts w:ascii="Times New Roman" w:hAnsi="Times New Roman"/>
          <w:sz w:val="22"/>
          <w:szCs w:val="22"/>
        </w:rPr>
        <w:t xml:space="preserve"> </w:t>
      </w:r>
      <w:r w:rsidRPr="005B72C1">
        <w:rPr>
          <w:rFonts w:ascii="Times New Roman" w:hAnsi="Times New Roman"/>
          <w:sz w:val="22"/>
          <w:szCs w:val="22"/>
        </w:rPr>
        <w:t xml:space="preserve">exhibits to the Commission prior to grant </w:t>
      </w:r>
      <w:r w:rsidR="00EF6051">
        <w:rPr>
          <w:rFonts w:ascii="Times New Roman" w:hAnsi="Times New Roman"/>
          <w:sz w:val="22"/>
          <w:szCs w:val="22"/>
        </w:rPr>
        <w:t xml:space="preserve">or dismissal </w:t>
      </w:r>
      <w:r w:rsidRPr="005B72C1">
        <w:rPr>
          <w:rFonts w:ascii="Times New Roman" w:hAnsi="Times New Roman"/>
          <w:sz w:val="22"/>
          <w:szCs w:val="22"/>
        </w:rPr>
        <w:t xml:space="preserve">of the application.  Where appropriate, the application must be accompanied by a request for confidentiality of any material that may qualify for confidential treatment under the Commission's Rules. </w:t>
      </w:r>
    </w:p>
    <w:p w:rsidR="00EF6051" w:rsidRPr="005B72C1" w:rsidRDefault="00EF6051" w:rsidP="007B3978">
      <w:pPr>
        <w:pStyle w:val="NormalWeb"/>
        <w:rPr>
          <w:rFonts w:ascii="Times New Roman" w:hAnsi="Times New Roman"/>
          <w:sz w:val="22"/>
          <w:szCs w:val="22"/>
        </w:rPr>
      </w:pPr>
      <w:r>
        <w:rPr>
          <w:rFonts w:ascii="Times New Roman" w:hAnsi="Times New Roman"/>
          <w:sz w:val="22"/>
          <w:szCs w:val="22"/>
        </w:rPr>
        <w:t>(</w:t>
      </w:r>
      <w:r w:rsidR="00CA6DC7">
        <w:rPr>
          <w:rFonts w:ascii="Times New Roman" w:hAnsi="Times New Roman"/>
          <w:sz w:val="22"/>
          <w:szCs w:val="22"/>
        </w:rPr>
        <w:t>8</w:t>
      </w:r>
      <w:r>
        <w:rPr>
          <w:rFonts w:ascii="Times New Roman" w:hAnsi="Times New Roman"/>
          <w:sz w:val="22"/>
          <w:szCs w:val="22"/>
        </w:rPr>
        <w:t>) A TCB shall grant or dismiss each equipment authorization application through the Commission</w:t>
      </w:r>
      <w:r w:rsidR="00171B14">
        <w:rPr>
          <w:rFonts w:ascii="Times New Roman" w:hAnsi="Times New Roman"/>
          <w:sz w:val="22"/>
          <w:szCs w:val="22"/>
        </w:rPr>
        <w:t>’s electronic system</w:t>
      </w:r>
      <w:r>
        <w:rPr>
          <w:rFonts w:ascii="Times New Roman" w:hAnsi="Times New Roman"/>
          <w:sz w:val="22"/>
          <w:szCs w:val="22"/>
        </w:rPr>
        <w:t>.</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CA6DC7">
        <w:rPr>
          <w:rFonts w:ascii="Times New Roman" w:hAnsi="Times New Roman"/>
          <w:sz w:val="22"/>
          <w:szCs w:val="22"/>
        </w:rPr>
        <w:t>9</w:t>
      </w:r>
      <w:r w:rsidRPr="005B72C1">
        <w:rPr>
          <w:rFonts w:ascii="Times New Roman" w:hAnsi="Times New Roman"/>
          <w:sz w:val="22"/>
          <w:szCs w:val="22"/>
        </w:rPr>
        <w:t>) A TCB may not:</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(i) Grant a waiver of the rules.</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(ii) Take enforcement actions; or</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(iii) Authorize a transfer of control of a grantee.</w:t>
      </w:r>
    </w:p>
    <w:p w:rsidR="007B3978" w:rsidRPr="005B72C1" w:rsidRDefault="007B3978" w:rsidP="007B3978">
      <w:pPr>
        <w:pStyle w:val="NormalWeb"/>
        <w:rPr>
          <w:rFonts w:ascii="Times New Roman" w:hAnsi="Times New Roman"/>
          <w:sz w:val="22"/>
          <w:szCs w:val="22"/>
        </w:rPr>
      </w:pPr>
      <w:r w:rsidRPr="005B72C1">
        <w:rPr>
          <w:rFonts w:ascii="Times New Roman" w:hAnsi="Times New Roman"/>
          <w:sz w:val="22"/>
          <w:szCs w:val="22"/>
        </w:rPr>
        <w:t>(</w:t>
      </w:r>
      <w:r w:rsidR="00CA6DC7">
        <w:rPr>
          <w:rFonts w:ascii="Times New Roman" w:hAnsi="Times New Roman"/>
          <w:sz w:val="22"/>
          <w:szCs w:val="22"/>
        </w:rPr>
        <w:t>10</w:t>
      </w:r>
      <w:r w:rsidRPr="005B72C1">
        <w:rPr>
          <w:rFonts w:ascii="Times New Roman" w:hAnsi="Times New Roman"/>
          <w:sz w:val="22"/>
          <w:szCs w:val="22"/>
        </w:rPr>
        <w:t>) All TCB actions are subject to Commission review.</w:t>
      </w:r>
    </w:p>
    <w:p w:rsidR="007B3978" w:rsidRPr="005B72C1" w:rsidRDefault="007B3978" w:rsidP="007B3978">
      <w:pPr>
        <w:pStyle w:val="NormalWeb"/>
        <w:rPr>
          <w:rFonts w:ascii="Times New Roman" w:hAnsi="Times New Roman"/>
          <w:sz w:val="22"/>
          <w:szCs w:val="22"/>
        </w:rPr>
      </w:pPr>
      <w:r w:rsidRPr="0016759E">
        <w:rPr>
          <w:rFonts w:ascii="Times New Roman" w:hAnsi="Times New Roman"/>
          <w:sz w:val="22"/>
          <w:szCs w:val="22"/>
        </w:rPr>
        <w:t xml:space="preserve">(g) </w:t>
      </w:r>
      <w:r w:rsidRPr="0016759E">
        <w:rPr>
          <w:rFonts w:ascii="Times New Roman" w:hAnsi="Times New Roman"/>
          <w:i/>
          <w:iCs/>
          <w:sz w:val="22"/>
          <w:szCs w:val="22"/>
        </w:rPr>
        <w:t>Post-</w:t>
      </w:r>
      <w:r w:rsidR="00746DA0" w:rsidRPr="0016759E">
        <w:rPr>
          <w:rFonts w:ascii="Times New Roman" w:hAnsi="Times New Roman"/>
          <w:i/>
          <w:iCs/>
          <w:sz w:val="22"/>
          <w:szCs w:val="22"/>
        </w:rPr>
        <w:t>market</w:t>
      </w:r>
      <w:r w:rsidRPr="0016759E">
        <w:rPr>
          <w:rFonts w:ascii="Times New Roman" w:hAnsi="Times New Roman"/>
          <w:i/>
          <w:iCs/>
          <w:sz w:val="22"/>
          <w:szCs w:val="22"/>
        </w:rPr>
        <w:t xml:space="preserve"> </w:t>
      </w:r>
      <w:r w:rsidR="00746DA0" w:rsidRPr="0016759E">
        <w:rPr>
          <w:rFonts w:ascii="Times New Roman" w:hAnsi="Times New Roman"/>
          <w:i/>
          <w:iCs/>
          <w:sz w:val="22"/>
          <w:szCs w:val="22"/>
        </w:rPr>
        <w:t xml:space="preserve">surveillance </w:t>
      </w:r>
      <w:r w:rsidRPr="0016759E">
        <w:rPr>
          <w:rFonts w:ascii="Times New Roman" w:hAnsi="Times New Roman"/>
          <w:i/>
          <w:iCs/>
          <w:sz w:val="22"/>
          <w:szCs w:val="22"/>
        </w:rPr>
        <w:t xml:space="preserve">requirements. </w:t>
      </w:r>
      <w:r w:rsidRPr="0016759E">
        <w:rPr>
          <w:rFonts w:ascii="Times New Roman" w:hAnsi="Times New Roman"/>
          <w:sz w:val="22"/>
          <w:szCs w:val="22"/>
        </w:rPr>
        <w:t xml:space="preserve">(1) In accordance with ISO/IEC 17065, a TCB </w:t>
      </w:r>
      <w:r w:rsidR="00746DA0" w:rsidRPr="0016759E">
        <w:rPr>
          <w:rFonts w:ascii="Times New Roman" w:hAnsi="Times New Roman"/>
          <w:sz w:val="22"/>
          <w:szCs w:val="22"/>
        </w:rPr>
        <w:t>shall</w:t>
      </w:r>
      <w:r w:rsidRPr="0016759E">
        <w:rPr>
          <w:rFonts w:ascii="Times New Roman" w:hAnsi="Times New Roman"/>
          <w:sz w:val="22"/>
          <w:szCs w:val="22"/>
        </w:rPr>
        <w:t xml:space="preserve"> conduct appropriate post-market surveillance activities. These activities shall be based on type testing a certain number of samples of the total number of product </w:t>
      </w:r>
      <w:proofErr w:type="gramStart"/>
      <w:r w:rsidRPr="0016759E">
        <w:rPr>
          <w:rFonts w:ascii="Times New Roman" w:hAnsi="Times New Roman"/>
          <w:sz w:val="22"/>
          <w:szCs w:val="22"/>
        </w:rPr>
        <w:t>types which</w:t>
      </w:r>
      <w:proofErr w:type="gramEnd"/>
      <w:r w:rsidRPr="0016759E">
        <w:rPr>
          <w:rFonts w:ascii="Times New Roman" w:hAnsi="Times New Roman"/>
          <w:sz w:val="22"/>
          <w:szCs w:val="22"/>
        </w:rPr>
        <w:t xml:space="preserve"> the certification body has certified. Other types of surveillance activities of a product that has been certified are permitted, provided they are no more onerous than type testing.</w:t>
      </w:r>
    </w:p>
    <w:p w:rsidR="007B3978" w:rsidRPr="005B72C1" w:rsidRDefault="007B3978" w:rsidP="005B72C1">
      <w:pPr>
        <w:pStyle w:val="ParaNum"/>
        <w:numPr>
          <w:ilvl w:val="0"/>
          <w:numId w:val="0"/>
        </w:numPr>
        <w:rPr>
          <w:iCs/>
        </w:rPr>
      </w:pPr>
      <w:r w:rsidRPr="005B72C1">
        <w:rPr>
          <w:iCs/>
        </w:rPr>
        <w:t xml:space="preserve">(2) The Chief of the Office of Engineering and Technology (OET) has delegated authority under §0.241(g) of this chapter to develop procedures that TCBs will use for performing post-market surveillance.  OET will </w:t>
      </w:r>
      <w:r w:rsidR="000B7E37">
        <w:rPr>
          <w:iCs/>
        </w:rPr>
        <w:t>publish</w:t>
      </w:r>
      <w:r w:rsidRPr="005B72C1">
        <w:rPr>
          <w:iCs/>
        </w:rPr>
        <w:t xml:space="preserve"> a document on TCB </w:t>
      </w:r>
      <w:r w:rsidRPr="005B72C1">
        <w:t xml:space="preserve">post-market surveillance requirements, and this document will provide specific information such as the number and types of samples that a TCB must test.  </w:t>
      </w:r>
    </w:p>
    <w:p w:rsidR="007B3978" w:rsidRPr="005B72C1" w:rsidRDefault="007B3978" w:rsidP="005B72C1">
      <w:pPr>
        <w:pStyle w:val="ParaNum"/>
        <w:numPr>
          <w:ilvl w:val="0"/>
          <w:numId w:val="0"/>
        </w:numPr>
        <w:spacing w:before="100" w:beforeAutospacing="1" w:after="100" w:afterAutospacing="1"/>
      </w:pPr>
      <w:r w:rsidRPr="005B72C1">
        <w:rPr>
          <w:iCs/>
        </w:rPr>
        <w:lastRenderedPageBreak/>
        <w:t xml:space="preserve">(3) OET may request </w:t>
      </w:r>
      <w:r w:rsidR="00357E2C">
        <w:rPr>
          <w:iCs/>
        </w:rPr>
        <w:t xml:space="preserve">that </w:t>
      </w:r>
      <w:r w:rsidRPr="005B72C1">
        <w:rPr>
          <w:iCs/>
        </w:rPr>
        <w:t xml:space="preserve">a grantee of equipment </w:t>
      </w:r>
      <w:r w:rsidR="006D485A" w:rsidRPr="005B72C1">
        <w:rPr>
          <w:iCs/>
        </w:rPr>
        <w:t>certification submit</w:t>
      </w:r>
      <w:r w:rsidRPr="005B72C1">
        <w:rPr>
          <w:iCs/>
        </w:rPr>
        <w:t xml:space="preserve"> a sample directly to the TCB that </w:t>
      </w:r>
      <w:r w:rsidRPr="005B72C1">
        <w:t xml:space="preserve">performed the original certification for evaluation.  Any equipment samples requested by the Commission </w:t>
      </w:r>
      <w:r w:rsidR="00171B14">
        <w:t>and tested</w:t>
      </w:r>
      <w:r w:rsidRPr="005B72C1">
        <w:t xml:space="preserve"> by a TCB </w:t>
      </w:r>
      <w:r w:rsidR="00FA2FF3">
        <w:t>will</w:t>
      </w:r>
      <w:r w:rsidRPr="005B72C1">
        <w:t xml:space="preserve"> be counted toward the minimum number of samples that the TCB must test.</w:t>
      </w:r>
    </w:p>
    <w:p w:rsidR="007B3978" w:rsidRPr="005B72C1" w:rsidRDefault="007B3978" w:rsidP="005B72C1">
      <w:pPr>
        <w:pStyle w:val="ParaNum"/>
        <w:widowControl/>
        <w:numPr>
          <w:ilvl w:val="0"/>
          <w:numId w:val="0"/>
        </w:numPr>
        <w:spacing w:before="100" w:beforeAutospacing="1" w:after="100" w:afterAutospacing="1"/>
        <w:rPr>
          <w:rStyle w:val="StyleParaNumItalicChar"/>
          <w:i w:val="0"/>
          <w:szCs w:val="22"/>
        </w:rPr>
      </w:pPr>
      <w:r w:rsidRPr="005B72C1">
        <w:rPr>
          <w:rStyle w:val="StyleParaNumItalicChar"/>
          <w:i w:val="0"/>
          <w:szCs w:val="22"/>
        </w:rPr>
        <w:t>(4) TCBs may request samples of equipment that they have certified directly from the grantee of certification in accordance with § 2.</w:t>
      </w:r>
      <w:r w:rsidR="00FA2FF3">
        <w:rPr>
          <w:rStyle w:val="StyleParaNumItalicChar"/>
          <w:i w:val="0"/>
          <w:szCs w:val="22"/>
        </w:rPr>
        <w:t>945</w:t>
      </w:r>
      <w:r w:rsidRPr="005B72C1">
        <w:rPr>
          <w:rStyle w:val="StyleParaNumItalicChar"/>
          <w:i w:val="0"/>
          <w:szCs w:val="22"/>
        </w:rPr>
        <w:t xml:space="preserve"> of this chapter. </w:t>
      </w:r>
    </w:p>
    <w:p w:rsidR="007B3978" w:rsidRPr="005B72C1" w:rsidRDefault="007B3978" w:rsidP="005B72C1">
      <w:pPr>
        <w:pStyle w:val="NormalWeb"/>
        <w:rPr>
          <w:rStyle w:val="StyleParaNumItalicChar"/>
          <w:rFonts w:ascii="Times New Roman" w:hAnsi="Times New Roman"/>
          <w:i w:val="0"/>
          <w:szCs w:val="22"/>
        </w:rPr>
      </w:pPr>
      <w:r w:rsidRPr="005B72C1">
        <w:rPr>
          <w:rFonts w:ascii="Times New Roman" w:hAnsi="Times New Roman"/>
          <w:sz w:val="22"/>
          <w:szCs w:val="22"/>
        </w:rPr>
        <w:t>(5) If during post market surveillance of a certified product, a TCB determines that a product fails to comply with the technical regulations</w:t>
      </w:r>
      <w:r w:rsidR="00B75F20">
        <w:rPr>
          <w:rFonts w:ascii="Times New Roman" w:hAnsi="Times New Roman"/>
          <w:sz w:val="22"/>
          <w:szCs w:val="22"/>
        </w:rPr>
        <w:t xml:space="preserve"> </w:t>
      </w:r>
      <w:r w:rsidR="00EA6183">
        <w:rPr>
          <w:rFonts w:ascii="Times New Roman" w:hAnsi="Times New Roman"/>
          <w:sz w:val="22"/>
          <w:szCs w:val="22"/>
        </w:rPr>
        <w:t>for that product</w:t>
      </w:r>
      <w:r w:rsidRPr="005B72C1">
        <w:rPr>
          <w:rFonts w:ascii="Times New Roman" w:hAnsi="Times New Roman"/>
          <w:sz w:val="22"/>
          <w:szCs w:val="22"/>
        </w:rPr>
        <w:t>, the TCB shall immediately notify the grantee and the Commission</w:t>
      </w:r>
      <w:r w:rsidR="00357E2C">
        <w:rPr>
          <w:rFonts w:ascii="Times New Roman" w:hAnsi="Times New Roman"/>
          <w:sz w:val="22"/>
          <w:szCs w:val="22"/>
        </w:rPr>
        <w:t xml:space="preserve"> in writing of its findings</w:t>
      </w:r>
      <w:r w:rsidRPr="005B72C1">
        <w:rPr>
          <w:rFonts w:ascii="Times New Roman" w:hAnsi="Times New Roman"/>
          <w:sz w:val="22"/>
          <w:szCs w:val="22"/>
        </w:rPr>
        <w:t xml:space="preserve">. </w:t>
      </w:r>
      <w:r w:rsidR="00B75F20">
        <w:rPr>
          <w:rFonts w:ascii="Times New Roman" w:hAnsi="Times New Roman"/>
          <w:sz w:val="22"/>
          <w:szCs w:val="22"/>
        </w:rPr>
        <w:t xml:space="preserve">The </w:t>
      </w:r>
      <w:r w:rsidR="00815EB7">
        <w:rPr>
          <w:rFonts w:ascii="Times New Roman" w:hAnsi="Times New Roman"/>
          <w:sz w:val="22"/>
          <w:szCs w:val="22"/>
        </w:rPr>
        <w:t xml:space="preserve">grantee shall provide a report to the TCB describing the actions taken to correct the situation, and the </w:t>
      </w:r>
      <w:r w:rsidR="00B75F20">
        <w:rPr>
          <w:rFonts w:ascii="Times New Roman" w:hAnsi="Times New Roman"/>
          <w:sz w:val="22"/>
          <w:szCs w:val="22"/>
        </w:rPr>
        <w:t>TCB shall provide a</w:t>
      </w:r>
      <w:r w:rsidRPr="00B75F20">
        <w:rPr>
          <w:rFonts w:ascii="Times New Roman" w:hAnsi="Times New Roman"/>
          <w:sz w:val="22"/>
          <w:szCs w:val="22"/>
        </w:rPr>
        <w:t xml:space="preserve"> report </w:t>
      </w:r>
      <w:r w:rsidR="00815EB7">
        <w:rPr>
          <w:rFonts w:ascii="Times New Roman" w:hAnsi="Times New Roman"/>
          <w:sz w:val="22"/>
          <w:szCs w:val="22"/>
        </w:rPr>
        <w:t xml:space="preserve">of these actions </w:t>
      </w:r>
      <w:r w:rsidR="00870DD3" w:rsidRPr="00B75F20">
        <w:rPr>
          <w:rFonts w:ascii="Times New Roman" w:hAnsi="Times New Roman"/>
          <w:sz w:val="22"/>
          <w:szCs w:val="22"/>
        </w:rPr>
        <w:t xml:space="preserve">to the Commission </w:t>
      </w:r>
      <w:r w:rsidRPr="00B75F20">
        <w:rPr>
          <w:rFonts w:ascii="Times New Roman" w:hAnsi="Times New Roman"/>
          <w:sz w:val="22"/>
          <w:szCs w:val="22"/>
        </w:rPr>
        <w:t>within thirty days</w:t>
      </w:r>
      <w:r w:rsidRPr="005B72C1">
        <w:rPr>
          <w:rFonts w:ascii="Times New Roman" w:hAnsi="Times New Roman"/>
          <w:sz w:val="22"/>
          <w:szCs w:val="22"/>
        </w:rPr>
        <w:t>.</w:t>
      </w:r>
      <w:r w:rsidRPr="005B72C1">
        <w:rPr>
          <w:rStyle w:val="StyleParaNumItalicChar"/>
          <w:rFonts w:ascii="Times New Roman" w:hAnsi="Times New Roman"/>
          <w:i w:val="0"/>
          <w:szCs w:val="22"/>
        </w:rPr>
        <w:t xml:space="preserve"> </w:t>
      </w:r>
    </w:p>
    <w:p w:rsidR="007B3978" w:rsidRDefault="007B3978" w:rsidP="007B3978">
      <w:pPr>
        <w:pStyle w:val="NormalWeb"/>
        <w:rPr>
          <w:rStyle w:val="StyleParaNumItalicChar"/>
          <w:rFonts w:ascii="Times New Roman" w:hAnsi="Times New Roman"/>
          <w:i w:val="0"/>
          <w:szCs w:val="22"/>
        </w:rPr>
      </w:pPr>
      <w:r w:rsidRPr="005B72C1">
        <w:rPr>
          <w:rStyle w:val="StyleParaNumItalicChar"/>
          <w:rFonts w:ascii="Times New Roman" w:hAnsi="Times New Roman"/>
          <w:i w:val="0"/>
          <w:szCs w:val="22"/>
        </w:rPr>
        <w:t xml:space="preserve">(6) TCBs </w:t>
      </w:r>
      <w:r w:rsidR="00746DA0">
        <w:rPr>
          <w:rStyle w:val="StyleParaNumItalicChar"/>
          <w:rFonts w:ascii="Times New Roman" w:hAnsi="Times New Roman"/>
          <w:i w:val="0"/>
          <w:szCs w:val="22"/>
        </w:rPr>
        <w:t xml:space="preserve">shall submit </w:t>
      </w:r>
      <w:r w:rsidR="00357E2C">
        <w:rPr>
          <w:rStyle w:val="StyleParaNumItalicChar"/>
          <w:rFonts w:ascii="Times New Roman" w:hAnsi="Times New Roman"/>
          <w:i w:val="0"/>
          <w:szCs w:val="22"/>
        </w:rPr>
        <w:t xml:space="preserve">periodic </w:t>
      </w:r>
      <w:r w:rsidR="00746DA0">
        <w:rPr>
          <w:rStyle w:val="StyleParaNumItalicChar"/>
          <w:rFonts w:ascii="Times New Roman" w:hAnsi="Times New Roman"/>
          <w:i w:val="0"/>
          <w:szCs w:val="22"/>
        </w:rPr>
        <w:t>report</w:t>
      </w:r>
      <w:r w:rsidR="00357E2C">
        <w:rPr>
          <w:rStyle w:val="StyleParaNumItalicChar"/>
          <w:rFonts w:ascii="Times New Roman" w:hAnsi="Times New Roman"/>
          <w:i w:val="0"/>
          <w:szCs w:val="22"/>
        </w:rPr>
        <w:t>s</w:t>
      </w:r>
      <w:r w:rsidR="00746DA0">
        <w:rPr>
          <w:rStyle w:val="StyleParaNumItalicChar"/>
          <w:rFonts w:ascii="Times New Roman" w:hAnsi="Times New Roman"/>
          <w:i w:val="0"/>
          <w:szCs w:val="22"/>
        </w:rPr>
        <w:t xml:space="preserve"> to OET </w:t>
      </w:r>
      <w:r w:rsidRPr="005B72C1">
        <w:rPr>
          <w:rStyle w:val="StyleParaNumItalicChar"/>
          <w:rFonts w:ascii="Times New Roman" w:hAnsi="Times New Roman"/>
          <w:i w:val="0"/>
          <w:szCs w:val="22"/>
        </w:rPr>
        <w:t xml:space="preserve">of their post-market surveillance activities and findings </w:t>
      </w:r>
      <w:r w:rsidR="00357E2C">
        <w:rPr>
          <w:rStyle w:val="StyleParaNumItalicChar"/>
          <w:rFonts w:ascii="Times New Roman" w:hAnsi="Times New Roman"/>
          <w:i w:val="0"/>
          <w:szCs w:val="22"/>
        </w:rPr>
        <w:t>in the format and by the date</w:t>
      </w:r>
      <w:r w:rsidR="00746DA0">
        <w:rPr>
          <w:rStyle w:val="StyleParaNumItalicChar"/>
          <w:rFonts w:ascii="Times New Roman" w:hAnsi="Times New Roman"/>
          <w:i w:val="0"/>
          <w:szCs w:val="22"/>
        </w:rPr>
        <w:t xml:space="preserve"> </w:t>
      </w:r>
      <w:r w:rsidR="00870DD3">
        <w:rPr>
          <w:rStyle w:val="StyleParaNumItalicChar"/>
          <w:rFonts w:ascii="Times New Roman" w:hAnsi="Times New Roman"/>
          <w:i w:val="0"/>
          <w:szCs w:val="22"/>
        </w:rPr>
        <w:t>specified by OET.</w:t>
      </w:r>
    </w:p>
    <w:p w:rsidR="005B72C1" w:rsidRPr="005B72C1" w:rsidRDefault="005B72C1" w:rsidP="00712D0F">
      <w:pPr>
        <w:pStyle w:val="ParaNum"/>
        <w:numPr>
          <w:ilvl w:val="0"/>
          <w:numId w:val="10"/>
        </w:numPr>
        <w:rPr>
          <w:szCs w:val="22"/>
        </w:rPr>
      </w:pPr>
      <w:r>
        <w:rPr>
          <w:rStyle w:val="StyleParaNumItalicChar"/>
          <w:i w:val="0"/>
          <w:szCs w:val="22"/>
        </w:rPr>
        <w:t xml:space="preserve">A new Section 2.964 is </w:t>
      </w:r>
      <w:r w:rsidRPr="00712D0F">
        <w:rPr>
          <w:iCs/>
        </w:rPr>
        <w:t>added</w:t>
      </w:r>
      <w:r>
        <w:rPr>
          <w:rStyle w:val="StyleParaNumItalicChar"/>
          <w:i w:val="0"/>
          <w:szCs w:val="22"/>
        </w:rPr>
        <w:t xml:space="preserve"> to read as follows:</w:t>
      </w:r>
    </w:p>
    <w:p w:rsidR="007B3978" w:rsidRPr="00712D0F" w:rsidRDefault="007B3978" w:rsidP="005B72C1">
      <w:pPr>
        <w:pStyle w:val="Heading5"/>
        <w:numPr>
          <w:ilvl w:val="0"/>
          <w:numId w:val="0"/>
        </w:numPr>
        <w:rPr>
          <w:szCs w:val="22"/>
        </w:rPr>
      </w:pPr>
      <w:proofErr w:type="gramStart"/>
      <w:r w:rsidRPr="00712D0F">
        <w:rPr>
          <w:szCs w:val="22"/>
        </w:rPr>
        <w:t>§ 2.964   </w:t>
      </w:r>
      <w:r w:rsidR="00171B14">
        <w:rPr>
          <w:szCs w:val="22"/>
        </w:rPr>
        <w:t>Pre-approval guidance</w:t>
      </w:r>
      <w:r w:rsidRPr="00712D0F">
        <w:rPr>
          <w:szCs w:val="22"/>
        </w:rPr>
        <w:t xml:space="preserve"> </w:t>
      </w:r>
      <w:r w:rsidR="009678C8">
        <w:rPr>
          <w:szCs w:val="22"/>
        </w:rPr>
        <w:t>p</w:t>
      </w:r>
      <w:r w:rsidRPr="00712D0F">
        <w:rPr>
          <w:szCs w:val="22"/>
        </w:rPr>
        <w:t>rocedure for Telecommunication Certification Bodies.</w:t>
      </w:r>
      <w:proofErr w:type="gramEnd"/>
    </w:p>
    <w:p w:rsidR="00E75186" w:rsidRPr="00712D0F" w:rsidRDefault="00E75186" w:rsidP="00E75186">
      <w:pPr>
        <w:pStyle w:val="Heading5"/>
        <w:numPr>
          <w:ilvl w:val="0"/>
          <w:numId w:val="0"/>
        </w:numPr>
        <w:rPr>
          <w:b w:val="0"/>
          <w:szCs w:val="22"/>
        </w:rPr>
      </w:pPr>
      <w:r>
        <w:rPr>
          <w:b w:val="0"/>
          <w:szCs w:val="22"/>
        </w:rPr>
        <w:t xml:space="preserve">(a) </w:t>
      </w:r>
      <w:r w:rsidRPr="00712D0F">
        <w:rPr>
          <w:b w:val="0"/>
          <w:szCs w:val="22"/>
        </w:rPr>
        <w:t xml:space="preserve">The Commission will </w:t>
      </w:r>
      <w:r w:rsidR="009678C8">
        <w:rPr>
          <w:b w:val="0"/>
          <w:szCs w:val="22"/>
        </w:rPr>
        <w:t>publish a</w:t>
      </w:r>
      <w:r w:rsidR="00615295">
        <w:rPr>
          <w:b w:val="0"/>
          <w:szCs w:val="22"/>
        </w:rPr>
        <w:t xml:space="preserve"> “</w:t>
      </w:r>
      <w:r w:rsidR="00171B14">
        <w:rPr>
          <w:b w:val="0"/>
          <w:szCs w:val="22"/>
        </w:rPr>
        <w:t>pre-approval guidance</w:t>
      </w:r>
      <w:r w:rsidR="00615295">
        <w:rPr>
          <w:b w:val="0"/>
          <w:szCs w:val="22"/>
        </w:rPr>
        <w:t xml:space="preserve"> list” </w:t>
      </w:r>
      <w:r w:rsidRPr="00712D0F">
        <w:rPr>
          <w:b w:val="0"/>
          <w:szCs w:val="22"/>
        </w:rPr>
        <w:t xml:space="preserve">identifying the categories of equipment </w:t>
      </w:r>
      <w:r w:rsidR="00B75F20">
        <w:rPr>
          <w:b w:val="0"/>
          <w:szCs w:val="22"/>
        </w:rPr>
        <w:t xml:space="preserve">or types of testing </w:t>
      </w:r>
      <w:r>
        <w:rPr>
          <w:b w:val="0"/>
          <w:szCs w:val="22"/>
        </w:rPr>
        <w:t>for which</w:t>
      </w:r>
      <w:r w:rsidRPr="00712D0F">
        <w:rPr>
          <w:b w:val="0"/>
          <w:szCs w:val="22"/>
        </w:rPr>
        <w:t xml:space="preserve"> TCBs must </w:t>
      </w:r>
      <w:r>
        <w:rPr>
          <w:b w:val="0"/>
          <w:szCs w:val="22"/>
        </w:rPr>
        <w:t>request guidance</w:t>
      </w:r>
      <w:r w:rsidR="009678C8">
        <w:rPr>
          <w:b w:val="0"/>
          <w:szCs w:val="22"/>
        </w:rPr>
        <w:t xml:space="preserve"> from the Commission before approving equipment on the list</w:t>
      </w:r>
      <w:r>
        <w:rPr>
          <w:b w:val="0"/>
          <w:szCs w:val="22"/>
        </w:rPr>
        <w:t xml:space="preserve">.  </w:t>
      </w:r>
    </w:p>
    <w:p w:rsidR="007B3978" w:rsidRPr="00712D0F" w:rsidRDefault="00E75186" w:rsidP="00E75186">
      <w:pPr>
        <w:pStyle w:val="Heading5"/>
        <w:numPr>
          <w:ilvl w:val="0"/>
          <w:numId w:val="0"/>
        </w:numPr>
        <w:rPr>
          <w:b w:val="0"/>
          <w:szCs w:val="22"/>
        </w:rPr>
      </w:pPr>
      <w:r>
        <w:rPr>
          <w:b w:val="0"/>
          <w:szCs w:val="22"/>
        </w:rPr>
        <w:t xml:space="preserve">(b) </w:t>
      </w:r>
      <w:r w:rsidR="007B3978" w:rsidRPr="00712D0F">
        <w:rPr>
          <w:b w:val="0"/>
          <w:szCs w:val="22"/>
        </w:rPr>
        <w:t xml:space="preserve">TCBs </w:t>
      </w:r>
      <w:r>
        <w:rPr>
          <w:b w:val="0"/>
          <w:szCs w:val="22"/>
        </w:rPr>
        <w:t>shall</w:t>
      </w:r>
      <w:r w:rsidR="007B3978" w:rsidRPr="00712D0F">
        <w:rPr>
          <w:b w:val="0"/>
          <w:szCs w:val="22"/>
        </w:rPr>
        <w:t xml:space="preserve"> use the following procedure for </w:t>
      </w:r>
      <w:r w:rsidR="00712D0F">
        <w:rPr>
          <w:b w:val="0"/>
          <w:szCs w:val="22"/>
        </w:rPr>
        <w:t xml:space="preserve">approving </w:t>
      </w:r>
      <w:r w:rsidR="007B3978" w:rsidRPr="00712D0F">
        <w:rPr>
          <w:b w:val="0"/>
          <w:szCs w:val="22"/>
        </w:rPr>
        <w:t xml:space="preserve">equipment on the Commission’s </w:t>
      </w:r>
      <w:r w:rsidR="00171B14">
        <w:rPr>
          <w:b w:val="0"/>
          <w:szCs w:val="22"/>
        </w:rPr>
        <w:t>pre-approval guidance</w:t>
      </w:r>
      <w:r w:rsidR="007B3978" w:rsidRPr="00712D0F">
        <w:rPr>
          <w:b w:val="0"/>
          <w:szCs w:val="22"/>
        </w:rPr>
        <w:t xml:space="preserve"> list.</w:t>
      </w:r>
    </w:p>
    <w:p w:rsidR="007B3978" w:rsidRPr="00712D0F" w:rsidRDefault="007B3978" w:rsidP="00712D0F">
      <w:pPr>
        <w:pStyle w:val="Heading5"/>
        <w:numPr>
          <w:ilvl w:val="0"/>
          <w:numId w:val="0"/>
        </w:numPr>
        <w:rPr>
          <w:b w:val="0"/>
          <w:szCs w:val="22"/>
        </w:rPr>
      </w:pPr>
      <w:r w:rsidRPr="00712D0F">
        <w:rPr>
          <w:b w:val="0"/>
          <w:szCs w:val="22"/>
        </w:rPr>
        <w:t>(</w:t>
      </w:r>
      <w:r w:rsidR="00E75186">
        <w:rPr>
          <w:b w:val="0"/>
          <w:szCs w:val="22"/>
        </w:rPr>
        <w:t>1</w:t>
      </w:r>
      <w:r w:rsidRPr="00712D0F">
        <w:rPr>
          <w:b w:val="0"/>
          <w:szCs w:val="22"/>
        </w:rPr>
        <w:t xml:space="preserve">) A TCB </w:t>
      </w:r>
      <w:r w:rsidR="00E75186">
        <w:rPr>
          <w:b w:val="0"/>
          <w:szCs w:val="22"/>
        </w:rPr>
        <w:t>shall</w:t>
      </w:r>
      <w:r w:rsidRPr="00712D0F">
        <w:rPr>
          <w:b w:val="0"/>
          <w:szCs w:val="22"/>
        </w:rPr>
        <w:t xml:space="preserve"> </w:t>
      </w:r>
      <w:r w:rsidR="00171B14">
        <w:rPr>
          <w:b w:val="0"/>
          <w:szCs w:val="22"/>
        </w:rPr>
        <w:t xml:space="preserve">perform an initial review of the application and determine the issues on which it </w:t>
      </w:r>
      <w:r w:rsidR="00C8323F">
        <w:rPr>
          <w:b w:val="0"/>
          <w:szCs w:val="22"/>
        </w:rPr>
        <w:t>needs to</w:t>
      </w:r>
      <w:r w:rsidR="00171B14">
        <w:rPr>
          <w:b w:val="0"/>
          <w:szCs w:val="22"/>
        </w:rPr>
        <w:t xml:space="preserve"> obtain guidance from the Commission.  It shall then contact the Commission to obtain guidance on th</w:t>
      </w:r>
      <w:r w:rsidR="00C8323F">
        <w:rPr>
          <w:b w:val="0"/>
          <w:szCs w:val="22"/>
        </w:rPr>
        <w:t>o</w:t>
      </w:r>
      <w:r w:rsidR="00171B14">
        <w:rPr>
          <w:b w:val="0"/>
          <w:szCs w:val="22"/>
        </w:rPr>
        <w:t xml:space="preserve">se </w:t>
      </w:r>
      <w:r w:rsidR="00171B14" w:rsidRPr="00024246">
        <w:rPr>
          <w:b w:val="0"/>
          <w:szCs w:val="22"/>
        </w:rPr>
        <w:t>issues</w:t>
      </w:r>
      <w:r w:rsidR="00024246" w:rsidRPr="00024246">
        <w:rPr>
          <w:b w:val="0"/>
        </w:rPr>
        <w:t xml:space="preserve"> by electronically submitting relevant exhibits</w:t>
      </w:r>
      <w:r w:rsidR="00171B14" w:rsidRPr="00024246">
        <w:rPr>
          <w:b w:val="0"/>
          <w:szCs w:val="22"/>
        </w:rPr>
        <w:t>.</w:t>
      </w:r>
    </w:p>
    <w:p w:rsidR="007B3978" w:rsidRPr="00712D0F" w:rsidRDefault="00E75186" w:rsidP="00712D0F">
      <w:pPr>
        <w:pStyle w:val="Heading5"/>
        <w:numPr>
          <w:ilvl w:val="0"/>
          <w:numId w:val="0"/>
        </w:numPr>
        <w:rPr>
          <w:b w:val="0"/>
          <w:szCs w:val="22"/>
        </w:rPr>
      </w:pPr>
      <w:r>
        <w:rPr>
          <w:b w:val="0"/>
          <w:szCs w:val="22"/>
        </w:rPr>
        <w:t>(2</w:t>
      </w:r>
      <w:r w:rsidR="007B3978" w:rsidRPr="00712D0F">
        <w:rPr>
          <w:b w:val="0"/>
          <w:szCs w:val="22"/>
        </w:rPr>
        <w:t xml:space="preserve">) The TCB </w:t>
      </w:r>
      <w:r>
        <w:rPr>
          <w:b w:val="0"/>
          <w:szCs w:val="22"/>
        </w:rPr>
        <w:t>shall</w:t>
      </w:r>
      <w:r w:rsidR="007B3978" w:rsidRPr="00712D0F">
        <w:rPr>
          <w:b w:val="0"/>
          <w:szCs w:val="22"/>
        </w:rPr>
        <w:t xml:space="preserve"> </w:t>
      </w:r>
      <w:r w:rsidR="00C8323F">
        <w:rPr>
          <w:b w:val="0"/>
          <w:szCs w:val="22"/>
        </w:rPr>
        <w:t>complete the review of the application in accordance with the Commission’s guidance</w:t>
      </w:r>
      <w:r w:rsidR="007B3978" w:rsidRPr="00712D0F">
        <w:rPr>
          <w:b w:val="0"/>
          <w:szCs w:val="22"/>
        </w:rPr>
        <w:t>.</w:t>
      </w:r>
    </w:p>
    <w:p w:rsidR="00024246" w:rsidRPr="00712D0F" w:rsidRDefault="00024246" w:rsidP="00024246">
      <w:pPr>
        <w:pStyle w:val="Heading5"/>
        <w:numPr>
          <w:ilvl w:val="0"/>
          <w:numId w:val="0"/>
        </w:numPr>
        <w:rPr>
          <w:b w:val="0"/>
          <w:szCs w:val="22"/>
        </w:rPr>
      </w:pPr>
      <w:r>
        <w:rPr>
          <w:b w:val="0"/>
          <w:szCs w:val="22"/>
        </w:rPr>
        <w:t>(3</w:t>
      </w:r>
      <w:r w:rsidRPr="00712D0F">
        <w:rPr>
          <w:b w:val="0"/>
          <w:szCs w:val="22"/>
        </w:rPr>
        <w:t>) The Commission may request and test a sample of the equipment before the application can be granted.</w:t>
      </w:r>
    </w:p>
    <w:p w:rsidR="007B3978" w:rsidRPr="00712D0F" w:rsidRDefault="00E75186" w:rsidP="00024246">
      <w:pPr>
        <w:pStyle w:val="Heading5"/>
        <w:numPr>
          <w:ilvl w:val="0"/>
          <w:numId w:val="0"/>
        </w:numPr>
        <w:rPr>
          <w:b w:val="0"/>
          <w:szCs w:val="22"/>
        </w:rPr>
      </w:pPr>
      <w:r>
        <w:rPr>
          <w:b w:val="0"/>
          <w:szCs w:val="22"/>
        </w:rPr>
        <w:t>(</w:t>
      </w:r>
      <w:r w:rsidR="00024246">
        <w:rPr>
          <w:b w:val="0"/>
          <w:szCs w:val="22"/>
        </w:rPr>
        <w:t>4</w:t>
      </w:r>
      <w:r w:rsidR="007B3978" w:rsidRPr="00712D0F">
        <w:rPr>
          <w:b w:val="0"/>
          <w:szCs w:val="22"/>
        </w:rPr>
        <w:t xml:space="preserve">) The TCB </w:t>
      </w:r>
      <w:r>
        <w:rPr>
          <w:b w:val="0"/>
          <w:szCs w:val="22"/>
        </w:rPr>
        <w:t>shall</w:t>
      </w:r>
      <w:r w:rsidR="007B3978" w:rsidRPr="00712D0F">
        <w:rPr>
          <w:b w:val="0"/>
          <w:szCs w:val="22"/>
        </w:rPr>
        <w:t xml:space="preserve"> electronically submit </w:t>
      </w:r>
      <w:r>
        <w:rPr>
          <w:b w:val="0"/>
          <w:szCs w:val="22"/>
        </w:rPr>
        <w:t xml:space="preserve">the application and </w:t>
      </w:r>
      <w:r w:rsidR="007B3978" w:rsidRPr="00712D0F">
        <w:rPr>
          <w:b w:val="0"/>
          <w:szCs w:val="22"/>
        </w:rPr>
        <w:t>all exhibits to the Commission along with a request to grant the application.</w:t>
      </w:r>
    </w:p>
    <w:p w:rsidR="00265F3F" w:rsidRDefault="00024246" w:rsidP="007B3978">
      <w:pPr>
        <w:rPr>
          <w:szCs w:val="22"/>
        </w:rPr>
      </w:pPr>
      <w:r w:rsidDel="00024246">
        <w:rPr>
          <w:b/>
          <w:szCs w:val="22"/>
        </w:rPr>
        <w:t xml:space="preserve"> </w:t>
      </w:r>
      <w:r w:rsidR="00E75186">
        <w:rPr>
          <w:szCs w:val="22"/>
        </w:rPr>
        <w:t>(5</w:t>
      </w:r>
      <w:r w:rsidR="007B3978" w:rsidRPr="00712D0F">
        <w:rPr>
          <w:szCs w:val="22"/>
        </w:rPr>
        <w:t xml:space="preserve">) </w:t>
      </w:r>
      <w:r w:rsidR="00615295">
        <w:rPr>
          <w:szCs w:val="22"/>
        </w:rPr>
        <w:t>The</w:t>
      </w:r>
      <w:r w:rsidR="007B3978" w:rsidRPr="00712D0F">
        <w:rPr>
          <w:szCs w:val="22"/>
        </w:rPr>
        <w:t xml:space="preserve"> Commission </w:t>
      </w:r>
      <w:r w:rsidR="00615295" w:rsidRPr="00712D0F">
        <w:rPr>
          <w:szCs w:val="22"/>
        </w:rPr>
        <w:t>will give its concurrence for the TCB to grant the application</w:t>
      </w:r>
      <w:r w:rsidR="00615295">
        <w:rPr>
          <w:szCs w:val="22"/>
        </w:rPr>
        <w:t xml:space="preserve"> if it determines that</w:t>
      </w:r>
      <w:r w:rsidR="007B3978" w:rsidRPr="00712D0F">
        <w:rPr>
          <w:szCs w:val="22"/>
        </w:rPr>
        <w:t xml:space="preserve"> the eq</w:t>
      </w:r>
      <w:r w:rsidR="00615295">
        <w:rPr>
          <w:szCs w:val="22"/>
        </w:rPr>
        <w:t xml:space="preserve">uipment complies with the rules.  </w:t>
      </w:r>
      <w:r w:rsidR="0005790A">
        <w:rPr>
          <w:szCs w:val="22"/>
        </w:rPr>
        <w:t xml:space="preserve">The Commission will advise the TCB if additional information or equipment testing is required, or if the equipment cannot be approved </w:t>
      </w:r>
      <w:r w:rsidR="009678C8">
        <w:rPr>
          <w:szCs w:val="22"/>
        </w:rPr>
        <w:t>because it does not comply</w:t>
      </w:r>
      <w:r w:rsidR="0005790A">
        <w:rPr>
          <w:szCs w:val="22"/>
        </w:rPr>
        <w:t xml:space="preserve"> with the Commission’s rules.</w:t>
      </w:r>
    </w:p>
    <w:p w:rsidR="00265F3F" w:rsidRDefault="00265F3F" w:rsidP="007B3978">
      <w:pPr>
        <w:rPr>
          <w:szCs w:val="22"/>
        </w:rPr>
      </w:pPr>
    </w:p>
    <w:p w:rsidR="00FF1A39" w:rsidRDefault="00FF1A39" w:rsidP="00FF1A39">
      <w:pPr>
        <w:pStyle w:val="ParaNum"/>
        <w:numPr>
          <w:ilvl w:val="0"/>
          <w:numId w:val="10"/>
        </w:numPr>
        <w:rPr>
          <w:szCs w:val="22"/>
        </w:rPr>
      </w:pPr>
      <w:r>
        <w:rPr>
          <w:szCs w:val="22"/>
        </w:rPr>
        <w:t xml:space="preserve">Section 2.1033 is </w:t>
      </w:r>
      <w:r w:rsidRPr="00E45792">
        <w:rPr>
          <w:bCs/>
          <w:color w:val="000000"/>
        </w:rPr>
        <w:t>amended</w:t>
      </w:r>
      <w:r>
        <w:rPr>
          <w:szCs w:val="22"/>
        </w:rPr>
        <w:t xml:space="preserve"> by </w:t>
      </w:r>
      <w:r w:rsidR="009118CE">
        <w:rPr>
          <w:szCs w:val="22"/>
        </w:rPr>
        <w:t xml:space="preserve">revising paragraph (c) and </w:t>
      </w:r>
      <w:r>
        <w:rPr>
          <w:szCs w:val="22"/>
        </w:rPr>
        <w:t>adding new paragraphs (b)(13) and (c)(19) to read as follows:</w:t>
      </w:r>
    </w:p>
    <w:p w:rsidR="009118CE" w:rsidRPr="00FA2984" w:rsidRDefault="009118CE" w:rsidP="009118CE">
      <w:pPr>
        <w:rPr>
          <w:b/>
        </w:rPr>
      </w:pPr>
      <w:proofErr w:type="gramStart"/>
      <w:r w:rsidRPr="00FA2984">
        <w:rPr>
          <w:b/>
        </w:rPr>
        <w:t>§ 2.1033   Application for certification.</w:t>
      </w:r>
      <w:proofErr w:type="gramEnd"/>
    </w:p>
    <w:p w:rsidR="009118CE" w:rsidRDefault="009118CE" w:rsidP="009118CE"/>
    <w:p w:rsidR="009118CE" w:rsidRDefault="00EA2DCF" w:rsidP="009118CE">
      <w:r>
        <w:t>* * * * *</w:t>
      </w:r>
    </w:p>
    <w:p w:rsidR="000811BC" w:rsidRDefault="000811BC" w:rsidP="009118CE"/>
    <w:p w:rsidR="009118CE" w:rsidRDefault="009118CE" w:rsidP="009118CE">
      <w:r>
        <w:t>(b) * * *</w:t>
      </w:r>
    </w:p>
    <w:p w:rsidR="009118CE" w:rsidRDefault="009118CE" w:rsidP="009118CE"/>
    <w:p w:rsidR="009118CE" w:rsidRPr="00FA2984" w:rsidRDefault="009118CE" w:rsidP="009118CE">
      <w:r>
        <w:t xml:space="preserve">(13) </w:t>
      </w:r>
      <w:r w:rsidRPr="00FA2984">
        <w:t xml:space="preserve">Contain at least </w:t>
      </w:r>
      <w:r w:rsidR="00B10324">
        <w:t>one</w:t>
      </w:r>
      <w:r w:rsidR="00B10324" w:rsidRPr="00FA2984">
        <w:t xml:space="preserve"> </w:t>
      </w:r>
      <w:r w:rsidRPr="00FA2984">
        <w:t xml:space="preserve">drawing or photograph showing the test set-up for </w:t>
      </w:r>
      <w:r w:rsidR="00B10324">
        <w:t>each of the required types of tests</w:t>
      </w:r>
      <w:r w:rsidR="0064381B">
        <w:t xml:space="preserve"> applicable to the device</w:t>
      </w:r>
      <w:r w:rsidR="00F01527">
        <w:t xml:space="preserve"> for which certification is requested</w:t>
      </w:r>
      <w:r w:rsidR="00B10324">
        <w:t>.</w:t>
      </w:r>
      <w:r w:rsidRPr="00FA2984">
        <w:t xml:space="preserve"> These drawings or photographs must </w:t>
      </w:r>
      <w:r w:rsidRPr="00FA2984">
        <w:lastRenderedPageBreak/>
        <w:t>show enough detail to confirm other information contained in the test report. Any photographs used must be focused originals without glare or dark spots and must clearly show the test configuration used</w:t>
      </w:r>
      <w:r w:rsidR="001532BC">
        <w:t>.</w:t>
      </w:r>
    </w:p>
    <w:p w:rsidR="009118CE" w:rsidRDefault="009118CE" w:rsidP="009118CE"/>
    <w:p w:rsidR="009118CE" w:rsidRDefault="009118CE" w:rsidP="009118CE">
      <w:r>
        <w:t>(c) Applications for equipment other than that operating under parts 15, 11 and 18 of the rules shall be accompanied by a technical report containing the following information:</w:t>
      </w:r>
    </w:p>
    <w:p w:rsidR="009118CE" w:rsidRDefault="009118CE" w:rsidP="009118CE"/>
    <w:p w:rsidR="009118CE" w:rsidRDefault="009118CE" w:rsidP="009118CE">
      <w:r>
        <w:t>* * * * *</w:t>
      </w:r>
    </w:p>
    <w:p w:rsidR="009118CE" w:rsidRDefault="009118CE" w:rsidP="009118CE"/>
    <w:p w:rsidR="009118CE" w:rsidRPr="00FA2984" w:rsidRDefault="009118CE" w:rsidP="009118CE">
      <w:r>
        <w:t xml:space="preserve">(19) </w:t>
      </w:r>
      <w:r w:rsidRPr="00FA2984">
        <w:t xml:space="preserve">Contain at least </w:t>
      </w:r>
      <w:r w:rsidR="00B10324">
        <w:t>one</w:t>
      </w:r>
      <w:r w:rsidR="00B10324" w:rsidRPr="00FA2984">
        <w:t xml:space="preserve"> </w:t>
      </w:r>
      <w:r w:rsidRPr="00FA2984">
        <w:t xml:space="preserve">drawing or photograph showing the test set-up for </w:t>
      </w:r>
      <w:r w:rsidR="00B10324">
        <w:t>each of the required types of tests</w:t>
      </w:r>
      <w:r w:rsidR="0064381B" w:rsidRPr="0064381B">
        <w:t xml:space="preserve"> </w:t>
      </w:r>
      <w:r w:rsidR="0064381B">
        <w:t>applicable to the device</w:t>
      </w:r>
      <w:r w:rsidR="00F01527">
        <w:t xml:space="preserve"> for which certification is requested</w:t>
      </w:r>
      <w:r w:rsidRPr="00FA2984">
        <w:t>. These drawings or photographs must show enough detail to confirm other information contained in the test report. Any photographs used must be focused originals without glare or dark spots and must clearly show the test configuration used</w:t>
      </w:r>
      <w:r w:rsidR="001532BC">
        <w:t>.</w:t>
      </w:r>
    </w:p>
    <w:p w:rsidR="009118CE" w:rsidRDefault="009118CE" w:rsidP="009118CE"/>
    <w:p w:rsidR="009118CE" w:rsidRDefault="009118CE" w:rsidP="009118CE">
      <w:r>
        <w:t>* * * * *</w:t>
      </w:r>
    </w:p>
    <w:p w:rsidR="00FF1A39" w:rsidRDefault="00FF1A39" w:rsidP="007B3978">
      <w:pPr>
        <w:rPr>
          <w:szCs w:val="22"/>
        </w:rPr>
      </w:pPr>
    </w:p>
    <w:p w:rsidR="00E45792" w:rsidRDefault="00E45792" w:rsidP="00E45792">
      <w:pPr>
        <w:pStyle w:val="ParaNum"/>
        <w:numPr>
          <w:ilvl w:val="0"/>
          <w:numId w:val="10"/>
        </w:numPr>
        <w:rPr>
          <w:szCs w:val="22"/>
        </w:rPr>
      </w:pPr>
      <w:r>
        <w:rPr>
          <w:szCs w:val="22"/>
        </w:rPr>
        <w:t xml:space="preserve">Section 2.1073 is </w:t>
      </w:r>
      <w:r w:rsidRPr="00E45792">
        <w:rPr>
          <w:bCs/>
          <w:color w:val="000000"/>
        </w:rPr>
        <w:t>amended</w:t>
      </w:r>
      <w:r>
        <w:rPr>
          <w:szCs w:val="22"/>
        </w:rPr>
        <w:t xml:space="preserve"> by revising paragraph (b) to read as follows:</w:t>
      </w:r>
    </w:p>
    <w:p w:rsidR="00E45792" w:rsidRDefault="00E45792" w:rsidP="007B3978">
      <w:pPr>
        <w:rPr>
          <w:szCs w:val="22"/>
        </w:rPr>
      </w:pPr>
    </w:p>
    <w:p w:rsidR="00E45792" w:rsidRPr="00FD0C9F" w:rsidRDefault="00E45792" w:rsidP="00E45792">
      <w:pPr>
        <w:pStyle w:val="Heading5"/>
        <w:numPr>
          <w:ilvl w:val="0"/>
          <w:numId w:val="0"/>
        </w:numPr>
        <w:rPr>
          <w:szCs w:val="22"/>
        </w:rPr>
      </w:pPr>
      <w:bookmarkStart w:id="768" w:name="47:1.0.1.1.3.9.220.56"/>
      <w:proofErr w:type="gramStart"/>
      <w:r w:rsidRPr="00FD0C9F">
        <w:rPr>
          <w:szCs w:val="22"/>
        </w:rPr>
        <w:t>§ 2.1073   Responsibilities.</w:t>
      </w:r>
      <w:proofErr w:type="gramEnd"/>
    </w:p>
    <w:bookmarkEnd w:id="768"/>
    <w:p w:rsidR="00E45792" w:rsidRPr="00E45792" w:rsidRDefault="00E45792" w:rsidP="00E45792">
      <w:pPr>
        <w:pStyle w:val="NormalWeb"/>
        <w:rPr>
          <w:rFonts w:ascii="Times New Roman" w:hAnsi="Times New Roman"/>
          <w:sz w:val="22"/>
          <w:szCs w:val="22"/>
        </w:rPr>
      </w:pPr>
      <w:r>
        <w:rPr>
          <w:rFonts w:ascii="Times New Roman" w:hAnsi="Times New Roman"/>
          <w:sz w:val="22"/>
          <w:szCs w:val="22"/>
        </w:rPr>
        <w:t>* * * * *</w:t>
      </w:r>
    </w:p>
    <w:p w:rsidR="00E45792" w:rsidRPr="00E45792" w:rsidRDefault="00E45792" w:rsidP="00E45792">
      <w:pPr>
        <w:pStyle w:val="NormalWeb"/>
        <w:rPr>
          <w:rFonts w:ascii="Times New Roman" w:hAnsi="Times New Roman"/>
          <w:sz w:val="22"/>
          <w:szCs w:val="22"/>
        </w:rPr>
      </w:pPr>
      <w:r w:rsidRPr="00E45792">
        <w:rPr>
          <w:rFonts w:ascii="Times New Roman" w:hAnsi="Times New Roman"/>
          <w:sz w:val="22"/>
          <w:szCs w:val="22"/>
        </w:rPr>
        <w:t>(b) The responsible party, if different from the manufacturer, may upon receiving a written statement from the manufacturer that the equipment complies with the appropriate technical standards rely on the manufacturer or independent testing agency to determine compliance. However, the test records required by §2.1075 shall be in the English language and shall be made available to the Commission upon a reasonable request in accordance with the provisions of §2.945.</w:t>
      </w:r>
    </w:p>
    <w:p w:rsidR="00E45792" w:rsidRDefault="00E45792" w:rsidP="007B3978">
      <w:pPr>
        <w:rPr>
          <w:bCs/>
          <w:color w:val="000000"/>
          <w:szCs w:val="22"/>
        </w:rPr>
      </w:pPr>
      <w:r>
        <w:rPr>
          <w:bCs/>
          <w:color w:val="000000"/>
          <w:szCs w:val="22"/>
        </w:rPr>
        <w:t>* * * * *</w:t>
      </w:r>
    </w:p>
    <w:p w:rsidR="00A415C7" w:rsidRDefault="00A415C7" w:rsidP="007B3978">
      <w:pPr>
        <w:rPr>
          <w:bCs/>
          <w:color w:val="000000"/>
          <w:szCs w:val="22"/>
        </w:rPr>
      </w:pPr>
    </w:p>
    <w:p w:rsidR="00A415C7" w:rsidRDefault="00A415C7" w:rsidP="00A415C7">
      <w:pPr>
        <w:pStyle w:val="ParaNum"/>
        <w:numPr>
          <w:ilvl w:val="0"/>
          <w:numId w:val="10"/>
        </w:numPr>
        <w:rPr>
          <w:bCs/>
          <w:color w:val="000000"/>
          <w:szCs w:val="22"/>
        </w:rPr>
      </w:pPr>
      <w:r>
        <w:rPr>
          <w:bCs/>
          <w:color w:val="000000"/>
          <w:szCs w:val="22"/>
        </w:rPr>
        <w:t>Section 2.1075 is amended by revising paragraph (c) to read as follows:</w:t>
      </w:r>
    </w:p>
    <w:p w:rsidR="00A415C7" w:rsidRDefault="00A415C7" w:rsidP="007B3978">
      <w:pPr>
        <w:rPr>
          <w:b/>
          <w:bCs/>
          <w:color w:val="000000"/>
          <w:szCs w:val="22"/>
        </w:rPr>
      </w:pPr>
      <w:proofErr w:type="gramStart"/>
      <w:r w:rsidRPr="00A415C7">
        <w:rPr>
          <w:b/>
          <w:bCs/>
          <w:color w:val="000000"/>
          <w:szCs w:val="22"/>
        </w:rPr>
        <w:t>§ 2.1075   Retention of records.</w:t>
      </w:r>
      <w:proofErr w:type="gramEnd"/>
    </w:p>
    <w:p w:rsidR="00A415C7" w:rsidRDefault="00A415C7" w:rsidP="007B3978">
      <w:pPr>
        <w:rPr>
          <w:b/>
          <w:bCs/>
          <w:color w:val="000000"/>
          <w:szCs w:val="22"/>
        </w:rPr>
      </w:pPr>
    </w:p>
    <w:p w:rsidR="00A415C7" w:rsidRDefault="00A415C7" w:rsidP="007B3978">
      <w:pPr>
        <w:rPr>
          <w:bCs/>
          <w:color w:val="000000"/>
          <w:szCs w:val="22"/>
        </w:rPr>
      </w:pPr>
      <w:r w:rsidRPr="00A415C7">
        <w:rPr>
          <w:bCs/>
          <w:color w:val="000000"/>
          <w:szCs w:val="22"/>
        </w:rPr>
        <w:t>* * * * *</w:t>
      </w:r>
    </w:p>
    <w:p w:rsidR="00A415C7" w:rsidRPr="00A415C7" w:rsidRDefault="00A415C7" w:rsidP="007B3978">
      <w:pPr>
        <w:rPr>
          <w:bCs/>
          <w:color w:val="000000"/>
          <w:szCs w:val="22"/>
        </w:rPr>
      </w:pPr>
      <w:r w:rsidRPr="00A415C7">
        <w:rPr>
          <w:bCs/>
          <w:color w:val="000000"/>
          <w:szCs w:val="22"/>
        </w:rPr>
        <w:t>(c) The records listed in paragraphs (a) and (b) of this section shall be retained for two years after the manufacture or assembly, as appropriate, of said equipment has been permanently discontinued, or until the conclusion of an investigation or a proceeding if the responsible party is officially notified that an investigation or any other administrative proceeding involving the equipment has been instituted. Requests for the records described in this section and for sample units also are covered under the provisions of §2.94</w:t>
      </w:r>
      <w:r>
        <w:rPr>
          <w:bCs/>
          <w:color w:val="000000"/>
          <w:szCs w:val="22"/>
        </w:rPr>
        <w:t>5</w:t>
      </w:r>
      <w:r w:rsidRPr="00A415C7">
        <w:rPr>
          <w:bCs/>
          <w:color w:val="000000"/>
          <w:szCs w:val="22"/>
        </w:rPr>
        <w:t>.</w:t>
      </w:r>
    </w:p>
    <w:p w:rsidR="007B3978" w:rsidRDefault="007B3978" w:rsidP="007B3978">
      <w:pPr>
        <w:rPr>
          <w:bCs/>
          <w:color w:val="000000"/>
        </w:rPr>
      </w:pPr>
    </w:p>
    <w:p w:rsidR="002B2BC2" w:rsidRDefault="002B2BC2" w:rsidP="002B2BC2">
      <w:pPr>
        <w:pStyle w:val="ParaNum"/>
        <w:numPr>
          <w:ilvl w:val="0"/>
          <w:numId w:val="10"/>
        </w:numPr>
        <w:rPr>
          <w:bCs/>
          <w:color w:val="000000"/>
        </w:rPr>
      </w:pPr>
      <w:r>
        <w:rPr>
          <w:bCs/>
          <w:color w:val="000000"/>
        </w:rPr>
        <w:t xml:space="preserve">Section 2.1076 is </w:t>
      </w:r>
      <w:r w:rsidRPr="002B2BC2">
        <w:t>removed</w:t>
      </w:r>
      <w:r>
        <w:rPr>
          <w:bCs/>
          <w:color w:val="000000"/>
        </w:rPr>
        <w:t>.</w:t>
      </w:r>
    </w:p>
    <w:p w:rsidR="002B2BC2" w:rsidRDefault="002B2BC2" w:rsidP="007B3978">
      <w:pPr>
        <w:rPr>
          <w:b/>
          <w:bCs/>
          <w:color w:val="000000"/>
        </w:rPr>
      </w:pPr>
      <w:r w:rsidRPr="002B2BC2">
        <w:rPr>
          <w:b/>
        </w:rPr>
        <w:t xml:space="preserve">§ </w:t>
      </w:r>
      <w:r w:rsidRPr="002B2BC2">
        <w:rPr>
          <w:b/>
          <w:bCs/>
          <w:color w:val="000000"/>
        </w:rPr>
        <w:t>2.1076</w:t>
      </w:r>
    </w:p>
    <w:p w:rsidR="002B2BC2" w:rsidRPr="002B2BC2" w:rsidRDefault="002B2BC2" w:rsidP="007B3978">
      <w:pPr>
        <w:rPr>
          <w:b/>
          <w:bCs/>
          <w:color w:val="000000"/>
        </w:rPr>
      </w:pPr>
    </w:p>
    <w:p w:rsidR="002B2BC2" w:rsidRPr="00F85429" w:rsidRDefault="002B2BC2" w:rsidP="002B2BC2">
      <w:pPr>
        <w:pStyle w:val="ParaNum"/>
        <w:numPr>
          <w:ilvl w:val="0"/>
          <w:numId w:val="0"/>
        </w:numPr>
        <w:rPr>
          <w:b/>
          <w:szCs w:val="22"/>
        </w:rPr>
      </w:pPr>
      <w:r>
        <w:rPr>
          <w:b/>
          <w:szCs w:val="22"/>
        </w:rPr>
        <w:t>[Removed]</w:t>
      </w:r>
    </w:p>
    <w:p w:rsidR="002B2BC2" w:rsidRDefault="002B2BC2" w:rsidP="007B3978">
      <w:pPr>
        <w:rPr>
          <w:bCs/>
          <w:color w:val="000000"/>
        </w:rPr>
      </w:pPr>
    </w:p>
    <w:p w:rsidR="005833A5" w:rsidRPr="00224DDF" w:rsidRDefault="005833A5" w:rsidP="005833A5">
      <w:pPr>
        <w:rPr>
          <w:b/>
          <w:bCs/>
          <w:color w:val="000000"/>
        </w:rPr>
      </w:pPr>
      <w:r w:rsidRPr="00224DDF">
        <w:rPr>
          <w:b/>
          <w:bCs/>
          <w:color w:val="000000"/>
        </w:rPr>
        <w:t>PART 15—RADIO FREQUENCY DEVICES</w:t>
      </w:r>
      <w:r w:rsidR="005D28DB" w:rsidRPr="00224DDF">
        <w:rPr>
          <w:b/>
          <w:bCs/>
          <w:color w:val="000000"/>
        </w:rPr>
        <w:t xml:space="preserve"> </w:t>
      </w:r>
    </w:p>
    <w:p w:rsidR="005833A5" w:rsidRPr="00D46235" w:rsidRDefault="005833A5" w:rsidP="005833A5">
      <w:pPr>
        <w:rPr>
          <w:bCs/>
          <w:color w:val="000000"/>
        </w:rPr>
      </w:pPr>
    </w:p>
    <w:p w:rsidR="005833A5" w:rsidRPr="00D46235" w:rsidRDefault="005833A5" w:rsidP="005833A5">
      <w:pPr>
        <w:pStyle w:val="ParaNum"/>
        <w:numPr>
          <w:ilvl w:val="0"/>
          <w:numId w:val="10"/>
        </w:numPr>
        <w:rPr>
          <w:spacing w:val="-2"/>
        </w:rPr>
      </w:pPr>
      <w:r w:rsidRPr="00D46235">
        <w:rPr>
          <w:spacing w:val="-2"/>
        </w:rPr>
        <w:t xml:space="preserve">The authority citation for </w:t>
      </w:r>
      <w:r w:rsidR="00F6505E">
        <w:rPr>
          <w:spacing w:val="-2"/>
        </w:rPr>
        <w:t>P</w:t>
      </w:r>
      <w:r w:rsidRPr="00D46235">
        <w:rPr>
          <w:spacing w:val="-2"/>
        </w:rPr>
        <w:t>art 15 continues to read as follows:</w:t>
      </w:r>
    </w:p>
    <w:p w:rsidR="005833A5" w:rsidRPr="00D46235" w:rsidRDefault="005833A5" w:rsidP="005833A5"/>
    <w:p w:rsidR="005833A5" w:rsidRPr="00D46235" w:rsidRDefault="005833A5" w:rsidP="005833A5">
      <w:proofErr w:type="gramStart"/>
      <w:r w:rsidRPr="00BC0053">
        <w:rPr>
          <w:b/>
        </w:rPr>
        <w:t>Authority</w:t>
      </w:r>
      <w:r w:rsidRPr="00D46235">
        <w:t>:</w:t>
      </w:r>
      <w:r>
        <w:t xml:space="preserve">  </w:t>
      </w:r>
      <w:r w:rsidRPr="00D46235">
        <w:t>47 U.S.C. 154, 302a, 303, 304, 307, 336, 544a, and 549.</w:t>
      </w:r>
      <w:proofErr w:type="gramEnd"/>
    </w:p>
    <w:p w:rsidR="005833A5" w:rsidRDefault="005833A5" w:rsidP="005833A5"/>
    <w:p w:rsidR="005833A5" w:rsidRDefault="009159CD" w:rsidP="005833A5">
      <w:pPr>
        <w:pStyle w:val="ParaNum"/>
        <w:numPr>
          <w:ilvl w:val="0"/>
          <w:numId w:val="10"/>
        </w:numPr>
      </w:pPr>
      <w:r>
        <w:t>Section 15.31 is amended by revising paragraph (a)(3) and adding a new paragraph (a)(4) to read as follows:</w:t>
      </w:r>
    </w:p>
    <w:p w:rsidR="009159CD" w:rsidRPr="009159CD" w:rsidRDefault="009159CD" w:rsidP="009159CD">
      <w:pPr>
        <w:pStyle w:val="ParaNum"/>
        <w:numPr>
          <w:ilvl w:val="0"/>
          <w:numId w:val="0"/>
        </w:numPr>
        <w:rPr>
          <w:b/>
        </w:rPr>
      </w:pPr>
      <w:proofErr w:type="gramStart"/>
      <w:r w:rsidRPr="009159CD">
        <w:rPr>
          <w:b/>
        </w:rPr>
        <w:t>§ 15.31   Measurement standards.</w:t>
      </w:r>
      <w:proofErr w:type="gramEnd"/>
    </w:p>
    <w:p w:rsidR="009159CD" w:rsidRDefault="009159CD" w:rsidP="009159CD">
      <w:pPr>
        <w:pStyle w:val="ParaNum"/>
        <w:numPr>
          <w:ilvl w:val="0"/>
          <w:numId w:val="0"/>
        </w:numPr>
      </w:pPr>
      <w:r>
        <w:t>(a) * * *</w:t>
      </w:r>
    </w:p>
    <w:p w:rsidR="009159CD" w:rsidRPr="009159CD" w:rsidRDefault="009159CD" w:rsidP="009159CD">
      <w:pPr>
        <w:pStyle w:val="ParaNum"/>
        <w:numPr>
          <w:ilvl w:val="0"/>
          <w:numId w:val="0"/>
        </w:numPr>
      </w:pPr>
      <w:r>
        <w:t xml:space="preserve">(3) Other </w:t>
      </w:r>
      <w:r w:rsidRPr="009159CD">
        <w:t>intentional radiators are to be measured for compliance using the following procedure: ANSI C63.</w:t>
      </w:r>
      <w:r>
        <w:t>10</w:t>
      </w:r>
      <w:r w:rsidRPr="009159CD">
        <w:t>–200</w:t>
      </w:r>
      <w:r>
        <w:t>9</w:t>
      </w:r>
      <w:r w:rsidRPr="009159CD">
        <w:t xml:space="preserve">: “American National Standard for Testing Unlicensed Wireless Devices” (incorporated by reference, see §15.38). </w:t>
      </w:r>
      <w:proofErr w:type="gramStart"/>
      <w:r w:rsidRPr="009159CD">
        <w:t>This incorporation by reference was approved by the Director of the Federal Register in accordance with 5 U.S.C. 552(a) and 1 CFR part 51</w:t>
      </w:r>
      <w:proofErr w:type="gramEnd"/>
      <w:r w:rsidRPr="009159CD">
        <w:t>.</w:t>
      </w:r>
    </w:p>
    <w:p w:rsidR="009159CD" w:rsidRDefault="009159CD" w:rsidP="009159CD">
      <w:pPr>
        <w:pStyle w:val="ParaNum"/>
        <w:numPr>
          <w:ilvl w:val="0"/>
          <w:numId w:val="0"/>
        </w:numPr>
      </w:pPr>
      <w:r>
        <w:t>(4) U</w:t>
      </w:r>
      <w:r w:rsidRPr="009159CD">
        <w:t>nintentional radiators are to be measured for compliance using the following procedure</w:t>
      </w:r>
      <w:r w:rsidR="00AC22AB">
        <w:t xml:space="preserve"> excluding sections 4.5.2, 6.2.12, </w:t>
      </w:r>
      <w:r w:rsidR="002F7584">
        <w:t xml:space="preserve">8.2.2, </w:t>
      </w:r>
      <w:r w:rsidR="00AC22AB">
        <w:t>9 and 14</w:t>
      </w:r>
      <w:r w:rsidRPr="009159CD">
        <w:t>: ANSI C63.4–200</w:t>
      </w:r>
      <w:r>
        <w:t>9</w:t>
      </w:r>
      <w:r w:rsidRPr="009159CD">
        <w:t xml:space="preserve">: “Methods of Measurement of Radio-Noise Emissions from Low-Voltage Electrical and Electronic Equipment in the Range of 9 kHz to 40 GHz” (incorporated by reference, see §15.38). </w:t>
      </w:r>
      <w:proofErr w:type="gramStart"/>
      <w:r w:rsidRPr="009159CD">
        <w:t>This incorporation by reference was approved by the Director of the Federal Register in accordance with 5 U.S.C. 552(a) and 1 CFR part 51</w:t>
      </w:r>
      <w:proofErr w:type="gramEnd"/>
      <w:r w:rsidRPr="009159CD">
        <w:t>.</w:t>
      </w:r>
    </w:p>
    <w:p w:rsidR="009159CD" w:rsidRDefault="009159CD" w:rsidP="009159CD">
      <w:pPr>
        <w:pStyle w:val="ParaNum"/>
        <w:numPr>
          <w:ilvl w:val="0"/>
          <w:numId w:val="0"/>
        </w:numPr>
      </w:pPr>
      <w:r>
        <w:t>* * * * *</w:t>
      </w:r>
    </w:p>
    <w:p w:rsidR="00F6505E" w:rsidRDefault="00F6505E" w:rsidP="005833A5">
      <w:pPr>
        <w:pStyle w:val="ParaNum"/>
        <w:numPr>
          <w:ilvl w:val="0"/>
          <w:numId w:val="10"/>
        </w:numPr>
      </w:pPr>
      <w:r>
        <w:t>Section 15.38 is amended by revising paragraph (b)(6) and adding a new paragraph (b)(14) to read as follows:</w:t>
      </w:r>
    </w:p>
    <w:p w:rsidR="00F6505E" w:rsidRDefault="00F6505E" w:rsidP="00F6505E">
      <w:pPr>
        <w:pStyle w:val="Default"/>
        <w:rPr>
          <w:sz w:val="22"/>
          <w:szCs w:val="22"/>
        </w:rPr>
      </w:pPr>
      <w:proofErr w:type="gramStart"/>
      <w:r>
        <w:rPr>
          <w:b/>
          <w:sz w:val="22"/>
          <w:szCs w:val="22"/>
        </w:rPr>
        <w:t>§ 15.38 Incorporation by reference.</w:t>
      </w:r>
      <w:proofErr w:type="gramEnd"/>
    </w:p>
    <w:p w:rsidR="00F6505E" w:rsidRDefault="00F6505E" w:rsidP="00F6505E">
      <w:pPr>
        <w:pStyle w:val="Default"/>
        <w:rPr>
          <w:sz w:val="22"/>
          <w:szCs w:val="22"/>
        </w:rPr>
      </w:pPr>
    </w:p>
    <w:p w:rsidR="00F6505E" w:rsidRDefault="00F6505E" w:rsidP="00F6505E">
      <w:pPr>
        <w:pStyle w:val="Default"/>
        <w:rPr>
          <w:sz w:val="22"/>
          <w:szCs w:val="22"/>
        </w:rPr>
      </w:pPr>
      <w:r>
        <w:rPr>
          <w:sz w:val="22"/>
          <w:szCs w:val="22"/>
        </w:rPr>
        <w:t>* * * * *</w:t>
      </w:r>
    </w:p>
    <w:p w:rsidR="000C4F18" w:rsidRDefault="000C4F18" w:rsidP="00F6505E">
      <w:pPr>
        <w:pStyle w:val="Default"/>
        <w:rPr>
          <w:sz w:val="22"/>
          <w:szCs w:val="22"/>
        </w:rPr>
      </w:pPr>
    </w:p>
    <w:p w:rsidR="00F6505E" w:rsidRDefault="00F6505E" w:rsidP="00F6505E">
      <w:pPr>
        <w:pStyle w:val="Default"/>
        <w:rPr>
          <w:sz w:val="22"/>
          <w:szCs w:val="22"/>
        </w:rPr>
      </w:pPr>
      <w:r>
        <w:rPr>
          <w:sz w:val="22"/>
          <w:szCs w:val="22"/>
        </w:rPr>
        <w:t>(b) * * *</w:t>
      </w:r>
    </w:p>
    <w:p w:rsidR="000C4F18" w:rsidRDefault="000C4F18" w:rsidP="00F6505E">
      <w:pPr>
        <w:pStyle w:val="Default"/>
        <w:rPr>
          <w:sz w:val="22"/>
          <w:szCs w:val="22"/>
        </w:rPr>
      </w:pPr>
    </w:p>
    <w:p w:rsidR="00F6505E" w:rsidRDefault="00F6505E" w:rsidP="00F6505E">
      <w:pPr>
        <w:pStyle w:val="Default"/>
        <w:rPr>
          <w:sz w:val="22"/>
          <w:szCs w:val="22"/>
        </w:rPr>
      </w:pPr>
      <w:r>
        <w:rPr>
          <w:sz w:val="22"/>
          <w:szCs w:val="22"/>
        </w:rPr>
        <w:t xml:space="preserve">(6) </w:t>
      </w:r>
      <w:r w:rsidRPr="00F6505E">
        <w:rPr>
          <w:sz w:val="22"/>
          <w:szCs w:val="22"/>
        </w:rPr>
        <w:t>ANSI C63.4–200</w:t>
      </w:r>
      <w:r>
        <w:rPr>
          <w:sz w:val="22"/>
          <w:szCs w:val="22"/>
        </w:rPr>
        <w:t>9</w:t>
      </w:r>
      <w:r w:rsidRPr="00F6505E">
        <w:rPr>
          <w:sz w:val="22"/>
          <w:szCs w:val="22"/>
        </w:rPr>
        <w:t>: “Methods of Measurement of Radio-Noise Emissions from Low-Voltage Electrical and Electronic Equipment in the Range of 9 kHz to 40 GHz,” 200</w:t>
      </w:r>
      <w:r>
        <w:rPr>
          <w:sz w:val="22"/>
          <w:szCs w:val="22"/>
        </w:rPr>
        <w:t>9</w:t>
      </w:r>
      <w:r w:rsidRPr="00F6505E">
        <w:rPr>
          <w:sz w:val="22"/>
          <w:szCs w:val="22"/>
        </w:rPr>
        <w:t xml:space="preserve">, IBR </w:t>
      </w:r>
      <w:r>
        <w:rPr>
          <w:sz w:val="22"/>
          <w:szCs w:val="22"/>
        </w:rPr>
        <w:t>approved for §15.31</w:t>
      </w:r>
      <w:r w:rsidR="000B7E37">
        <w:rPr>
          <w:sz w:val="22"/>
          <w:szCs w:val="22"/>
        </w:rPr>
        <w:t xml:space="preserve"> except sections </w:t>
      </w:r>
      <w:r w:rsidR="000B7E37">
        <w:t>4.5.2, 6.2.12, 8.2.2, 9 and 14</w:t>
      </w:r>
      <w:r w:rsidRPr="00F6505E">
        <w:rPr>
          <w:sz w:val="22"/>
          <w:szCs w:val="22"/>
        </w:rPr>
        <w:t>.</w:t>
      </w:r>
    </w:p>
    <w:p w:rsidR="000C4F18" w:rsidRDefault="000C4F18" w:rsidP="00F6505E">
      <w:pPr>
        <w:pStyle w:val="Default"/>
        <w:rPr>
          <w:sz w:val="22"/>
          <w:szCs w:val="22"/>
        </w:rPr>
      </w:pPr>
    </w:p>
    <w:p w:rsidR="00F6505E" w:rsidRDefault="00F6505E" w:rsidP="00F6505E">
      <w:pPr>
        <w:pStyle w:val="Default"/>
        <w:rPr>
          <w:sz w:val="22"/>
          <w:szCs w:val="22"/>
        </w:rPr>
      </w:pPr>
      <w:r>
        <w:rPr>
          <w:sz w:val="22"/>
          <w:szCs w:val="22"/>
        </w:rPr>
        <w:t>* * * * *</w:t>
      </w:r>
    </w:p>
    <w:p w:rsidR="000C4F18" w:rsidRDefault="000C4F18" w:rsidP="00F6505E">
      <w:pPr>
        <w:pStyle w:val="Default"/>
        <w:rPr>
          <w:sz w:val="22"/>
          <w:szCs w:val="22"/>
        </w:rPr>
      </w:pPr>
    </w:p>
    <w:p w:rsidR="00F6505E" w:rsidRDefault="00A860A4" w:rsidP="00F6505E">
      <w:pPr>
        <w:pStyle w:val="Default"/>
        <w:rPr>
          <w:sz w:val="22"/>
          <w:szCs w:val="22"/>
        </w:rPr>
      </w:pPr>
      <w:r w:rsidRPr="000C4F18">
        <w:rPr>
          <w:sz w:val="22"/>
          <w:szCs w:val="22"/>
        </w:rPr>
        <w:t xml:space="preserve">(14) </w:t>
      </w:r>
      <w:r w:rsidR="000C4F18" w:rsidRPr="000C4F18">
        <w:rPr>
          <w:sz w:val="22"/>
          <w:szCs w:val="22"/>
        </w:rPr>
        <w:t xml:space="preserve">ANSI C63.10-2009, </w:t>
      </w:r>
      <w:r w:rsidR="000C4F18">
        <w:rPr>
          <w:sz w:val="22"/>
          <w:szCs w:val="22"/>
        </w:rPr>
        <w:t>“</w:t>
      </w:r>
      <w:r w:rsidR="000C4F18" w:rsidRPr="000C4F18">
        <w:rPr>
          <w:sz w:val="22"/>
          <w:szCs w:val="22"/>
        </w:rPr>
        <w:t>American National Standard for Testing Unlicensed Wireless Devices</w:t>
      </w:r>
      <w:r w:rsidR="000C4F18">
        <w:rPr>
          <w:sz w:val="22"/>
          <w:szCs w:val="22"/>
        </w:rPr>
        <w:t>,” 2009, IBR approved for §15.31</w:t>
      </w:r>
      <w:r w:rsidR="000C4F18" w:rsidRPr="00F6505E">
        <w:rPr>
          <w:sz w:val="22"/>
          <w:szCs w:val="22"/>
        </w:rPr>
        <w:t>.</w:t>
      </w:r>
    </w:p>
    <w:p w:rsidR="000C4F18" w:rsidRDefault="000C4F18" w:rsidP="00F6505E">
      <w:pPr>
        <w:pStyle w:val="Default"/>
        <w:rPr>
          <w:sz w:val="22"/>
          <w:szCs w:val="22"/>
        </w:rPr>
      </w:pPr>
    </w:p>
    <w:p w:rsidR="000C4F18" w:rsidRDefault="000C4F18" w:rsidP="00F6505E">
      <w:pPr>
        <w:pStyle w:val="Default"/>
        <w:rPr>
          <w:sz w:val="22"/>
          <w:szCs w:val="22"/>
        </w:rPr>
      </w:pPr>
      <w:r>
        <w:rPr>
          <w:sz w:val="22"/>
          <w:szCs w:val="22"/>
        </w:rPr>
        <w:t>* * * * *</w:t>
      </w:r>
    </w:p>
    <w:p w:rsidR="00F96992" w:rsidRDefault="00F96992" w:rsidP="00F6505E">
      <w:pPr>
        <w:pStyle w:val="Default"/>
        <w:rPr>
          <w:sz w:val="22"/>
          <w:szCs w:val="22"/>
        </w:rPr>
      </w:pPr>
    </w:p>
    <w:p w:rsidR="00F96992" w:rsidRDefault="00F96992" w:rsidP="00F96992">
      <w:pPr>
        <w:pStyle w:val="ParaNum"/>
        <w:numPr>
          <w:ilvl w:val="0"/>
          <w:numId w:val="10"/>
        </w:numPr>
        <w:rPr>
          <w:szCs w:val="22"/>
        </w:rPr>
      </w:pPr>
      <w:proofErr w:type="gramStart"/>
      <w:r>
        <w:rPr>
          <w:szCs w:val="22"/>
        </w:rPr>
        <w:t>Section 15.109 is amended by removing paragraph</w:t>
      </w:r>
      <w:proofErr w:type="gramEnd"/>
      <w:r>
        <w:rPr>
          <w:szCs w:val="22"/>
        </w:rPr>
        <w:t xml:space="preserve"> (g)(4).</w:t>
      </w:r>
    </w:p>
    <w:p w:rsidR="00F96992" w:rsidRDefault="00F96992" w:rsidP="00F6505E">
      <w:pPr>
        <w:pStyle w:val="Default"/>
        <w:rPr>
          <w:sz w:val="22"/>
          <w:szCs w:val="22"/>
        </w:rPr>
      </w:pPr>
    </w:p>
    <w:p w:rsidR="00F96992" w:rsidRDefault="00F96992" w:rsidP="00F6505E">
      <w:pPr>
        <w:pStyle w:val="Default"/>
        <w:rPr>
          <w:b/>
          <w:sz w:val="22"/>
          <w:szCs w:val="22"/>
        </w:rPr>
      </w:pPr>
      <w:r w:rsidRPr="00F96992">
        <w:rPr>
          <w:b/>
          <w:sz w:val="22"/>
          <w:szCs w:val="22"/>
        </w:rPr>
        <w:t xml:space="preserve">§ </w:t>
      </w:r>
      <w:proofErr w:type="gramStart"/>
      <w:r w:rsidRPr="00F96992">
        <w:rPr>
          <w:b/>
          <w:sz w:val="22"/>
          <w:szCs w:val="22"/>
        </w:rPr>
        <w:t>15.109  Radiated</w:t>
      </w:r>
      <w:proofErr w:type="gramEnd"/>
      <w:r w:rsidRPr="00F96992">
        <w:rPr>
          <w:b/>
          <w:sz w:val="22"/>
          <w:szCs w:val="22"/>
        </w:rPr>
        <w:t xml:space="preserve"> emission limits.</w:t>
      </w:r>
    </w:p>
    <w:p w:rsidR="00F96992" w:rsidRDefault="00F96992" w:rsidP="00F6505E">
      <w:pPr>
        <w:pStyle w:val="Default"/>
        <w:rPr>
          <w:b/>
          <w:sz w:val="22"/>
          <w:szCs w:val="22"/>
        </w:rPr>
      </w:pPr>
    </w:p>
    <w:p w:rsidR="00F96992" w:rsidRPr="00F96992" w:rsidRDefault="00F96992" w:rsidP="00F96992">
      <w:pPr>
        <w:pStyle w:val="Default"/>
        <w:spacing w:after="120"/>
        <w:rPr>
          <w:sz w:val="22"/>
          <w:szCs w:val="22"/>
        </w:rPr>
      </w:pPr>
      <w:r w:rsidRPr="00F96992">
        <w:rPr>
          <w:sz w:val="22"/>
          <w:szCs w:val="22"/>
        </w:rPr>
        <w:t>* * * * *</w:t>
      </w:r>
    </w:p>
    <w:p w:rsidR="00F96992" w:rsidRDefault="00F96992" w:rsidP="00F96992">
      <w:pPr>
        <w:pStyle w:val="Default"/>
        <w:spacing w:after="120"/>
        <w:rPr>
          <w:sz w:val="22"/>
          <w:szCs w:val="22"/>
        </w:rPr>
      </w:pPr>
      <w:r>
        <w:rPr>
          <w:sz w:val="22"/>
          <w:szCs w:val="22"/>
        </w:rPr>
        <w:t>(g) * * *</w:t>
      </w:r>
    </w:p>
    <w:p w:rsidR="00F96992" w:rsidRDefault="00F96992" w:rsidP="00F96992">
      <w:pPr>
        <w:pStyle w:val="Default"/>
        <w:spacing w:after="120"/>
        <w:rPr>
          <w:sz w:val="22"/>
          <w:szCs w:val="22"/>
        </w:rPr>
      </w:pPr>
      <w:r>
        <w:rPr>
          <w:sz w:val="22"/>
          <w:szCs w:val="22"/>
        </w:rPr>
        <w:t>(4) [Removed]</w:t>
      </w:r>
    </w:p>
    <w:p w:rsidR="00F96992" w:rsidRPr="00F96992" w:rsidRDefault="00F96992" w:rsidP="00F96992">
      <w:pPr>
        <w:pStyle w:val="Default"/>
        <w:spacing w:after="120"/>
        <w:rPr>
          <w:sz w:val="22"/>
          <w:szCs w:val="22"/>
        </w:rPr>
      </w:pPr>
      <w:r>
        <w:rPr>
          <w:sz w:val="22"/>
          <w:szCs w:val="22"/>
        </w:rPr>
        <w:t>* * * * *</w:t>
      </w:r>
    </w:p>
    <w:p w:rsidR="00A860A4" w:rsidRPr="00F6505E" w:rsidRDefault="00A860A4" w:rsidP="00F6505E">
      <w:pPr>
        <w:pStyle w:val="Default"/>
        <w:rPr>
          <w:sz w:val="22"/>
          <w:szCs w:val="22"/>
        </w:rPr>
      </w:pPr>
    </w:p>
    <w:p w:rsidR="00AB758F" w:rsidRPr="00224DDF" w:rsidRDefault="00AB758F" w:rsidP="00AB758F">
      <w:pPr>
        <w:rPr>
          <w:b/>
          <w:bCs/>
          <w:color w:val="000000"/>
        </w:rPr>
      </w:pPr>
      <w:r w:rsidRPr="00224DDF">
        <w:rPr>
          <w:b/>
          <w:bCs/>
          <w:color w:val="000000"/>
        </w:rPr>
        <w:lastRenderedPageBreak/>
        <w:t xml:space="preserve">PART 68—CONNECTION OF TERMINAL EQUIPMENT TO THE TELEPHONE NETWORK </w:t>
      </w:r>
    </w:p>
    <w:p w:rsidR="00AB758F" w:rsidRPr="00D46235" w:rsidRDefault="00AB758F" w:rsidP="00AB758F">
      <w:pPr>
        <w:rPr>
          <w:bCs/>
          <w:color w:val="000000"/>
        </w:rPr>
      </w:pPr>
    </w:p>
    <w:p w:rsidR="00AB758F" w:rsidRPr="00D46235" w:rsidRDefault="00AB758F" w:rsidP="00AB758F">
      <w:pPr>
        <w:pStyle w:val="ParaNum"/>
        <w:numPr>
          <w:ilvl w:val="0"/>
          <w:numId w:val="10"/>
        </w:numPr>
        <w:rPr>
          <w:spacing w:val="-2"/>
        </w:rPr>
      </w:pPr>
      <w:r w:rsidRPr="00D46235">
        <w:rPr>
          <w:spacing w:val="-2"/>
        </w:rPr>
        <w:t xml:space="preserve">The authority citation for </w:t>
      </w:r>
      <w:r>
        <w:rPr>
          <w:spacing w:val="-2"/>
        </w:rPr>
        <w:t>P</w:t>
      </w:r>
      <w:r w:rsidRPr="00D46235">
        <w:rPr>
          <w:spacing w:val="-2"/>
        </w:rPr>
        <w:t xml:space="preserve">art </w:t>
      </w:r>
      <w:r>
        <w:rPr>
          <w:spacing w:val="-2"/>
        </w:rPr>
        <w:t>68</w:t>
      </w:r>
      <w:r w:rsidRPr="00D46235">
        <w:rPr>
          <w:spacing w:val="-2"/>
        </w:rPr>
        <w:t xml:space="preserve"> continues to read as follows:</w:t>
      </w:r>
    </w:p>
    <w:p w:rsidR="00AB758F" w:rsidRPr="00D46235" w:rsidRDefault="00AB758F" w:rsidP="00AB758F"/>
    <w:p w:rsidR="005833A5" w:rsidRPr="00D46235" w:rsidRDefault="00AB758F" w:rsidP="00AB758F">
      <w:pPr>
        <w:pStyle w:val="ParaNum"/>
        <w:numPr>
          <w:ilvl w:val="0"/>
          <w:numId w:val="0"/>
        </w:numPr>
        <w:ind w:firstLine="720"/>
      </w:pPr>
      <w:r w:rsidRPr="00BC0053">
        <w:rPr>
          <w:b/>
        </w:rPr>
        <w:t>Authority</w:t>
      </w:r>
      <w:r w:rsidRPr="00D46235">
        <w:t>:</w:t>
      </w:r>
      <w:r>
        <w:t xml:space="preserve">  Secs. </w:t>
      </w:r>
      <w:proofErr w:type="gramStart"/>
      <w:r>
        <w:t>4, 5, 303, 48 Stat., as amended, 1066, 1068, 1082; (47 U.S.C. 154, 155, 303).</w:t>
      </w:r>
      <w:proofErr w:type="gramEnd"/>
    </w:p>
    <w:p w:rsidR="005833A5" w:rsidRPr="00D46235" w:rsidRDefault="005833A5" w:rsidP="005833A5">
      <w:pPr>
        <w:rPr>
          <w:b/>
        </w:rPr>
      </w:pPr>
    </w:p>
    <w:p w:rsidR="005833A5" w:rsidRDefault="00AB758F" w:rsidP="00AB758F">
      <w:pPr>
        <w:pStyle w:val="ParaNum"/>
        <w:numPr>
          <w:ilvl w:val="0"/>
          <w:numId w:val="10"/>
        </w:numPr>
      </w:pPr>
      <w:r>
        <w:t xml:space="preserve">Section 68.160 is </w:t>
      </w:r>
      <w:r w:rsidRPr="00AB758F">
        <w:rPr>
          <w:spacing w:val="-2"/>
        </w:rPr>
        <w:t>amended</w:t>
      </w:r>
      <w:r>
        <w:t xml:space="preserve"> by revising paragraphs </w:t>
      </w:r>
      <w:r w:rsidR="002B22E0">
        <w:t xml:space="preserve">(a), </w:t>
      </w:r>
      <w:r>
        <w:t>(b) and (c)(1) to read as follows:</w:t>
      </w:r>
    </w:p>
    <w:p w:rsidR="00AB758F" w:rsidRPr="00AB758F" w:rsidRDefault="00AB758F" w:rsidP="00AB758F">
      <w:pPr>
        <w:pStyle w:val="Heading5"/>
        <w:numPr>
          <w:ilvl w:val="0"/>
          <w:numId w:val="0"/>
        </w:numPr>
        <w:rPr>
          <w:szCs w:val="22"/>
        </w:rPr>
      </w:pPr>
      <w:proofErr w:type="gramStart"/>
      <w:r w:rsidRPr="00AB758F">
        <w:rPr>
          <w:szCs w:val="22"/>
        </w:rPr>
        <w:t>§ 68.160   Designation of Telecommunication Certification Bodies (TCBs).</w:t>
      </w:r>
      <w:proofErr w:type="gramEnd"/>
    </w:p>
    <w:p w:rsidR="00EA3A11" w:rsidRPr="007B3978" w:rsidRDefault="00EA3A11" w:rsidP="00EA3A11">
      <w:pPr>
        <w:pStyle w:val="NormalWeb"/>
        <w:rPr>
          <w:rFonts w:ascii="Times New Roman" w:hAnsi="Times New Roman"/>
          <w:sz w:val="22"/>
          <w:szCs w:val="22"/>
        </w:rPr>
      </w:pPr>
      <w:r w:rsidRPr="007B3978">
        <w:rPr>
          <w:rFonts w:ascii="Times New Roman" w:hAnsi="Times New Roman"/>
          <w:sz w:val="22"/>
          <w:szCs w:val="22"/>
        </w:rPr>
        <w:t xml:space="preserve">(a) The Commission may </w:t>
      </w:r>
      <w:r>
        <w:rPr>
          <w:rFonts w:ascii="Times New Roman" w:hAnsi="Times New Roman"/>
          <w:sz w:val="22"/>
          <w:szCs w:val="22"/>
        </w:rPr>
        <w:t>recognize</w:t>
      </w:r>
      <w:r w:rsidRPr="007B3978">
        <w:rPr>
          <w:rFonts w:ascii="Times New Roman" w:hAnsi="Times New Roman"/>
          <w:sz w:val="22"/>
          <w:szCs w:val="22"/>
        </w:rPr>
        <w:t xml:space="preserve"> </w:t>
      </w:r>
      <w:r>
        <w:rPr>
          <w:rFonts w:ascii="Times New Roman" w:hAnsi="Times New Roman"/>
          <w:sz w:val="22"/>
          <w:szCs w:val="22"/>
        </w:rPr>
        <w:t xml:space="preserve">designated </w:t>
      </w:r>
      <w:r w:rsidRPr="007B3978">
        <w:rPr>
          <w:rFonts w:ascii="Times New Roman" w:hAnsi="Times New Roman"/>
          <w:sz w:val="22"/>
          <w:szCs w:val="22"/>
        </w:rPr>
        <w:t xml:space="preserve">Telecommunication Certification Bodies (TCBs) to approve equipment </w:t>
      </w:r>
      <w:r>
        <w:rPr>
          <w:rFonts w:ascii="Times New Roman" w:hAnsi="Times New Roman"/>
          <w:sz w:val="22"/>
          <w:szCs w:val="22"/>
        </w:rPr>
        <w:t xml:space="preserve">for certification </w:t>
      </w:r>
      <w:r w:rsidRPr="007B3978">
        <w:rPr>
          <w:rFonts w:ascii="Times New Roman" w:hAnsi="Times New Roman"/>
          <w:sz w:val="22"/>
          <w:szCs w:val="22"/>
        </w:rPr>
        <w:t xml:space="preserve">as required under this part. Certification of equipment by a TCB shall be based on an application with all the information specified in this part. The TCB shall process the application to determine </w:t>
      </w:r>
      <w:r>
        <w:rPr>
          <w:rFonts w:ascii="Times New Roman" w:hAnsi="Times New Roman"/>
          <w:sz w:val="22"/>
          <w:szCs w:val="22"/>
        </w:rPr>
        <w:t>compliance with</w:t>
      </w:r>
      <w:r w:rsidRPr="007B3978">
        <w:rPr>
          <w:rFonts w:ascii="Times New Roman" w:hAnsi="Times New Roman"/>
          <w:sz w:val="22"/>
          <w:szCs w:val="22"/>
        </w:rPr>
        <w:t xml:space="preserve"> the Commission's requirements and </w:t>
      </w:r>
      <w:r w:rsidRPr="00343181">
        <w:rPr>
          <w:rFonts w:ascii="Times New Roman" w:hAnsi="Times New Roman"/>
          <w:sz w:val="22"/>
          <w:szCs w:val="22"/>
        </w:rPr>
        <w:t>shall issue a written grant of equipment authorization.</w:t>
      </w:r>
      <w:r w:rsidRPr="007B3978">
        <w:rPr>
          <w:rFonts w:ascii="Times New Roman" w:hAnsi="Times New Roman"/>
          <w:sz w:val="22"/>
          <w:szCs w:val="22"/>
        </w:rPr>
        <w:t xml:space="preserve"> The grant shall identify the </w:t>
      </w:r>
      <w:r>
        <w:rPr>
          <w:rFonts w:ascii="Times New Roman" w:hAnsi="Times New Roman"/>
          <w:sz w:val="22"/>
          <w:szCs w:val="22"/>
        </w:rPr>
        <w:t xml:space="preserve">approving </w:t>
      </w:r>
      <w:r w:rsidRPr="007B3978">
        <w:rPr>
          <w:rFonts w:ascii="Times New Roman" w:hAnsi="Times New Roman"/>
          <w:sz w:val="22"/>
          <w:szCs w:val="22"/>
        </w:rPr>
        <w:t xml:space="preserve">TCB and the </w:t>
      </w:r>
      <w:r>
        <w:rPr>
          <w:rFonts w:ascii="Times New Roman" w:hAnsi="Times New Roman"/>
          <w:sz w:val="22"/>
          <w:szCs w:val="22"/>
        </w:rPr>
        <w:t>Commission as the issuing authority</w:t>
      </w:r>
      <w:r w:rsidRPr="007B3978">
        <w:rPr>
          <w:rFonts w:ascii="Times New Roman" w:hAnsi="Times New Roman"/>
          <w:sz w:val="22"/>
          <w:szCs w:val="22"/>
        </w:rPr>
        <w:t>.</w:t>
      </w:r>
    </w:p>
    <w:p w:rsidR="002B22E0" w:rsidRPr="00AB758F" w:rsidRDefault="00EA3A11" w:rsidP="00AB758F">
      <w:pPr>
        <w:pStyle w:val="NormalWeb"/>
        <w:rPr>
          <w:rFonts w:ascii="Times New Roman" w:hAnsi="Times New Roman"/>
          <w:sz w:val="22"/>
          <w:szCs w:val="22"/>
        </w:rPr>
      </w:pPr>
      <w:r w:rsidDel="00EA3A11">
        <w:rPr>
          <w:rFonts w:ascii="Times New Roman" w:hAnsi="Times New Roman"/>
          <w:sz w:val="22"/>
          <w:szCs w:val="22"/>
        </w:rPr>
        <w:t xml:space="preserve"> </w:t>
      </w:r>
      <w:r w:rsidR="00AB758F" w:rsidRPr="00AB758F">
        <w:rPr>
          <w:rFonts w:ascii="Times New Roman" w:hAnsi="Times New Roman"/>
          <w:sz w:val="22"/>
          <w:szCs w:val="22"/>
        </w:rPr>
        <w:t xml:space="preserve">(b) </w:t>
      </w:r>
      <w:r w:rsidR="002B22E0">
        <w:rPr>
          <w:rFonts w:ascii="Times New Roman" w:hAnsi="Times New Roman"/>
          <w:sz w:val="22"/>
          <w:szCs w:val="22"/>
        </w:rPr>
        <w:t>In the United States,</w:t>
      </w:r>
      <w:r w:rsidR="002B22E0" w:rsidRPr="007B3978">
        <w:rPr>
          <w:rFonts w:ascii="Times New Roman" w:hAnsi="Times New Roman"/>
          <w:sz w:val="22"/>
          <w:szCs w:val="22"/>
        </w:rPr>
        <w:t xml:space="preserve"> TCBs shall be accredited </w:t>
      </w:r>
      <w:r w:rsidR="002B22E0">
        <w:rPr>
          <w:rFonts w:ascii="Times New Roman" w:hAnsi="Times New Roman"/>
          <w:sz w:val="22"/>
          <w:szCs w:val="22"/>
        </w:rPr>
        <w:t xml:space="preserve">and designated </w:t>
      </w:r>
      <w:r w:rsidR="002B22E0" w:rsidRPr="007B3978">
        <w:rPr>
          <w:rFonts w:ascii="Times New Roman" w:hAnsi="Times New Roman"/>
          <w:sz w:val="22"/>
          <w:szCs w:val="22"/>
        </w:rPr>
        <w:t>by the National Institute of Standards and Technology (NIST) under its National Voluntary Conformity Assessment Evaluation (NVCASE) program, or other recognized programs based on ISO/IEC 17065, to comply with the Commission's qualification criteria for TCBs. NIST may, in accordance with its procedures, allow other appropriately qualified accrediting bodies to accredit TCBs.</w:t>
      </w:r>
      <w:r w:rsidR="002B22E0">
        <w:rPr>
          <w:rFonts w:ascii="Times New Roman" w:hAnsi="Times New Roman"/>
          <w:sz w:val="22"/>
          <w:szCs w:val="22"/>
        </w:rPr>
        <w:t xml:space="preserve"> </w:t>
      </w:r>
      <w:r w:rsidR="002B22E0" w:rsidRPr="007B3978">
        <w:rPr>
          <w:rFonts w:ascii="Times New Roman" w:hAnsi="Times New Roman"/>
          <w:sz w:val="22"/>
          <w:szCs w:val="22"/>
        </w:rPr>
        <w:t xml:space="preserve"> TCBs shall comply with the requirement</w:t>
      </w:r>
      <w:r w:rsidR="002B22E0">
        <w:rPr>
          <w:rFonts w:ascii="Times New Roman" w:hAnsi="Times New Roman"/>
          <w:sz w:val="22"/>
          <w:szCs w:val="22"/>
        </w:rPr>
        <w:t>s in §68.1</w:t>
      </w:r>
      <w:r w:rsidR="002B22E0" w:rsidRPr="007B3978">
        <w:rPr>
          <w:rFonts w:ascii="Times New Roman" w:hAnsi="Times New Roman"/>
          <w:sz w:val="22"/>
          <w:szCs w:val="22"/>
        </w:rPr>
        <w:t>62 of this part.</w:t>
      </w:r>
    </w:p>
    <w:p w:rsidR="00AB758F" w:rsidRPr="00AB758F" w:rsidRDefault="00AB758F" w:rsidP="00AB758F">
      <w:pPr>
        <w:pStyle w:val="NormalWeb"/>
        <w:rPr>
          <w:rFonts w:ascii="Times New Roman" w:hAnsi="Times New Roman"/>
          <w:sz w:val="22"/>
          <w:szCs w:val="22"/>
        </w:rPr>
      </w:pPr>
      <w:r w:rsidRPr="00AB758F">
        <w:rPr>
          <w:rFonts w:ascii="Times New Roman" w:hAnsi="Times New Roman"/>
          <w:sz w:val="22"/>
          <w:szCs w:val="22"/>
        </w:rPr>
        <w:t xml:space="preserve">(c) </w:t>
      </w:r>
      <w:r>
        <w:rPr>
          <w:rFonts w:ascii="Times New Roman" w:hAnsi="Times New Roman"/>
          <w:sz w:val="22"/>
          <w:szCs w:val="22"/>
        </w:rPr>
        <w:t>* * *</w:t>
      </w:r>
    </w:p>
    <w:p w:rsidR="00AB758F" w:rsidRPr="00AB758F" w:rsidRDefault="00AB758F" w:rsidP="00AB758F">
      <w:pPr>
        <w:pStyle w:val="NormalWeb"/>
        <w:rPr>
          <w:rFonts w:ascii="Times New Roman" w:hAnsi="Times New Roman"/>
          <w:sz w:val="22"/>
          <w:szCs w:val="22"/>
        </w:rPr>
      </w:pPr>
      <w:r w:rsidRPr="00AB758F">
        <w:rPr>
          <w:rFonts w:ascii="Times New Roman" w:hAnsi="Times New Roman"/>
          <w:sz w:val="22"/>
          <w:szCs w:val="22"/>
        </w:rPr>
        <w:t>(1) The organization accrediting the prospective telecommunication certification body shall be capable of meeting the requirements and conditions of ISO/IEC 17011.</w:t>
      </w:r>
    </w:p>
    <w:p w:rsidR="00AB758F" w:rsidRDefault="00AB758F" w:rsidP="00AB758F">
      <w:pPr>
        <w:pStyle w:val="NormalWeb"/>
        <w:rPr>
          <w:rFonts w:ascii="Times New Roman" w:hAnsi="Times New Roman"/>
          <w:sz w:val="22"/>
          <w:szCs w:val="22"/>
        </w:rPr>
      </w:pPr>
      <w:r>
        <w:rPr>
          <w:rFonts w:ascii="Times New Roman" w:hAnsi="Times New Roman"/>
          <w:sz w:val="22"/>
          <w:szCs w:val="22"/>
        </w:rPr>
        <w:t>* * * * *</w:t>
      </w:r>
    </w:p>
    <w:p w:rsidR="00AB758F" w:rsidRDefault="00AB758F" w:rsidP="00AB758F">
      <w:pPr>
        <w:pStyle w:val="ParaNum"/>
        <w:numPr>
          <w:ilvl w:val="0"/>
          <w:numId w:val="10"/>
        </w:numPr>
      </w:pPr>
      <w:r>
        <w:t xml:space="preserve">Section 68.162 is </w:t>
      </w:r>
      <w:r w:rsidRPr="00AB758F">
        <w:rPr>
          <w:spacing w:val="-2"/>
        </w:rPr>
        <w:t>amended</w:t>
      </w:r>
      <w:r>
        <w:t xml:space="preserve"> by revising paragraphs </w:t>
      </w:r>
      <w:r w:rsidR="004E625F">
        <w:t xml:space="preserve">(a), </w:t>
      </w:r>
      <w:r>
        <w:t xml:space="preserve">(b)(1), (c)(1), (c)(3), </w:t>
      </w:r>
      <w:r w:rsidR="0071538A">
        <w:t>(c)(4), (d)(1), (f)(2) and (g)(2)</w:t>
      </w:r>
      <w:r>
        <w:t xml:space="preserve"> to read as follows:</w:t>
      </w:r>
    </w:p>
    <w:p w:rsidR="0071538A" w:rsidRPr="0071538A" w:rsidRDefault="0071538A" w:rsidP="0071538A">
      <w:pPr>
        <w:pStyle w:val="Heading5"/>
        <w:numPr>
          <w:ilvl w:val="0"/>
          <w:numId w:val="0"/>
        </w:numPr>
        <w:rPr>
          <w:szCs w:val="22"/>
        </w:rPr>
      </w:pPr>
      <w:proofErr w:type="gramStart"/>
      <w:r w:rsidRPr="0071538A">
        <w:rPr>
          <w:szCs w:val="22"/>
        </w:rPr>
        <w:t>§ 68.162   Requirements for Telecommunication Certification Bodies.</w:t>
      </w:r>
      <w:proofErr w:type="gramEnd"/>
    </w:p>
    <w:p w:rsidR="004E625F" w:rsidRPr="005B72C1" w:rsidRDefault="004E625F" w:rsidP="004E625F">
      <w:pPr>
        <w:pStyle w:val="NormalWeb"/>
        <w:rPr>
          <w:rFonts w:ascii="Times New Roman" w:hAnsi="Times New Roman"/>
          <w:sz w:val="22"/>
          <w:szCs w:val="22"/>
        </w:rPr>
      </w:pPr>
      <w:r w:rsidRPr="005B72C1">
        <w:rPr>
          <w:rFonts w:ascii="Times New Roman" w:hAnsi="Times New Roman"/>
          <w:sz w:val="22"/>
          <w:szCs w:val="22"/>
        </w:rPr>
        <w:t xml:space="preserve">(a) Telecommunication certification bodies (TCBs) designated by </w:t>
      </w:r>
      <w:r>
        <w:rPr>
          <w:rFonts w:ascii="Times New Roman" w:hAnsi="Times New Roman"/>
          <w:sz w:val="22"/>
          <w:szCs w:val="22"/>
        </w:rPr>
        <w:t>NIST</w:t>
      </w:r>
      <w:r w:rsidRPr="005B72C1">
        <w:rPr>
          <w:rFonts w:ascii="Times New Roman" w:hAnsi="Times New Roman"/>
          <w:sz w:val="22"/>
          <w:szCs w:val="22"/>
        </w:rPr>
        <w:t>, or designated by another authority pursuant to an effective bilateral or multilateral mutual recognition agreement or arrangement to which the United States is a party, shall comply with the following requirements.</w:t>
      </w:r>
    </w:p>
    <w:p w:rsidR="0071538A" w:rsidRPr="0071538A" w:rsidRDefault="004E625F" w:rsidP="0071538A">
      <w:pPr>
        <w:pStyle w:val="NormalWeb"/>
        <w:rPr>
          <w:rFonts w:ascii="Times New Roman" w:hAnsi="Times New Roman"/>
          <w:sz w:val="22"/>
          <w:szCs w:val="22"/>
        </w:rPr>
      </w:pPr>
      <w:r w:rsidDel="004E625F">
        <w:rPr>
          <w:rFonts w:ascii="Times New Roman" w:hAnsi="Times New Roman"/>
          <w:sz w:val="22"/>
          <w:szCs w:val="22"/>
        </w:rPr>
        <w:t xml:space="preserve"> </w:t>
      </w:r>
      <w:r w:rsidR="0071538A" w:rsidRPr="0071538A">
        <w:rPr>
          <w:rFonts w:ascii="Times New Roman" w:hAnsi="Times New Roman"/>
          <w:sz w:val="22"/>
          <w:szCs w:val="22"/>
        </w:rPr>
        <w:t xml:space="preserve">(b) </w:t>
      </w:r>
      <w:r w:rsidR="0071538A" w:rsidRPr="0071538A">
        <w:rPr>
          <w:rFonts w:ascii="Times New Roman" w:hAnsi="Times New Roman"/>
          <w:i/>
          <w:iCs/>
          <w:sz w:val="22"/>
          <w:szCs w:val="22"/>
        </w:rPr>
        <w:t xml:space="preserve">Certification methodology. </w:t>
      </w:r>
      <w:r w:rsidR="0071538A" w:rsidRPr="0071538A">
        <w:rPr>
          <w:rFonts w:ascii="Times New Roman" w:hAnsi="Times New Roman"/>
          <w:sz w:val="22"/>
          <w:szCs w:val="22"/>
        </w:rPr>
        <w:t>(1) The certification system shall be based on type testing as identified in ISO/IEC 17065.</w:t>
      </w:r>
    </w:p>
    <w:p w:rsidR="0071538A" w:rsidRPr="0071538A" w:rsidRDefault="007422C2" w:rsidP="0071538A">
      <w:pPr>
        <w:pStyle w:val="NormalWeb"/>
        <w:rPr>
          <w:rFonts w:ascii="Times New Roman" w:hAnsi="Times New Roman"/>
          <w:sz w:val="22"/>
          <w:szCs w:val="22"/>
        </w:rPr>
      </w:pPr>
      <w:r>
        <w:rPr>
          <w:rFonts w:ascii="Times New Roman" w:hAnsi="Times New Roman"/>
          <w:sz w:val="22"/>
          <w:szCs w:val="22"/>
        </w:rPr>
        <w:t>* * * * *</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t xml:space="preserve">(c) </w:t>
      </w:r>
      <w:r w:rsidRPr="0071538A">
        <w:rPr>
          <w:rFonts w:ascii="Times New Roman" w:hAnsi="Times New Roman"/>
          <w:i/>
          <w:iCs/>
          <w:sz w:val="22"/>
          <w:szCs w:val="22"/>
        </w:rPr>
        <w:t xml:space="preserve">Criteria for designation. </w:t>
      </w:r>
      <w:r w:rsidRPr="0071538A">
        <w:rPr>
          <w:rFonts w:ascii="Times New Roman" w:hAnsi="Times New Roman"/>
          <w:sz w:val="22"/>
          <w:szCs w:val="22"/>
        </w:rPr>
        <w:t>(1) To be designated as a TCB under this section, an entity shall, by means of accreditation, meet all the appropriate specifications in ISO/IEC 17065 for the scope of equipment it will certify. The accreditation shall specify the group of equipment to be certified and the applicable regulations for product evaluation.</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lastRenderedPageBreak/>
        <w:t xml:space="preserve">(2) </w:t>
      </w:r>
      <w:r>
        <w:rPr>
          <w:rFonts w:ascii="Times New Roman" w:hAnsi="Times New Roman"/>
          <w:sz w:val="22"/>
          <w:szCs w:val="22"/>
        </w:rPr>
        <w:t>* * *</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t>(3) The TCB shall have the technical expertise and capability to test the equipment it will certify and shall also be accredited in accordance with ISO/IEC 17025 to demonstrate it is competent to perform such tests.</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t xml:space="preserve">(4) The TCB shall demonstrate an ability to recognize situations where interpretations of the regulations or test procedures may be necessary. The appropriate key certification and laboratory personnel shall demonstrate </w:t>
      </w:r>
      <w:proofErr w:type="gramStart"/>
      <w:r w:rsidRPr="0071538A">
        <w:rPr>
          <w:rFonts w:ascii="Times New Roman" w:hAnsi="Times New Roman"/>
          <w:sz w:val="22"/>
          <w:szCs w:val="22"/>
        </w:rPr>
        <w:t>a knowledge</w:t>
      </w:r>
      <w:proofErr w:type="gramEnd"/>
      <w:r w:rsidRPr="0071538A">
        <w:rPr>
          <w:rFonts w:ascii="Times New Roman" w:hAnsi="Times New Roman"/>
          <w:sz w:val="22"/>
          <w:szCs w:val="22"/>
        </w:rPr>
        <w:t xml:space="preserve"> of how to obtain current and correct technical regulation interpretations. The competence of the telecommunication certification body shall be demonstrated by assessment. The general competence, efficiency, experience, familiarity with technical regulations and products included in those technical regulations, as well as compliance with applicable parts of the ISO/IEC 17025 and ISO/IEC 17065, shall be taken into consideration.</w:t>
      </w:r>
    </w:p>
    <w:p w:rsidR="0071538A" w:rsidRPr="0071538A" w:rsidRDefault="007422C2" w:rsidP="0071538A">
      <w:pPr>
        <w:pStyle w:val="NormalWeb"/>
        <w:rPr>
          <w:rFonts w:ascii="Times New Roman" w:hAnsi="Times New Roman"/>
          <w:sz w:val="22"/>
          <w:szCs w:val="22"/>
        </w:rPr>
      </w:pPr>
      <w:r>
        <w:rPr>
          <w:rFonts w:ascii="Times New Roman" w:hAnsi="Times New Roman"/>
          <w:sz w:val="22"/>
          <w:szCs w:val="22"/>
        </w:rPr>
        <w:t>* * * * *</w:t>
      </w:r>
    </w:p>
    <w:p w:rsidR="005C068E" w:rsidRDefault="005C068E" w:rsidP="005C068E">
      <w:pPr>
        <w:pStyle w:val="NormalWeb"/>
        <w:rPr>
          <w:rFonts w:ascii="Times New Roman" w:hAnsi="Times New Roman"/>
          <w:sz w:val="22"/>
          <w:szCs w:val="22"/>
        </w:rPr>
      </w:pPr>
      <w:r w:rsidRPr="005B72C1">
        <w:rPr>
          <w:rFonts w:ascii="Times New Roman" w:hAnsi="Times New Roman"/>
          <w:sz w:val="22"/>
          <w:szCs w:val="22"/>
        </w:rPr>
        <w:t xml:space="preserve">(d) </w:t>
      </w:r>
      <w:r>
        <w:rPr>
          <w:rFonts w:ascii="Times New Roman" w:hAnsi="Times New Roman"/>
          <w:i/>
          <w:iCs/>
          <w:sz w:val="22"/>
          <w:szCs w:val="22"/>
        </w:rPr>
        <w:t>External resources</w:t>
      </w:r>
      <w:r w:rsidRPr="005B72C1">
        <w:rPr>
          <w:rFonts w:ascii="Times New Roman" w:hAnsi="Times New Roman"/>
          <w:i/>
          <w:iCs/>
          <w:sz w:val="22"/>
          <w:szCs w:val="22"/>
        </w:rPr>
        <w:t xml:space="preserve">. </w:t>
      </w:r>
      <w:r w:rsidRPr="005B72C1">
        <w:rPr>
          <w:rFonts w:ascii="Times New Roman" w:hAnsi="Times New Roman"/>
          <w:sz w:val="22"/>
          <w:szCs w:val="22"/>
        </w:rPr>
        <w:t xml:space="preserve">(1) In accordance with the provisions of ISO/IEC 17065, the </w:t>
      </w:r>
      <w:r>
        <w:rPr>
          <w:rFonts w:ascii="Times New Roman" w:hAnsi="Times New Roman"/>
          <w:sz w:val="22"/>
          <w:szCs w:val="22"/>
        </w:rPr>
        <w:t>evaluation</w:t>
      </w:r>
      <w:r w:rsidRPr="005B72C1">
        <w:rPr>
          <w:rFonts w:ascii="Times New Roman" w:hAnsi="Times New Roman"/>
          <w:sz w:val="22"/>
          <w:szCs w:val="22"/>
        </w:rPr>
        <w:t xml:space="preserve"> of a product, or a portion thereof, may be performed by </w:t>
      </w:r>
      <w:r>
        <w:rPr>
          <w:rFonts w:ascii="Times New Roman" w:hAnsi="Times New Roman"/>
          <w:sz w:val="22"/>
          <w:szCs w:val="22"/>
        </w:rPr>
        <w:t xml:space="preserve">bodies that meet the applicable requirements of ISO/IEC 17025 and ISO/IEC 17065, </w:t>
      </w:r>
      <w:r w:rsidRPr="005B72C1">
        <w:rPr>
          <w:rFonts w:ascii="Times New Roman" w:hAnsi="Times New Roman"/>
          <w:sz w:val="22"/>
          <w:szCs w:val="22"/>
        </w:rPr>
        <w:t xml:space="preserve">in </w:t>
      </w:r>
      <w:r>
        <w:rPr>
          <w:rFonts w:ascii="Times New Roman" w:hAnsi="Times New Roman"/>
          <w:sz w:val="22"/>
          <w:szCs w:val="22"/>
        </w:rPr>
        <w:t>accordance</w:t>
      </w:r>
      <w:r w:rsidRPr="005B72C1">
        <w:rPr>
          <w:rFonts w:ascii="Times New Roman" w:hAnsi="Times New Roman"/>
          <w:sz w:val="22"/>
          <w:szCs w:val="22"/>
        </w:rPr>
        <w:t xml:space="preserve"> with the applicable provisions of ISO/IEC 17065</w:t>
      </w:r>
      <w:r>
        <w:rPr>
          <w:rFonts w:ascii="Times New Roman" w:hAnsi="Times New Roman"/>
          <w:sz w:val="22"/>
          <w:szCs w:val="22"/>
        </w:rPr>
        <w:t xml:space="preserve"> for external resources (outsourcing)</w:t>
      </w:r>
      <w:r w:rsidRPr="005B72C1">
        <w:rPr>
          <w:rFonts w:ascii="Times New Roman" w:hAnsi="Times New Roman"/>
          <w:sz w:val="22"/>
          <w:szCs w:val="22"/>
        </w:rPr>
        <w:t xml:space="preserve"> and other relevant standards.</w:t>
      </w:r>
      <w:r>
        <w:rPr>
          <w:rFonts w:ascii="Times New Roman" w:hAnsi="Times New Roman"/>
          <w:sz w:val="22"/>
          <w:szCs w:val="22"/>
        </w:rPr>
        <w:t xml:space="preserve">  </w:t>
      </w:r>
    </w:p>
    <w:p w:rsidR="005C068E" w:rsidRPr="005B72C1" w:rsidRDefault="005C068E" w:rsidP="005C068E">
      <w:pPr>
        <w:pStyle w:val="NormalWeb"/>
        <w:rPr>
          <w:rFonts w:ascii="Times New Roman" w:hAnsi="Times New Roman"/>
          <w:sz w:val="22"/>
          <w:szCs w:val="22"/>
        </w:rPr>
      </w:pPr>
      <w:r>
        <w:rPr>
          <w:rFonts w:ascii="Times New Roman" w:hAnsi="Times New Roman"/>
          <w:sz w:val="22"/>
          <w:szCs w:val="22"/>
        </w:rPr>
        <w:t>(2) A recognized TCB shall not sub-contract certification decision activities.</w:t>
      </w:r>
    </w:p>
    <w:p w:rsidR="005C068E" w:rsidRPr="005B72C1" w:rsidRDefault="005C068E" w:rsidP="005C068E">
      <w:pPr>
        <w:pStyle w:val="NormalWeb"/>
        <w:rPr>
          <w:rFonts w:ascii="Times New Roman" w:hAnsi="Times New Roman"/>
          <w:sz w:val="22"/>
          <w:szCs w:val="22"/>
        </w:rPr>
      </w:pPr>
      <w:r w:rsidRPr="005B72C1">
        <w:rPr>
          <w:rFonts w:ascii="Times New Roman" w:hAnsi="Times New Roman"/>
          <w:sz w:val="22"/>
          <w:szCs w:val="22"/>
        </w:rPr>
        <w:t>(</w:t>
      </w:r>
      <w:r>
        <w:rPr>
          <w:rFonts w:ascii="Times New Roman" w:hAnsi="Times New Roman"/>
          <w:sz w:val="22"/>
          <w:szCs w:val="22"/>
        </w:rPr>
        <w:t>3</w:t>
      </w:r>
      <w:r w:rsidRPr="005B72C1">
        <w:rPr>
          <w:rFonts w:ascii="Times New Roman" w:hAnsi="Times New Roman"/>
          <w:sz w:val="22"/>
          <w:szCs w:val="22"/>
        </w:rPr>
        <w:t>) When a subcontractor is used</w:t>
      </w:r>
      <w:r>
        <w:rPr>
          <w:rFonts w:ascii="Times New Roman" w:hAnsi="Times New Roman"/>
          <w:sz w:val="22"/>
          <w:szCs w:val="22"/>
        </w:rPr>
        <w:t xml:space="preserve"> to provide testing of equipment subject to certification,</w:t>
      </w:r>
      <w:r w:rsidRPr="005B72C1">
        <w:rPr>
          <w:rFonts w:ascii="Times New Roman" w:hAnsi="Times New Roman"/>
          <w:sz w:val="22"/>
          <w:szCs w:val="22"/>
        </w:rPr>
        <w:t xml:space="preserve"> the TCB shall be responsible for the test results and shall maintain appropriate oversight of the subcontractor to ensure reliability of the test results. </w:t>
      </w:r>
      <w:r>
        <w:rPr>
          <w:rFonts w:ascii="Times New Roman" w:hAnsi="Times New Roman"/>
          <w:sz w:val="22"/>
          <w:szCs w:val="22"/>
        </w:rPr>
        <w:t xml:space="preserve"> </w:t>
      </w:r>
      <w:r w:rsidRPr="005B72C1">
        <w:rPr>
          <w:rFonts w:ascii="Times New Roman" w:hAnsi="Times New Roman"/>
          <w:sz w:val="22"/>
          <w:szCs w:val="22"/>
        </w:rPr>
        <w:t>Such oversight shall include periodic audits of products that have been tested</w:t>
      </w:r>
      <w:r>
        <w:rPr>
          <w:rFonts w:ascii="Times New Roman" w:hAnsi="Times New Roman"/>
          <w:sz w:val="22"/>
          <w:szCs w:val="22"/>
        </w:rPr>
        <w:t xml:space="preserve"> and other activities as required in ISO/IEC 17065 when a certification body uses external resources for evaluation</w:t>
      </w:r>
      <w:r w:rsidRPr="005B72C1">
        <w:rPr>
          <w:rFonts w:ascii="Times New Roman" w:hAnsi="Times New Roman"/>
          <w:sz w:val="22"/>
          <w:szCs w:val="22"/>
        </w:rPr>
        <w:t>.</w:t>
      </w:r>
    </w:p>
    <w:p w:rsidR="0071538A" w:rsidRPr="0071538A" w:rsidRDefault="007422C2" w:rsidP="0071538A">
      <w:pPr>
        <w:pStyle w:val="NormalWeb"/>
        <w:rPr>
          <w:rFonts w:ascii="Times New Roman" w:hAnsi="Times New Roman"/>
          <w:sz w:val="22"/>
          <w:szCs w:val="22"/>
        </w:rPr>
      </w:pPr>
      <w:r>
        <w:rPr>
          <w:rFonts w:ascii="Times New Roman" w:hAnsi="Times New Roman"/>
          <w:sz w:val="22"/>
          <w:szCs w:val="22"/>
        </w:rPr>
        <w:t>* * * * *</w:t>
      </w:r>
    </w:p>
    <w:p w:rsidR="0071538A" w:rsidRDefault="0071538A" w:rsidP="0071538A">
      <w:pPr>
        <w:pStyle w:val="NormalWeb"/>
        <w:rPr>
          <w:rFonts w:ascii="Times New Roman" w:hAnsi="Times New Roman"/>
          <w:i/>
          <w:iCs/>
          <w:sz w:val="22"/>
          <w:szCs w:val="22"/>
        </w:rPr>
      </w:pPr>
      <w:r w:rsidRPr="0071538A">
        <w:rPr>
          <w:rFonts w:ascii="Times New Roman" w:hAnsi="Times New Roman"/>
          <w:sz w:val="22"/>
          <w:szCs w:val="22"/>
        </w:rPr>
        <w:t xml:space="preserve">(f) </w:t>
      </w:r>
      <w:r>
        <w:rPr>
          <w:rFonts w:ascii="Times New Roman" w:hAnsi="Times New Roman"/>
          <w:i/>
          <w:iCs/>
          <w:sz w:val="22"/>
          <w:szCs w:val="22"/>
        </w:rPr>
        <w:t>* * *</w:t>
      </w:r>
      <w:r w:rsidRPr="0071538A">
        <w:rPr>
          <w:rFonts w:ascii="Times New Roman" w:hAnsi="Times New Roman"/>
          <w:i/>
          <w:iCs/>
          <w:sz w:val="22"/>
          <w:szCs w:val="22"/>
        </w:rPr>
        <w:t xml:space="preserve"> </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t>(2) A TCB shall accept test data from any source, subject to the requirements in ISO/IEC 17065, and shall not unnecessarily repeat tests.</w:t>
      </w:r>
    </w:p>
    <w:p w:rsidR="0071538A" w:rsidRPr="0071538A" w:rsidRDefault="007422C2" w:rsidP="0071538A">
      <w:pPr>
        <w:pStyle w:val="NormalWeb"/>
        <w:rPr>
          <w:rFonts w:ascii="Times New Roman" w:hAnsi="Times New Roman"/>
          <w:sz w:val="22"/>
          <w:szCs w:val="22"/>
        </w:rPr>
      </w:pPr>
      <w:r>
        <w:rPr>
          <w:rFonts w:ascii="Times New Roman" w:hAnsi="Times New Roman"/>
          <w:sz w:val="22"/>
          <w:szCs w:val="22"/>
        </w:rPr>
        <w:t>* * * * *</w:t>
      </w:r>
    </w:p>
    <w:p w:rsidR="0071538A" w:rsidRPr="00FA2FF3" w:rsidRDefault="0071538A" w:rsidP="0071538A">
      <w:pPr>
        <w:pStyle w:val="NormalWeb"/>
        <w:rPr>
          <w:rFonts w:ascii="Times New Roman" w:hAnsi="Times New Roman"/>
          <w:i/>
          <w:iCs/>
          <w:sz w:val="22"/>
          <w:szCs w:val="22"/>
        </w:rPr>
      </w:pPr>
      <w:r w:rsidRPr="0071538A">
        <w:rPr>
          <w:rFonts w:ascii="Times New Roman" w:hAnsi="Times New Roman"/>
          <w:sz w:val="22"/>
          <w:szCs w:val="22"/>
        </w:rPr>
        <w:t xml:space="preserve">(g) </w:t>
      </w:r>
      <w:r>
        <w:rPr>
          <w:rFonts w:ascii="Times New Roman" w:hAnsi="Times New Roman"/>
          <w:i/>
          <w:iCs/>
          <w:sz w:val="22"/>
          <w:szCs w:val="22"/>
        </w:rPr>
        <w:t>* * *</w:t>
      </w:r>
      <w:r w:rsidRPr="0071538A">
        <w:rPr>
          <w:rFonts w:ascii="Times New Roman" w:hAnsi="Times New Roman"/>
          <w:i/>
          <w:iCs/>
          <w:sz w:val="22"/>
          <w:szCs w:val="22"/>
        </w:rPr>
        <w:t xml:space="preserve"> </w:t>
      </w:r>
    </w:p>
    <w:p w:rsidR="0071538A" w:rsidRPr="0071538A" w:rsidRDefault="0071538A" w:rsidP="0071538A">
      <w:pPr>
        <w:pStyle w:val="NormalWeb"/>
        <w:rPr>
          <w:rFonts w:ascii="Times New Roman" w:hAnsi="Times New Roman"/>
          <w:sz w:val="22"/>
          <w:szCs w:val="22"/>
        </w:rPr>
      </w:pPr>
      <w:r w:rsidRPr="0071538A">
        <w:rPr>
          <w:rFonts w:ascii="Times New Roman" w:hAnsi="Times New Roman"/>
          <w:sz w:val="22"/>
          <w:szCs w:val="22"/>
        </w:rPr>
        <w:t xml:space="preserve">(2) In accordance with ISO/IEC 17065, a TCB is required to conduct appropriate surveillance activities. These activities shall be based on type testing a few samples of the total number of product </w:t>
      </w:r>
      <w:proofErr w:type="gramStart"/>
      <w:r w:rsidRPr="0071538A">
        <w:rPr>
          <w:rFonts w:ascii="Times New Roman" w:hAnsi="Times New Roman"/>
          <w:sz w:val="22"/>
          <w:szCs w:val="22"/>
        </w:rPr>
        <w:t>types which</w:t>
      </w:r>
      <w:proofErr w:type="gramEnd"/>
      <w:r w:rsidRPr="0071538A">
        <w:rPr>
          <w:rFonts w:ascii="Times New Roman" w:hAnsi="Times New Roman"/>
          <w:sz w:val="22"/>
          <w:szCs w:val="22"/>
        </w:rPr>
        <w:t xml:space="preserve"> the certification body has certified. Other types of surveillance activities of a product that has been certified are permitted, provided they are no more onerous than testing type. The Commission may at any time request a list of products certified by the certification body and may request and receive copies of product evaluation reports. The Commission may also request that a TCB perform post-market surveillance, under Commission guidelines, of a specific product it has certified.</w:t>
      </w:r>
    </w:p>
    <w:p w:rsidR="00FB0A89" w:rsidRDefault="0071538A" w:rsidP="0071757F">
      <w:pPr>
        <w:pStyle w:val="NormalWeb"/>
      </w:pPr>
      <w:r>
        <w:rPr>
          <w:rFonts w:ascii="Times New Roman" w:hAnsi="Times New Roman"/>
          <w:sz w:val="22"/>
          <w:szCs w:val="22"/>
        </w:rPr>
        <w:t>* * * * *</w:t>
      </w:r>
    </w:p>
    <w:p w:rsidR="004D2254" w:rsidRDefault="004D2254" w:rsidP="00FB0A89">
      <w:pPr>
        <w:pStyle w:val="ParaNum"/>
        <w:numPr>
          <w:ilvl w:val="0"/>
          <w:numId w:val="0"/>
        </w:numPr>
        <w:jc w:val="center"/>
        <w:rPr>
          <w:b/>
        </w:rPr>
        <w:sectPr w:rsidR="004D2254" w:rsidSect="004D2254">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720" w:left="1440" w:header="720" w:footer="720" w:gutter="0"/>
          <w:pgNumType w:start="1"/>
          <w:cols w:space="720"/>
          <w:noEndnote/>
          <w:titlePg/>
        </w:sectPr>
      </w:pPr>
    </w:p>
    <w:p w:rsidR="00FB0A89" w:rsidRDefault="00200B49" w:rsidP="00FB0A89">
      <w:pPr>
        <w:pStyle w:val="ParaNum"/>
        <w:numPr>
          <w:ilvl w:val="0"/>
          <w:numId w:val="0"/>
        </w:numPr>
        <w:jc w:val="center"/>
        <w:rPr>
          <w:b/>
        </w:rPr>
      </w:pPr>
      <w:r>
        <w:rPr>
          <w:b/>
        </w:rPr>
        <w:lastRenderedPageBreak/>
        <w:t>APPENDIX B</w:t>
      </w:r>
    </w:p>
    <w:p w:rsidR="00FB0A89" w:rsidRDefault="00FB0A89" w:rsidP="00FB0A89">
      <w:pPr>
        <w:pStyle w:val="ParaNum"/>
        <w:numPr>
          <w:ilvl w:val="0"/>
          <w:numId w:val="0"/>
        </w:numPr>
        <w:jc w:val="center"/>
        <w:rPr>
          <w:b/>
        </w:rPr>
      </w:pPr>
      <w:r>
        <w:rPr>
          <w:b/>
        </w:rPr>
        <w:t>Initial Regulatory Flexibility Analysis</w:t>
      </w:r>
    </w:p>
    <w:p w:rsidR="00800CA0" w:rsidRDefault="00800CA0" w:rsidP="00FB0A89"/>
    <w:p w:rsidR="00FB0A89" w:rsidRDefault="00FB0A89" w:rsidP="00FB0A89">
      <w:r w:rsidRPr="00800CA0">
        <w:tab/>
        <w:t>As required by the Regulatory Flexibility Act of 1980, as amended (RFA),</w:t>
      </w:r>
      <w:r w:rsidRPr="00800CA0">
        <w:rPr>
          <w:rStyle w:val="FootnoteReference"/>
        </w:rPr>
        <w:footnoteReference w:id="159"/>
      </w:r>
      <w:r w:rsidRPr="00800CA0">
        <w:t xml:space="preserve"> the Commission has prepared this present Initial Regulatory Flexibility Analysis (IRFA) of the possible significant economic impact on a substantial number of small entities by the polic</w:t>
      </w:r>
      <w:r w:rsidR="00800CA0">
        <w:t xml:space="preserve">ies and rules proposed in this </w:t>
      </w:r>
      <w:r w:rsidRPr="00800CA0">
        <w:rPr>
          <w:i/>
        </w:rPr>
        <w:t>Notice</w:t>
      </w:r>
      <w:r w:rsidR="00800CA0" w:rsidRPr="00800CA0">
        <w:rPr>
          <w:i/>
        </w:rPr>
        <w:t xml:space="preserve"> of Proposed Rule Making</w:t>
      </w:r>
      <w:r w:rsidR="00800CA0">
        <w:t xml:space="preserve"> (</w:t>
      </w:r>
      <w:r w:rsidR="00800CA0" w:rsidRPr="00800CA0">
        <w:rPr>
          <w:i/>
        </w:rPr>
        <w:t>NPRM</w:t>
      </w:r>
      <w:r w:rsidR="00800CA0">
        <w:t>)</w:t>
      </w:r>
      <w:r w:rsidRPr="00800CA0">
        <w:t xml:space="preserve">.  Written public comments are requested on this IRFA.  Comments must be identified as responses to the IRFA and must be filed by the deadlines for comments on the </w:t>
      </w:r>
      <w:r w:rsidR="00800CA0" w:rsidRPr="00800CA0">
        <w:rPr>
          <w:i/>
        </w:rPr>
        <w:t>NPRM</w:t>
      </w:r>
      <w:r w:rsidR="00800CA0" w:rsidRPr="00800CA0">
        <w:t xml:space="preserve"> </w:t>
      </w:r>
      <w:r w:rsidRPr="00800CA0">
        <w:t xml:space="preserve">provided in paragraph </w:t>
      </w:r>
      <w:r w:rsidR="00204483">
        <w:fldChar w:fldCharType="begin"/>
      </w:r>
      <w:r w:rsidR="00204483">
        <w:instrText xml:space="preserve"> REF _Ref325031395 \r \h </w:instrText>
      </w:r>
      <w:r w:rsidR="00204483">
        <w:fldChar w:fldCharType="separate"/>
      </w:r>
      <w:r w:rsidR="00C01EA0">
        <w:t>75</w:t>
      </w:r>
      <w:r w:rsidR="00204483">
        <w:fldChar w:fldCharType="end"/>
      </w:r>
      <w:r w:rsidRPr="00800CA0">
        <w:t xml:space="preserve"> of the item.  The Commission will send a copy of the </w:t>
      </w:r>
      <w:r w:rsidR="00800CA0" w:rsidRPr="00800CA0">
        <w:rPr>
          <w:i/>
        </w:rPr>
        <w:t>NPRM</w:t>
      </w:r>
      <w:r w:rsidRPr="00800CA0">
        <w:t>, including this IRFA, to the Chief Counsel for Advocacy of the Small Business Administration (SBA).</w:t>
      </w:r>
      <w:r w:rsidRPr="00800CA0">
        <w:rPr>
          <w:rStyle w:val="FootnoteReference"/>
        </w:rPr>
        <w:footnoteReference w:id="160"/>
      </w:r>
      <w:r w:rsidRPr="00800CA0">
        <w:t xml:space="preserve">  In addition, the </w:t>
      </w:r>
      <w:r w:rsidR="00800CA0" w:rsidRPr="00800CA0">
        <w:rPr>
          <w:i/>
        </w:rPr>
        <w:t>NPRM</w:t>
      </w:r>
      <w:r w:rsidRPr="00800CA0">
        <w:t xml:space="preserve"> and IRFA (or summaries thereof) will be published in the Federal Register.</w:t>
      </w:r>
      <w:r w:rsidRPr="00800CA0">
        <w:rPr>
          <w:rStyle w:val="FootnoteReference"/>
        </w:rPr>
        <w:footnoteReference w:id="161"/>
      </w:r>
      <w:r>
        <w:t xml:space="preserve">  </w:t>
      </w:r>
    </w:p>
    <w:p w:rsidR="00FB0A89" w:rsidRDefault="00FB0A89" w:rsidP="00FB0A89"/>
    <w:p w:rsidR="00FB0A89" w:rsidRDefault="00FB0A89" w:rsidP="00FB0A89">
      <w:pPr>
        <w:rPr>
          <w:b/>
        </w:rPr>
      </w:pPr>
      <w:r>
        <w:rPr>
          <w:b/>
        </w:rPr>
        <w:t>A.</w:t>
      </w:r>
      <w:r>
        <w:rPr>
          <w:b/>
        </w:rPr>
        <w:tab/>
        <w:t>Need for, and Objectives of, the Proposed Rules</w:t>
      </w:r>
    </w:p>
    <w:p w:rsidR="00FB0A89" w:rsidRDefault="00FB0A89" w:rsidP="00FB0A89"/>
    <w:p w:rsidR="00497E42" w:rsidRPr="001A6AA3" w:rsidRDefault="00497E42" w:rsidP="00EC1A67">
      <w:pPr>
        <w:pStyle w:val="ParaNum"/>
        <w:numPr>
          <w:ilvl w:val="0"/>
          <w:numId w:val="0"/>
        </w:numPr>
        <w:spacing w:after="220"/>
        <w:ind w:firstLine="720"/>
        <w:rPr>
          <w:szCs w:val="22"/>
        </w:rPr>
      </w:pPr>
      <w:r>
        <w:t xml:space="preserve">The Commission operates an equipment authorization program for radiofrequency (RF) devices under Part 2 of its rules.  This program is one of the primary means that the Commission uses to ensure that the multitude of RF devices used in the United States operate effectively without causing harmful interference and otherwise comply with the Commission’s rules.  </w:t>
      </w:r>
      <w:proofErr w:type="gramStart"/>
      <w:r>
        <w:rPr>
          <w:szCs w:val="22"/>
        </w:rPr>
        <w:t>Certain</w:t>
      </w:r>
      <w:r w:rsidRPr="001A6AA3">
        <w:rPr>
          <w:szCs w:val="22"/>
        </w:rPr>
        <w:t xml:space="preserve"> </w:t>
      </w:r>
      <w:r>
        <w:rPr>
          <w:szCs w:val="22"/>
        </w:rPr>
        <w:t>radio frequency (</w:t>
      </w:r>
      <w:r w:rsidRPr="001A6AA3">
        <w:rPr>
          <w:szCs w:val="22"/>
        </w:rPr>
        <w:t>RF</w:t>
      </w:r>
      <w:r>
        <w:rPr>
          <w:szCs w:val="22"/>
        </w:rPr>
        <w:t>)</w:t>
      </w:r>
      <w:r w:rsidRPr="001A6AA3">
        <w:rPr>
          <w:szCs w:val="22"/>
        </w:rPr>
        <w:t xml:space="preserve"> devices must be approved by the Commission or a Telecommunication Certification Body (TCB)</w:t>
      </w:r>
      <w:proofErr w:type="gramEnd"/>
      <w:r w:rsidRPr="001A6AA3">
        <w:rPr>
          <w:szCs w:val="22"/>
        </w:rPr>
        <w:t xml:space="preserve"> before they can be imported or marketed, while other RF devices do not require approval by the Commission or a TCB.  </w:t>
      </w:r>
    </w:p>
    <w:p w:rsidR="00FB0A89" w:rsidRDefault="00497E42" w:rsidP="00EC1A67">
      <w:pPr>
        <w:ind w:firstLine="720"/>
      </w:pPr>
      <w:r>
        <w:t>The Commission last comprehensively reviewed its equipment authorization program over ten years ago.  The rapid innovation in equipment design since that time has led to ever-accelerating growth in the number of parties applying for equipment approval.  We therefore believe that the time is now right for us to review our equipment authorization processes to ensure that they continue to enable this growth and innovation in the wireless equipment market.</w:t>
      </w:r>
      <w:r w:rsidR="00FB0A89">
        <w:tab/>
      </w:r>
    </w:p>
    <w:p w:rsidR="00FB0A89" w:rsidRDefault="00FB0A89" w:rsidP="00FB0A89"/>
    <w:p w:rsidR="00FB0A89" w:rsidRDefault="00FB0A89" w:rsidP="00FB0A89">
      <w:r>
        <w:rPr>
          <w:b/>
        </w:rPr>
        <w:t>B.</w:t>
      </w:r>
      <w:r>
        <w:rPr>
          <w:b/>
        </w:rPr>
        <w:tab/>
        <w:t>Legal Basis</w:t>
      </w:r>
    </w:p>
    <w:p w:rsidR="00FB0A89" w:rsidRDefault="00FB0A89" w:rsidP="00FB0A89"/>
    <w:p w:rsidR="00800CA0" w:rsidRDefault="00FB0A89" w:rsidP="00800CA0">
      <w:r>
        <w:tab/>
      </w:r>
      <w:r w:rsidR="00800CA0">
        <w:t>The proposed action is taken pursuant to Sections 4(i), 301, 302, 303(e), 303(f), 303(r), 304 and</w:t>
      </w:r>
    </w:p>
    <w:p w:rsidR="00800CA0" w:rsidRDefault="00800CA0" w:rsidP="00800CA0">
      <w:r>
        <w:t>307 of the Communications Act of 1934, as amended, 47 U.S.C. Sections 154(i), 301, 302, 303(e), 303(f),</w:t>
      </w:r>
    </w:p>
    <w:p w:rsidR="00800CA0" w:rsidRDefault="00800CA0" w:rsidP="00800CA0">
      <w:proofErr w:type="gramStart"/>
      <w:r>
        <w:t>303(r), 304 and 307.</w:t>
      </w:r>
      <w:proofErr w:type="gramEnd"/>
    </w:p>
    <w:p w:rsidR="00800CA0" w:rsidRDefault="00800CA0" w:rsidP="00800CA0"/>
    <w:p w:rsidR="00FB0A89" w:rsidRDefault="00FB0A89" w:rsidP="00800CA0">
      <w:pPr>
        <w:rPr>
          <w:b/>
        </w:rPr>
      </w:pPr>
      <w:r>
        <w:rPr>
          <w:b/>
        </w:rPr>
        <w:t>C.</w:t>
      </w:r>
      <w:r>
        <w:rPr>
          <w:b/>
        </w:rPr>
        <w:tab/>
        <w:t>Description and Estimate of the Number of Small Entities to Which the Proposed Rules Will Apply</w:t>
      </w:r>
    </w:p>
    <w:p w:rsidR="00FB0A89" w:rsidRDefault="00FB0A89" w:rsidP="00FB0A89">
      <w:pPr>
        <w:ind w:left="720" w:hanging="720"/>
      </w:pPr>
    </w:p>
    <w:p w:rsidR="00FB0A89" w:rsidRDefault="00FB0A89" w:rsidP="00FB0A89">
      <w:r>
        <w:tab/>
      </w:r>
      <w:r w:rsidRPr="00800CA0">
        <w:t>The RFA directs agencies to provide a description of, and where feasible, an estimate of the number of small entities that may be affected by the proposed rules, if adopted.</w:t>
      </w:r>
      <w:r w:rsidRPr="00800CA0">
        <w:rPr>
          <w:rStyle w:val="FootnoteReference"/>
        </w:rPr>
        <w:footnoteReference w:id="162"/>
      </w:r>
      <w:r w:rsidRPr="00800CA0">
        <w:t xml:space="preserve">  The RFA generally defines the term “small entity” as having the same meaning as the terms “small business,” “small organization,” and “small governmental jurisdiction.”</w:t>
      </w:r>
      <w:r w:rsidRPr="00800CA0">
        <w:rPr>
          <w:rStyle w:val="FootnoteReference"/>
        </w:rPr>
        <w:footnoteReference w:id="163"/>
      </w:r>
      <w:r w:rsidRPr="00800CA0">
        <w:t xml:space="preserve">  In addition, the term “small business” has the </w:t>
      </w:r>
      <w:r w:rsidRPr="00800CA0">
        <w:lastRenderedPageBreak/>
        <w:t>same meaning as the term “small business concern” under the Small Business Act.</w:t>
      </w:r>
      <w:r w:rsidRPr="00800CA0">
        <w:rPr>
          <w:rStyle w:val="FootnoteReference"/>
        </w:rPr>
        <w:footnoteReference w:id="164"/>
      </w:r>
      <w:r w:rsidRPr="00800CA0">
        <w:t xml:space="preserve">  A “small business concern” is one which: (1) is independently owned and operated; (2) is not </w:t>
      </w:r>
      <w:proofErr w:type="gramStart"/>
      <w:r w:rsidRPr="00800CA0">
        <w:t>dominant</w:t>
      </w:r>
      <w:proofErr w:type="gramEnd"/>
      <w:r w:rsidRPr="00800CA0">
        <w:t xml:space="preserve"> in its field of operation; and (3) satisfies any additional criteria established by the Small Business Administration (SBA).</w:t>
      </w:r>
      <w:r w:rsidRPr="00800CA0">
        <w:rPr>
          <w:rStyle w:val="FootnoteReference"/>
        </w:rPr>
        <w:footnoteReference w:id="165"/>
      </w:r>
      <w:r>
        <w:t xml:space="preserve">  </w:t>
      </w:r>
    </w:p>
    <w:p w:rsidR="00FB0A89" w:rsidRDefault="00FB0A89" w:rsidP="00FB0A89"/>
    <w:p w:rsidR="002F7F96" w:rsidRPr="00DF0924" w:rsidRDefault="00800CA0" w:rsidP="002F7F96">
      <w:pPr>
        <w:pStyle w:val="ParaNum"/>
        <w:numPr>
          <w:ilvl w:val="0"/>
          <w:numId w:val="0"/>
        </w:numPr>
        <w:spacing w:after="0"/>
        <w:rPr>
          <w:szCs w:val="22"/>
        </w:rPr>
      </w:pPr>
      <w:r>
        <w:tab/>
      </w:r>
      <w:proofErr w:type="gramStart"/>
      <w:r w:rsidR="002F7F96" w:rsidRPr="00EB00DF">
        <w:rPr>
          <w:i/>
          <w:szCs w:val="22"/>
        </w:rPr>
        <w:t>Radio and Television Broadcasting and Wireless Communications Equipment Manufacturing.</w:t>
      </w:r>
      <w:proofErr w:type="gramEnd"/>
      <w:r w:rsidR="002F7F96" w:rsidRPr="00EB00DF">
        <w:rPr>
          <w:szCs w:val="22"/>
        </w:rPr>
        <w:t xml:space="preserve">  </w:t>
      </w:r>
      <w:r w:rsidR="002F7F96" w:rsidRPr="00EB00DF">
        <w:t>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bookmarkStart w:id="769" w:name="FN[FN8]"/>
      <w:bookmarkEnd w:id="769"/>
      <w:r w:rsidR="002F7F96" w:rsidRPr="00A60F0D">
        <w:rPr>
          <w:rStyle w:val="FootnoteTextCharChar2"/>
          <w:szCs w:val="19"/>
          <w:vertAlign w:val="superscript"/>
        </w:rPr>
        <w:footnoteReference w:id="166"/>
      </w:r>
      <w:r w:rsidR="002F7F96" w:rsidRPr="00EB00DF">
        <w:t xml:space="preserve">  The SBA has developed a small business size standard for Radio and Television Broadcasting and Wireless Communications Equipment Manufacturing</w:t>
      </w:r>
      <w:bookmarkStart w:id="770" w:name="SR;7360"/>
      <w:bookmarkEnd w:id="770"/>
      <w:r w:rsidR="002F7F96" w:rsidRPr="00EB00DF">
        <w:t>, which is: all such firms having 750 or fewer employees.</w:t>
      </w:r>
      <w:bookmarkStart w:id="771" w:name="FN[FN9]"/>
      <w:bookmarkEnd w:id="771"/>
      <w:r w:rsidR="002F7F96" w:rsidRPr="00EB00DF">
        <w:t xml:space="preserve">  According to Census Bureau data for 2007, there were a total of 939 establishments in this category that operated for part or all of the entire year.  </w:t>
      </w:r>
      <w:r w:rsidR="002F7F96">
        <w:t>Of this total, 912 had less than 500 employees and 17 had more than 1000 employees.</w:t>
      </w:r>
      <w:r w:rsidR="002F7F96">
        <w:rPr>
          <w:rStyle w:val="FootnoteReference"/>
        </w:rPr>
        <w:footnoteReference w:id="167"/>
      </w:r>
      <w:r w:rsidR="002F7F96">
        <w:t xml:space="preserve">   Thus, under that size standard, the majority of firms can be considered small.</w:t>
      </w:r>
    </w:p>
    <w:p w:rsidR="00FB0A89" w:rsidRDefault="00FB0A89" w:rsidP="00FB0A89"/>
    <w:p w:rsidR="00FB0A89" w:rsidRDefault="00FB0A89" w:rsidP="00FB0A89">
      <w:pPr>
        <w:ind w:left="720" w:hanging="720"/>
        <w:rPr>
          <w:b/>
        </w:rPr>
      </w:pPr>
      <w:r>
        <w:rPr>
          <w:b/>
        </w:rPr>
        <w:t>D.</w:t>
      </w:r>
      <w:r>
        <w:rPr>
          <w:b/>
        </w:rPr>
        <w:tab/>
        <w:t>Description of Projected Reporting, Recordkeeping, and Other Compliance Requirements for Small Entities</w:t>
      </w:r>
    </w:p>
    <w:p w:rsidR="00FB0A89" w:rsidRDefault="00FB0A89" w:rsidP="00FB0A89"/>
    <w:p w:rsidR="002F41FE" w:rsidRDefault="002F41FE" w:rsidP="002F41FE">
      <w:pPr>
        <w:pStyle w:val="ParaNum"/>
        <w:numPr>
          <w:ilvl w:val="0"/>
          <w:numId w:val="0"/>
        </w:numPr>
        <w:spacing w:after="220"/>
        <w:ind w:firstLine="662"/>
      </w:pPr>
      <w:r>
        <w:t>RF equipment must be authorized through one of three authorization procedures described below.</w:t>
      </w:r>
      <w:r w:rsidR="00E33597">
        <w:t xml:space="preserve">  The Notice does not propose to change these authorization procedures, but it does propose changes in the administrative requirements for laboratories that test equipment and TCBs that approve equipment.  These changes are described below.</w:t>
      </w:r>
    </w:p>
    <w:p w:rsidR="002F41FE" w:rsidRDefault="002F41FE" w:rsidP="002F41FE">
      <w:pPr>
        <w:pStyle w:val="NormalWeb"/>
        <w:spacing w:before="0" w:beforeAutospacing="0" w:after="220" w:afterAutospacing="0"/>
        <w:ind w:left="662"/>
        <w:rPr>
          <w:rFonts w:ascii="Times New Roman" w:hAnsi="Times New Roman"/>
          <w:sz w:val="22"/>
          <w:szCs w:val="22"/>
        </w:rPr>
      </w:pPr>
      <w:r w:rsidRPr="007A28CC">
        <w:rPr>
          <w:rFonts w:ascii="Times New Roman" w:hAnsi="Times New Roman"/>
          <w:b/>
          <w:sz w:val="22"/>
          <w:szCs w:val="22"/>
        </w:rPr>
        <w:t>Certification</w:t>
      </w:r>
      <w:r w:rsidRPr="007A28CC">
        <w:rPr>
          <w:rFonts w:ascii="Times New Roman" w:hAnsi="Times New Roman"/>
          <w:sz w:val="22"/>
          <w:szCs w:val="22"/>
        </w:rPr>
        <w:t xml:space="preserve"> is an equipment authorization issued by the Commission or by a </w:t>
      </w:r>
      <w:r>
        <w:rPr>
          <w:rFonts w:ascii="Times New Roman" w:hAnsi="Times New Roman"/>
          <w:sz w:val="22"/>
          <w:szCs w:val="22"/>
        </w:rPr>
        <w:t>designated</w:t>
      </w:r>
      <w:r w:rsidRPr="007A28CC">
        <w:rPr>
          <w:rFonts w:ascii="Times New Roman" w:hAnsi="Times New Roman"/>
          <w:sz w:val="22"/>
          <w:szCs w:val="22"/>
        </w:rPr>
        <w:t xml:space="preserve"> TCB</w:t>
      </w:r>
      <w:r>
        <w:rPr>
          <w:rFonts w:ascii="Times New Roman" w:hAnsi="Times New Roman"/>
          <w:sz w:val="22"/>
          <w:szCs w:val="22"/>
        </w:rPr>
        <w:t xml:space="preserve"> </w:t>
      </w:r>
      <w:r w:rsidRPr="007A28CC">
        <w:rPr>
          <w:rFonts w:ascii="Times New Roman" w:hAnsi="Times New Roman"/>
          <w:sz w:val="22"/>
          <w:szCs w:val="22"/>
        </w:rPr>
        <w:t xml:space="preserve">based on </w:t>
      </w:r>
      <w:r>
        <w:rPr>
          <w:rFonts w:ascii="Times New Roman" w:hAnsi="Times New Roman"/>
          <w:sz w:val="22"/>
          <w:szCs w:val="22"/>
        </w:rPr>
        <w:t>an application</w:t>
      </w:r>
      <w:r w:rsidRPr="007A28CC">
        <w:rPr>
          <w:rFonts w:ascii="Times New Roman" w:hAnsi="Times New Roman"/>
          <w:sz w:val="22"/>
          <w:szCs w:val="22"/>
        </w:rPr>
        <w:t xml:space="preserve"> and test data submitted by the </w:t>
      </w:r>
      <w:r>
        <w:rPr>
          <w:rFonts w:ascii="Times New Roman" w:hAnsi="Times New Roman"/>
          <w:sz w:val="22"/>
          <w:szCs w:val="22"/>
        </w:rPr>
        <w:t>responsible party (</w:t>
      </w:r>
      <w:r>
        <w:rPr>
          <w:rFonts w:ascii="Times New Roman" w:hAnsi="Times New Roman"/>
          <w:i/>
          <w:sz w:val="22"/>
          <w:szCs w:val="22"/>
        </w:rPr>
        <w:t xml:space="preserve">e.g., </w:t>
      </w:r>
      <w:r>
        <w:rPr>
          <w:rFonts w:ascii="Times New Roman" w:hAnsi="Times New Roman"/>
          <w:sz w:val="22"/>
          <w:szCs w:val="22"/>
        </w:rPr>
        <w:t>the manufacturer or importer</w:t>
      </w:r>
      <w:r w:rsidRPr="00F15D80">
        <w:rPr>
          <w:rFonts w:ascii="Times New Roman" w:hAnsi="Times New Roman"/>
          <w:sz w:val="22"/>
          <w:szCs w:val="22"/>
        </w:rPr>
        <w:t>).</w:t>
      </w:r>
      <w:r>
        <w:rPr>
          <w:rStyle w:val="FootnoteReference"/>
          <w:szCs w:val="22"/>
        </w:rPr>
        <w:footnoteReference w:id="168"/>
      </w:r>
      <w:r w:rsidRPr="00F15D80">
        <w:rPr>
          <w:rFonts w:ascii="Times New Roman" w:hAnsi="Times New Roman"/>
          <w:sz w:val="22"/>
          <w:szCs w:val="22"/>
        </w:rPr>
        <w:t xml:space="preserve">  The Commission</w:t>
      </w:r>
      <w:r>
        <w:rPr>
          <w:rFonts w:ascii="Times New Roman" w:hAnsi="Times New Roman"/>
          <w:sz w:val="22"/>
          <w:szCs w:val="22"/>
        </w:rPr>
        <w:t xml:space="preserve"> or a TCB</w:t>
      </w:r>
      <w:r w:rsidRPr="00F15D80">
        <w:rPr>
          <w:rFonts w:ascii="Times New Roman" w:hAnsi="Times New Roman"/>
          <w:sz w:val="22"/>
          <w:szCs w:val="22"/>
        </w:rPr>
        <w:t xml:space="preserve"> may </w:t>
      </w:r>
      <w:r>
        <w:rPr>
          <w:rFonts w:ascii="Times New Roman" w:hAnsi="Times New Roman"/>
          <w:sz w:val="22"/>
          <w:szCs w:val="22"/>
        </w:rPr>
        <w:t>test</w:t>
      </w:r>
      <w:r w:rsidRPr="00F15D80">
        <w:rPr>
          <w:rFonts w:ascii="Times New Roman" w:hAnsi="Times New Roman"/>
          <w:sz w:val="22"/>
          <w:szCs w:val="22"/>
        </w:rPr>
        <w:t xml:space="preserve"> a sample of </w:t>
      </w:r>
      <w:r>
        <w:rPr>
          <w:rFonts w:ascii="Times New Roman" w:hAnsi="Times New Roman"/>
          <w:sz w:val="22"/>
          <w:szCs w:val="22"/>
        </w:rPr>
        <w:t>a</w:t>
      </w:r>
      <w:r w:rsidRPr="00F15D80">
        <w:rPr>
          <w:rFonts w:ascii="Times New Roman" w:hAnsi="Times New Roman"/>
          <w:sz w:val="22"/>
          <w:szCs w:val="22"/>
        </w:rPr>
        <w:t xml:space="preserve"> device to </w:t>
      </w:r>
      <w:r>
        <w:rPr>
          <w:rFonts w:ascii="Times New Roman" w:hAnsi="Times New Roman"/>
          <w:sz w:val="22"/>
          <w:szCs w:val="22"/>
        </w:rPr>
        <w:t>verify</w:t>
      </w:r>
      <w:r w:rsidRPr="00F15D80">
        <w:rPr>
          <w:rFonts w:ascii="Times New Roman" w:hAnsi="Times New Roman"/>
          <w:sz w:val="22"/>
          <w:szCs w:val="22"/>
        </w:rPr>
        <w:t xml:space="preserve"> </w:t>
      </w:r>
      <w:r>
        <w:rPr>
          <w:rFonts w:ascii="Times New Roman" w:hAnsi="Times New Roman"/>
          <w:sz w:val="22"/>
          <w:szCs w:val="22"/>
        </w:rPr>
        <w:t>that it complies with the rules</w:t>
      </w:r>
      <w:r w:rsidRPr="00F15D80">
        <w:rPr>
          <w:rFonts w:ascii="Times New Roman" w:hAnsi="Times New Roman"/>
          <w:sz w:val="22"/>
          <w:szCs w:val="22"/>
        </w:rPr>
        <w:t xml:space="preserve"> before granting approval for the equipment to be marketed.</w:t>
      </w:r>
      <w:r>
        <w:t xml:space="preserve">  </w:t>
      </w:r>
      <w:r w:rsidRPr="007A28CC">
        <w:rPr>
          <w:rFonts w:ascii="Times New Roman" w:hAnsi="Times New Roman"/>
          <w:sz w:val="22"/>
          <w:szCs w:val="22"/>
        </w:rPr>
        <w:t xml:space="preserve">Examples of devices subject to </w:t>
      </w:r>
      <w:r>
        <w:rPr>
          <w:rFonts w:ascii="Times New Roman" w:hAnsi="Times New Roman"/>
          <w:sz w:val="22"/>
          <w:szCs w:val="22"/>
        </w:rPr>
        <w:t>certification</w:t>
      </w:r>
      <w:r w:rsidRPr="007A28CC">
        <w:rPr>
          <w:rFonts w:ascii="Times New Roman" w:hAnsi="Times New Roman"/>
          <w:sz w:val="22"/>
          <w:szCs w:val="22"/>
        </w:rPr>
        <w:t xml:space="preserve"> include, but are </w:t>
      </w:r>
      <w:r>
        <w:rPr>
          <w:rFonts w:ascii="Times New Roman" w:hAnsi="Times New Roman"/>
          <w:sz w:val="22"/>
          <w:szCs w:val="22"/>
        </w:rPr>
        <w:t>not limited to, mobile phones; wireless local area networking equipment, remote control t</w:t>
      </w:r>
      <w:r w:rsidRPr="007A28CC">
        <w:rPr>
          <w:rFonts w:ascii="Times New Roman" w:hAnsi="Times New Roman"/>
          <w:sz w:val="22"/>
          <w:szCs w:val="22"/>
        </w:rPr>
        <w:t xml:space="preserve">ransmitters; </w:t>
      </w:r>
      <w:r>
        <w:rPr>
          <w:rFonts w:ascii="Times New Roman" w:hAnsi="Times New Roman"/>
          <w:sz w:val="22"/>
          <w:szCs w:val="22"/>
        </w:rPr>
        <w:t>land mobile radio transmitters</w:t>
      </w:r>
      <w:r w:rsidRPr="007A28CC">
        <w:rPr>
          <w:rFonts w:ascii="Times New Roman" w:hAnsi="Times New Roman"/>
          <w:sz w:val="22"/>
          <w:szCs w:val="22"/>
        </w:rPr>
        <w:t xml:space="preserve">; </w:t>
      </w:r>
      <w:r>
        <w:rPr>
          <w:rFonts w:ascii="Times New Roman" w:hAnsi="Times New Roman"/>
          <w:sz w:val="22"/>
          <w:szCs w:val="22"/>
        </w:rPr>
        <w:t>wireless medical telemetry transmitters; cordless telep</w:t>
      </w:r>
      <w:r w:rsidRPr="007A28CC">
        <w:rPr>
          <w:rFonts w:ascii="Times New Roman" w:hAnsi="Times New Roman"/>
          <w:sz w:val="22"/>
          <w:szCs w:val="22"/>
        </w:rPr>
        <w:t xml:space="preserve">hones; </w:t>
      </w:r>
      <w:r>
        <w:rPr>
          <w:rFonts w:ascii="Times New Roman" w:hAnsi="Times New Roman"/>
          <w:sz w:val="22"/>
          <w:szCs w:val="22"/>
        </w:rPr>
        <w:t>and walkie-t</w:t>
      </w:r>
      <w:r w:rsidRPr="007A28CC">
        <w:rPr>
          <w:rFonts w:ascii="Times New Roman" w:hAnsi="Times New Roman"/>
          <w:sz w:val="22"/>
          <w:szCs w:val="22"/>
        </w:rPr>
        <w:t>alkies.</w:t>
      </w:r>
    </w:p>
    <w:p w:rsidR="002F41FE" w:rsidRDefault="002F41FE" w:rsidP="002F41FE">
      <w:pPr>
        <w:pStyle w:val="ParaNum"/>
        <w:numPr>
          <w:ilvl w:val="0"/>
          <w:numId w:val="0"/>
        </w:numPr>
        <w:tabs>
          <w:tab w:val="left" w:pos="770"/>
        </w:tabs>
        <w:spacing w:after="220"/>
        <w:ind w:left="660"/>
      </w:pPr>
      <w:r>
        <w:rPr>
          <w:b/>
        </w:rPr>
        <w:t xml:space="preserve">Declaration of Conformity (DoC) </w:t>
      </w:r>
      <w:r>
        <w:t xml:space="preserve">is a procedure that requires the party responsible for compliance to follow certain measurement requirements and/or take other necessary steps to </w:t>
      </w:r>
      <w:r>
        <w:lastRenderedPageBreak/>
        <w:t>ensure that the equipment complies with the appropriate technical standards.</w:t>
      </w:r>
      <w:r>
        <w:rPr>
          <w:rStyle w:val="FootnoteReference"/>
        </w:rPr>
        <w:footnoteReference w:id="169"/>
      </w:r>
      <w:r>
        <w:t xml:space="preserve">  A compliance information statement must be supplied with the product which identifies the product and a responsible party within the United States and which contains the statement specified in Section 15.19(a)(3).</w:t>
      </w:r>
      <w:r>
        <w:rPr>
          <w:rStyle w:val="FootnoteReference"/>
        </w:rPr>
        <w:footnoteReference w:id="170"/>
      </w:r>
      <w:r>
        <w:t xml:space="preserve">  The responsible party is not required to file an equipment authorization application with the Commission or a TCB, or to submit a sample unit or test data unless specifically requested.</w:t>
      </w:r>
      <w:r>
        <w:rPr>
          <w:rStyle w:val="FootnoteReference"/>
        </w:rPr>
        <w:footnoteReference w:id="171"/>
      </w:r>
      <w:r>
        <w:t xml:space="preserve">  Examples of devices subject to DoC include personal computers and peripherals, consumer ISM equipment such as microwave ovens and RF light </w:t>
      </w:r>
      <w:proofErr w:type="gramStart"/>
      <w:r>
        <w:t>bulbs,</w:t>
      </w:r>
      <w:proofErr w:type="gramEnd"/>
      <w:r>
        <w:t xml:space="preserve"> radio receivers and TV interface devices.</w:t>
      </w:r>
      <w:r>
        <w:rPr>
          <w:rStyle w:val="FootnoteReference"/>
        </w:rPr>
        <w:footnoteReference w:id="172"/>
      </w:r>
    </w:p>
    <w:p w:rsidR="002F41FE" w:rsidRDefault="002F41FE" w:rsidP="002F41FE">
      <w:pPr>
        <w:pStyle w:val="NormalWeb"/>
        <w:spacing w:before="0" w:beforeAutospacing="0" w:after="220" w:afterAutospacing="0"/>
        <w:ind w:left="662"/>
        <w:rPr>
          <w:rFonts w:ascii="Times New Roman" w:hAnsi="Times New Roman"/>
          <w:sz w:val="22"/>
          <w:szCs w:val="22"/>
        </w:rPr>
      </w:pPr>
      <w:r w:rsidRPr="007A28CC">
        <w:rPr>
          <w:rFonts w:ascii="Times New Roman" w:hAnsi="Times New Roman"/>
          <w:b/>
          <w:sz w:val="22"/>
          <w:szCs w:val="22"/>
        </w:rPr>
        <w:t xml:space="preserve">Verification </w:t>
      </w:r>
      <w:r w:rsidRPr="007A28CC">
        <w:rPr>
          <w:rFonts w:ascii="Times New Roman" w:hAnsi="Times New Roman"/>
          <w:sz w:val="22"/>
          <w:szCs w:val="22"/>
        </w:rPr>
        <w:t xml:space="preserve">is a procedure </w:t>
      </w:r>
      <w:r>
        <w:rPr>
          <w:rFonts w:ascii="Times New Roman" w:hAnsi="Times New Roman"/>
          <w:sz w:val="22"/>
          <w:szCs w:val="22"/>
        </w:rPr>
        <w:t>under which</w:t>
      </w:r>
      <w:r w:rsidRPr="007A28CC">
        <w:rPr>
          <w:rFonts w:ascii="Times New Roman" w:hAnsi="Times New Roman"/>
          <w:sz w:val="22"/>
          <w:szCs w:val="22"/>
        </w:rPr>
        <w:t xml:space="preserve"> the </w:t>
      </w:r>
      <w:r>
        <w:rPr>
          <w:rFonts w:ascii="Times New Roman" w:hAnsi="Times New Roman"/>
          <w:sz w:val="22"/>
          <w:szCs w:val="22"/>
        </w:rPr>
        <w:t>party</w:t>
      </w:r>
      <w:r w:rsidRPr="007A28CC">
        <w:rPr>
          <w:rFonts w:ascii="Times New Roman" w:hAnsi="Times New Roman"/>
          <w:sz w:val="22"/>
          <w:szCs w:val="22"/>
        </w:rPr>
        <w:t xml:space="preserve"> </w:t>
      </w:r>
      <w:r>
        <w:rPr>
          <w:rFonts w:ascii="Times New Roman" w:hAnsi="Times New Roman"/>
          <w:sz w:val="22"/>
          <w:szCs w:val="22"/>
        </w:rPr>
        <w:t>responsible for compliance relies on</w:t>
      </w:r>
      <w:r w:rsidRPr="007A28CC">
        <w:rPr>
          <w:rFonts w:ascii="Times New Roman" w:hAnsi="Times New Roman"/>
          <w:sz w:val="22"/>
          <w:szCs w:val="22"/>
        </w:rPr>
        <w:t xml:space="preserve"> measurements </w:t>
      </w:r>
      <w:r>
        <w:rPr>
          <w:rFonts w:ascii="Times New Roman" w:hAnsi="Times New Roman"/>
          <w:sz w:val="22"/>
          <w:szCs w:val="22"/>
        </w:rPr>
        <w:t>that it or another party makes to ensure</w:t>
      </w:r>
      <w:r w:rsidRPr="007A28CC">
        <w:rPr>
          <w:rFonts w:ascii="Times New Roman" w:hAnsi="Times New Roman"/>
          <w:sz w:val="22"/>
          <w:szCs w:val="22"/>
        </w:rPr>
        <w:t xml:space="preserve"> that the equipment complies with the appropriate technical standards.</w:t>
      </w:r>
      <w:r>
        <w:rPr>
          <w:rStyle w:val="FootnoteReference"/>
          <w:szCs w:val="22"/>
        </w:rPr>
        <w:footnoteReference w:id="173"/>
      </w:r>
      <w:r>
        <w:rPr>
          <w:rFonts w:ascii="Times New Roman" w:hAnsi="Times New Roman"/>
          <w:sz w:val="22"/>
          <w:szCs w:val="22"/>
        </w:rPr>
        <w:t xml:space="preserve">  Under the verification procedure, the responsible party is not required to file an application with the Commission.</w:t>
      </w:r>
      <w:r w:rsidRPr="007A28CC">
        <w:rPr>
          <w:rFonts w:ascii="Times New Roman" w:hAnsi="Times New Roman"/>
          <w:sz w:val="22"/>
          <w:szCs w:val="22"/>
        </w:rPr>
        <w:t xml:space="preserve"> </w:t>
      </w:r>
      <w:r>
        <w:rPr>
          <w:rFonts w:ascii="Times New Roman" w:hAnsi="Times New Roman"/>
          <w:sz w:val="22"/>
          <w:szCs w:val="22"/>
        </w:rPr>
        <w:t xml:space="preserve"> </w:t>
      </w:r>
      <w:r w:rsidRPr="007A28CC">
        <w:rPr>
          <w:rFonts w:ascii="Times New Roman" w:hAnsi="Times New Roman"/>
          <w:sz w:val="22"/>
          <w:szCs w:val="22"/>
        </w:rPr>
        <w:t>Submittal of a sample unit or representative data to the Commission demonstrating compliance is not required unless specifically requested by the Commission.</w:t>
      </w:r>
      <w:r>
        <w:rPr>
          <w:rStyle w:val="FootnoteReference"/>
          <w:szCs w:val="22"/>
        </w:rPr>
        <w:footnoteReference w:id="174"/>
      </w:r>
      <w:r>
        <w:rPr>
          <w:rFonts w:ascii="Times New Roman" w:hAnsi="Times New Roman"/>
          <w:sz w:val="22"/>
          <w:szCs w:val="22"/>
        </w:rPr>
        <w:t xml:space="preserve">  </w:t>
      </w:r>
      <w:r w:rsidRPr="007A28CC">
        <w:rPr>
          <w:rFonts w:ascii="Times New Roman" w:hAnsi="Times New Roman"/>
          <w:sz w:val="22"/>
          <w:szCs w:val="22"/>
        </w:rPr>
        <w:t xml:space="preserve">Examples of devices subject to </w:t>
      </w:r>
      <w:r>
        <w:rPr>
          <w:rFonts w:ascii="Times New Roman" w:hAnsi="Times New Roman"/>
          <w:sz w:val="22"/>
          <w:szCs w:val="22"/>
        </w:rPr>
        <w:t>v</w:t>
      </w:r>
      <w:r w:rsidRPr="007A28CC">
        <w:rPr>
          <w:rFonts w:ascii="Times New Roman" w:hAnsi="Times New Roman"/>
          <w:sz w:val="22"/>
          <w:szCs w:val="22"/>
        </w:rPr>
        <w:t>erification include</w:t>
      </w:r>
      <w:r>
        <w:rPr>
          <w:rFonts w:ascii="Times New Roman" w:hAnsi="Times New Roman"/>
          <w:sz w:val="22"/>
          <w:szCs w:val="22"/>
        </w:rPr>
        <w:t xml:space="preserve"> non-consumer ISM equipment; </w:t>
      </w:r>
      <w:r w:rsidRPr="007A28CC">
        <w:rPr>
          <w:rFonts w:ascii="Times New Roman" w:hAnsi="Times New Roman"/>
          <w:sz w:val="22"/>
          <w:szCs w:val="22"/>
        </w:rPr>
        <w:t>TV and FM receivers</w:t>
      </w:r>
      <w:r>
        <w:rPr>
          <w:rFonts w:ascii="Times New Roman" w:hAnsi="Times New Roman"/>
          <w:sz w:val="22"/>
          <w:szCs w:val="22"/>
        </w:rPr>
        <w:t xml:space="preserve">; and business </w:t>
      </w:r>
      <w:r w:rsidRPr="007A28CC">
        <w:rPr>
          <w:rFonts w:ascii="Times New Roman" w:hAnsi="Times New Roman"/>
          <w:sz w:val="22"/>
          <w:szCs w:val="22"/>
        </w:rPr>
        <w:t>computer equipment</w:t>
      </w:r>
      <w:r>
        <w:rPr>
          <w:rFonts w:ascii="Times New Roman" w:hAnsi="Times New Roman"/>
          <w:sz w:val="22"/>
          <w:szCs w:val="22"/>
        </w:rPr>
        <w:t>.</w:t>
      </w:r>
      <w:r>
        <w:rPr>
          <w:rStyle w:val="FootnoteReference"/>
          <w:szCs w:val="22"/>
        </w:rPr>
        <w:footnoteReference w:id="175"/>
      </w:r>
      <w:r w:rsidRPr="007A28CC">
        <w:rPr>
          <w:rFonts w:ascii="Times New Roman" w:hAnsi="Times New Roman"/>
          <w:sz w:val="22"/>
          <w:szCs w:val="22"/>
        </w:rPr>
        <w:t xml:space="preserve"> </w:t>
      </w:r>
      <w:r>
        <w:rPr>
          <w:rFonts w:ascii="Times New Roman" w:hAnsi="Times New Roman"/>
          <w:sz w:val="22"/>
          <w:szCs w:val="22"/>
        </w:rPr>
        <w:t xml:space="preserve"> </w:t>
      </w:r>
      <w:r w:rsidRPr="007A28CC">
        <w:rPr>
          <w:rFonts w:ascii="Times New Roman" w:hAnsi="Times New Roman"/>
          <w:sz w:val="22"/>
          <w:szCs w:val="22"/>
        </w:rPr>
        <w:t>Devices subject</w:t>
      </w:r>
      <w:r>
        <w:rPr>
          <w:rFonts w:ascii="Times New Roman" w:hAnsi="Times New Roman"/>
          <w:sz w:val="22"/>
          <w:szCs w:val="22"/>
        </w:rPr>
        <w:t xml:space="preserve"> </w:t>
      </w:r>
      <w:r w:rsidRPr="007A28CC">
        <w:rPr>
          <w:rFonts w:ascii="Times New Roman" w:hAnsi="Times New Roman"/>
          <w:sz w:val="22"/>
          <w:szCs w:val="22"/>
        </w:rPr>
        <w:t xml:space="preserve">to </w:t>
      </w:r>
      <w:r>
        <w:rPr>
          <w:rFonts w:ascii="Times New Roman" w:hAnsi="Times New Roman"/>
          <w:sz w:val="22"/>
          <w:szCs w:val="22"/>
        </w:rPr>
        <w:t>v</w:t>
      </w:r>
      <w:r w:rsidRPr="007A28CC">
        <w:rPr>
          <w:rFonts w:ascii="Times New Roman" w:hAnsi="Times New Roman"/>
          <w:sz w:val="22"/>
          <w:szCs w:val="22"/>
        </w:rPr>
        <w:t xml:space="preserve">erification </w:t>
      </w:r>
      <w:r>
        <w:rPr>
          <w:rFonts w:ascii="Times New Roman" w:hAnsi="Times New Roman"/>
          <w:sz w:val="22"/>
          <w:szCs w:val="22"/>
        </w:rPr>
        <w:t>must</w:t>
      </w:r>
      <w:r w:rsidRPr="007A28CC">
        <w:rPr>
          <w:rFonts w:ascii="Times New Roman" w:hAnsi="Times New Roman"/>
          <w:sz w:val="22"/>
          <w:szCs w:val="22"/>
        </w:rPr>
        <w:t xml:space="preserve"> be uniquely identified</w:t>
      </w:r>
      <w:r>
        <w:rPr>
          <w:rFonts w:ascii="Times New Roman" w:hAnsi="Times New Roman"/>
          <w:sz w:val="22"/>
          <w:szCs w:val="22"/>
        </w:rPr>
        <w:t xml:space="preserve"> in a </w:t>
      </w:r>
      <w:proofErr w:type="gramStart"/>
      <w:r>
        <w:rPr>
          <w:rFonts w:ascii="Times New Roman" w:hAnsi="Times New Roman"/>
          <w:sz w:val="22"/>
        </w:rPr>
        <w:t>format which</w:t>
      </w:r>
      <w:proofErr w:type="gramEnd"/>
      <w:r>
        <w:rPr>
          <w:rFonts w:ascii="Times New Roman" w:hAnsi="Times New Roman"/>
          <w:sz w:val="22"/>
        </w:rPr>
        <w:t xml:space="preserve"> cannot</w:t>
      </w:r>
      <w:r w:rsidRPr="00320939">
        <w:rPr>
          <w:rFonts w:ascii="Times New Roman" w:hAnsi="Times New Roman"/>
          <w:sz w:val="22"/>
        </w:rPr>
        <w:t xml:space="preserve"> be confused with the FCC </w:t>
      </w:r>
      <w:r>
        <w:rPr>
          <w:rFonts w:ascii="Times New Roman" w:hAnsi="Times New Roman"/>
          <w:sz w:val="22"/>
        </w:rPr>
        <w:t>i</w:t>
      </w:r>
      <w:r w:rsidRPr="00320939">
        <w:rPr>
          <w:rFonts w:ascii="Times New Roman" w:hAnsi="Times New Roman"/>
          <w:sz w:val="22"/>
        </w:rPr>
        <w:t xml:space="preserve">dentifier required on certified </w:t>
      </w:r>
      <w:r>
        <w:rPr>
          <w:rFonts w:ascii="Times New Roman" w:hAnsi="Times New Roman"/>
          <w:sz w:val="22"/>
        </w:rPr>
        <w:t>equipment</w:t>
      </w:r>
      <w:r w:rsidRPr="00320939">
        <w:rPr>
          <w:rFonts w:ascii="Times New Roman" w:hAnsi="Times New Roman"/>
          <w:sz w:val="22"/>
          <w:szCs w:val="22"/>
        </w:rPr>
        <w:t>.</w:t>
      </w:r>
      <w:r>
        <w:rPr>
          <w:rStyle w:val="FootnoteReference"/>
          <w:szCs w:val="22"/>
        </w:rPr>
        <w:footnoteReference w:id="176"/>
      </w:r>
    </w:p>
    <w:p w:rsidR="002F41FE" w:rsidRDefault="002F41FE" w:rsidP="00E33597">
      <w:pPr>
        <w:pStyle w:val="ParaNum"/>
        <w:numPr>
          <w:ilvl w:val="0"/>
          <w:numId w:val="0"/>
        </w:numPr>
        <w:spacing w:after="220"/>
        <w:ind w:firstLine="662"/>
      </w:pPr>
      <w:r>
        <w:t xml:space="preserve">RF equipment subject to any of the equipment authorization procedures described above must be tested for compliance with the Commission’s technical rules.  </w:t>
      </w:r>
      <w:r w:rsidR="00E33597">
        <w:t>E</w:t>
      </w:r>
      <w:r>
        <w:t>quipment authorized under the DoC procedure must be tested by a laboratory that is accredited as meeting the requirements of</w:t>
      </w:r>
      <w:r w:rsidRPr="003312E5">
        <w:t xml:space="preserve"> </w:t>
      </w:r>
      <w:r>
        <w:t xml:space="preserve">the International Organization for Standardization/International Electrotechnical Commission (ISO/IEC) Standard 17025, </w:t>
      </w:r>
      <w:r w:rsidRPr="00CE3AC2">
        <w:rPr>
          <w:i/>
        </w:rPr>
        <w:t>General Requirements for the Competence of Calibration and Testing Laboratories</w:t>
      </w:r>
      <w:r>
        <w:t>, by a Commission-recognized accreditation organization.</w:t>
      </w:r>
      <w:r>
        <w:rPr>
          <w:rStyle w:val="FootnoteReference"/>
        </w:rPr>
        <w:footnoteReference w:id="177"/>
      </w:r>
      <w:r>
        <w:t xml:space="preserve">  Laboratories that test equipment subject to certification under Parts 15 and 18 of the rules are not required to be accredited, but must be on a list </w:t>
      </w:r>
      <w:r>
        <w:lastRenderedPageBreak/>
        <w:t>maintained by the Commission.</w:t>
      </w:r>
      <w:r>
        <w:rPr>
          <w:rStyle w:val="FootnoteReference"/>
        </w:rPr>
        <w:footnoteReference w:id="178"/>
      </w:r>
      <w:r>
        <w:t xml:space="preserve">  Equipment authorized pursuant to certification under rule parts other than Parts 15 or 18, or any equipment authorized under verification, may be tested by the manufacturer or by an independent testing laboratory that </w:t>
      </w:r>
      <w:proofErr w:type="gramStart"/>
      <w:r>
        <w:t>is not required to be accredited or</w:t>
      </w:r>
      <w:proofErr w:type="gramEnd"/>
      <w:r>
        <w:t xml:space="preserve"> listed with the Commission.</w:t>
      </w:r>
      <w:r>
        <w:rPr>
          <w:rStyle w:val="FootnoteReference"/>
        </w:rPr>
        <w:footnoteReference w:id="179"/>
      </w:r>
      <w:r>
        <w:t xml:space="preserve">  The Commission may conduct post-market testing of equipment authorized under any of the three procedures to ensure that equipment on the market complies with the Commission’s technical requirements.</w:t>
      </w:r>
      <w:r>
        <w:rPr>
          <w:rStyle w:val="FootnoteReference"/>
        </w:rPr>
        <w:footnoteReference w:id="180"/>
      </w:r>
      <w:r>
        <w:t xml:space="preserve">  Additionally, TCBs are required to perform post-market surveillance on a certain percentage of products they have certified.</w:t>
      </w:r>
      <w:r>
        <w:rPr>
          <w:rStyle w:val="FootnoteReference"/>
        </w:rPr>
        <w:footnoteReference w:id="181"/>
      </w:r>
    </w:p>
    <w:p w:rsidR="00800CA0" w:rsidRDefault="00E33597" w:rsidP="00800CA0">
      <w:pPr>
        <w:ind w:firstLine="720"/>
      </w:pPr>
      <w:r>
        <w:t xml:space="preserve">The Notice proposes that the Commission will cease approving RF equipment authorized under the certification procedure and allow TCBs to perform all equipment certification.  </w:t>
      </w:r>
      <w:r w:rsidR="00706150">
        <w:t>Equipment manufacturers would therefore have to obtain equipment approval through a TCB and would no longer have the option of obtaining equipment approval from the Commission.  The Notice also proposes to give TCBs clear authority to request samples of equipment from the manufacturer, so manufactures would be required to provide a sample of equipment to TCBs upon request.</w:t>
      </w:r>
    </w:p>
    <w:p w:rsidR="00706150" w:rsidRDefault="00706150" w:rsidP="00800CA0">
      <w:pPr>
        <w:ind w:firstLine="720"/>
      </w:pPr>
    </w:p>
    <w:p w:rsidR="00706150" w:rsidRDefault="00706150" w:rsidP="00800CA0">
      <w:pPr>
        <w:ind w:firstLine="720"/>
      </w:pPr>
      <w:r>
        <w:t>The Notice proposes that all laboratories that test equipment that will be approved under the certification procedure must be accredited by a Commission-recognized organization.  This would be a change from the current requirement under which only laboratories that test equipment under the DoC procedure must be accredited.  Thus, parties wishing to obtain equipment certification would have to ensure that their equipment is tested at an accredited laboratory.  The Commission plans to publish a list of accredited laboratories that may test RF equipment that will be certified.</w:t>
      </w:r>
    </w:p>
    <w:p w:rsidR="00FB0A89" w:rsidRDefault="00FB0A89" w:rsidP="00FB0A89">
      <w:pPr>
        <w:ind w:left="720" w:hanging="720"/>
      </w:pPr>
    </w:p>
    <w:p w:rsidR="00FB0A89" w:rsidRDefault="00FB0A89" w:rsidP="00FB0A89">
      <w:pPr>
        <w:ind w:left="720" w:hanging="720"/>
        <w:rPr>
          <w:b/>
        </w:rPr>
      </w:pPr>
      <w:r>
        <w:rPr>
          <w:b/>
        </w:rPr>
        <w:t>E.</w:t>
      </w:r>
      <w:r>
        <w:rPr>
          <w:b/>
        </w:rPr>
        <w:tab/>
        <w:t>Steps Taken to Minimize the Significant Economic Impact on Small Entities, and Significant Alternatives Considered</w:t>
      </w:r>
    </w:p>
    <w:p w:rsidR="00FB0A89" w:rsidRDefault="00FB0A89" w:rsidP="00FB0A89"/>
    <w:p w:rsidR="00671D26" w:rsidRDefault="00FB0A89" w:rsidP="00FB0A89">
      <w:r>
        <w:tab/>
      </w:r>
      <w:r w:rsidRPr="00800CA0">
        <w:t>The RFA requires an agency to describe any significant, specifically small business,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sidRPr="00800CA0">
        <w:rPr>
          <w:rStyle w:val="FootnoteReference"/>
        </w:rPr>
        <w:footnoteReference w:id="182"/>
      </w:r>
    </w:p>
    <w:p w:rsidR="00671D26" w:rsidRDefault="00671D26" w:rsidP="00FB0A89"/>
    <w:p w:rsidR="00F468AE" w:rsidRDefault="00671D26" w:rsidP="00FB0A89">
      <w:r>
        <w:tab/>
        <w:t xml:space="preserve">We propose several modifications to the administrative requirements for test laboratories and TCBs that we believe will make the equipment authorization program more efficient and effective, thus </w:t>
      </w:r>
      <w:r w:rsidR="00F468AE">
        <w:t>benefiting</w:t>
      </w:r>
      <w:r>
        <w:t xml:space="preserve"> small entities.  Specifically, we propose that TCBs will approve all equipment, including equipment that TCBs may not currently approve </w:t>
      </w:r>
      <w:r w:rsidR="00F468AE">
        <w:t>because it</w:t>
      </w:r>
      <w:r>
        <w:t xml:space="preserve"> incorporates new technology or requires measurements for which the procedures are not yet clearly defined.  To more efficiently implement this change, we also propose to integrate a new procedure into our equipment authorization system that will </w:t>
      </w:r>
      <w:r>
        <w:lastRenderedPageBreak/>
        <w:t>enable TCBs to obtain guidance from the Commission on</w:t>
      </w:r>
      <w:r w:rsidR="00F468AE">
        <w:t xml:space="preserve"> testing or other certification issues.  We expect that these changes will reduce the time required for manufacturers to obtain equipment approval.</w:t>
      </w:r>
    </w:p>
    <w:p w:rsidR="00F468AE" w:rsidRDefault="00F468AE" w:rsidP="00FB0A89"/>
    <w:p w:rsidR="00FB0A89" w:rsidRDefault="00F468AE" w:rsidP="00FB0A89">
      <w:r>
        <w:tab/>
        <w:t xml:space="preserve">Our proposals to require accreditation of test laboratories that perform certification testing and establish additional measures to address TCB </w:t>
      </w:r>
      <w:r w:rsidR="00AD55C8">
        <w:t>performance</w:t>
      </w:r>
      <w:r>
        <w:t xml:space="preserve"> will ensure the continuing quality of the TCB program.  </w:t>
      </w:r>
      <w:r w:rsidR="00AD55C8">
        <w:t>This</w:t>
      </w:r>
      <w:r>
        <w:t xml:space="preserve"> will benefit equipment manufacturers by</w:t>
      </w:r>
      <w:r w:rsidR="00AD55C8">
        <w:t xml:space="preserve"> </w:t>
      </w:r>
      <w:r w:rsidR="004E276A">
        <w:t>ensuring that all TCBs operate in accordance with the Commission’s rules, thus providing a clear path to market and a level playing field for all manufacturers, both large and small</w:t>
      </w:r>
      <w:r w:rsidR="00AD55C8">
        <w:t>.</w:t>
      </w:r>
    </w:p>
    <w:p w:rsidR="00800CA0" w:rsidRDefault="00800CA0" w:rsidP="00FB0A89"/>
    <w:p w:rsidR="00FB0A89" w:rsidRDefault="00FB0A89" w:rsidP="00FB0A89">
      <w:pPr>
        <w:ind w:left="720" w:hanging="720"/>
        <w:rPr>
          <w:b/>
        </w:rPr>
      </w:pPr>
      <w:r>
        <w:rPr>
          <w:b/>
        </w:rPr>
        <w:t>F.</w:t>
      </w:r>
      <w:r>
        <w:rPr>
          <w:b/>
        </w:rPr>
        <w:tab/>
        <w:t>Federal Rules that May Duplicate, Overlap, or Conflict with the Proposed Rules</w:t>
      </w:r>
    </w:p>
    <w:p w:rsidR="00FB0A89" w:rsidRDefault="00FB0A89" w:rsidP="00FB0A89"/>
    <w:p w:rsidR="00FB0A89" w:rsidRDefault="00FB0A89" w:rsidP="00FB0A89">
      <w:r>
        <w:tab/>
      </w:r>
      <w:r w:rsidR="00800CA0">
        <w:t>None.</w:t>
      </w:r>
      <w:r>
        <w:t xml:space="preserve">  </w:t>
      </w:r>
    </w:p>
    <w:p w:rsidR="00C35E20" w:rsidRDefault="00C35E20" w:rsidP="00FB0A89"/>
    <w:p w:rsidR="00C35E20" w:rsidRDefault="00C35E20" w:rsidP="00FB0A89"/>
    <w:p w:rsidR="00C35E20" w:rsidRDefault="00C35E20" w:rsidP="00FB0A89"/>
    <w:p w:rsidR="00C35E20" w:rsidRDefault="00C35E20" w:rsidP="00C35E20">
      <w:pPr>
        <w:jc w:val="center"/>
        <w:rPr>
          <w:b/>
          <w:sz w:val="24"/>
          <w:szCs w:val="24"/>
        </w:rPr>
      </w:pPr>
      <w:r>
        <w:br w:type="page"/>
      </w:r>
      <w:r>
        <w:rPr>
          <w:b/>
          <w:sz w:val="24"/>
          <w:szCs w:val="24"/>
        </w:rPr>
        <w:lastRenderedPageBreak/>
        <w:t xml:space="preserve">STATEMENT </w:t>
      </w:r>
      <w:proofErr w:type="gramStart"/>
      <w:r>
        <w:rPr>
          <w:b/>
          <w:sz w:val="24"/>
          <w:szCs w:val="24"/>
        </w:rPr>
        <w:t>OF</w:t>
      </w:r>
      <w:proofErr w:type="gramEnd"/>
    </w:p>
    <w:p w:rsidR="00C35E20" w:rsidRDefault="00C35E20" w:rsidP="00C35E20">
      <w:pPr>
        <w:jc w:val="center"/>
        <w:rPr>
          <w:b/>
          <w:sz w:val="24"/>
          <w:szCs w:val="24"/>
        </w:rPr>
      </w:pPr>
      <w:r>
        <w:rPr>
          <w:b/>
          <w:sz w:val="24"/>
          <w:szCs w:val="24"/>
        </w:rPr>
        <w:t>COMMISSIONER JESSICA ROSENWORCEL</w:t>
      </w:r>
    </w:p>
    <w:p w:rsidR="00C35E20" w:rsidRDefault="00C35E20" w:rsidP="00C35E20">
      <w:pPr>
        <w:rPr>
          <w:b/>
          <w:sz w:val="24"/>
          <w:szCs w:val="24"/>
        </w:rPr>
      </w:pPr>
    </w:p>
    <w:p w:rsidR="00C35E20" w:rsidRDefault="00C35E20" w:rsidP="00C35E20">
      <w:pPr>
        <w:ind w:left="720" w:hanging="720"/>
        <w:rPr>
          <w:sz w:val="24"/>
          <w:szCs w:val="24"/>
        </w:rPr>
      </w:pPr>
      <w:r>
        <w:rPr>
          <w:sz w:val="24"/>
          <w:szCs w:val="24"/>
        </w:rPr>
        <w:t>Re:</w:t>
      </w:r>
      <w:r>
        <w:rPr>
          <w:sz w:val="24"/>
          <w:szCs w:val="24"/>
        </w:rPr>
        <w:tab/>
      </w:r>
      <w:r>
        <w:rPr>
          <w:i/>
          <w:sz w:val="24"/>
          <w:szCs w:val="24"/>
        </w:rPr>
        <w:t xml:space="preserve">Amendment of Parts 0, 1, 2, and 15 of the Commission’s Rules regarding Authorization of Radiofrequency Equipment; Amendment of Part 68 regarding Approval of Terminal Equipment by Telecommunications Certification </w:t>
      </w:r>
      <w:r w:rsidRPr="00120B68">
        <w:rPr>
          <w:i/>
          <w:sz w:val="24"/>
          <w:szCs w:val="24"/>
        </w:rPr>
        <w:t>Bodies</w:t>
      </w:r>
    </w:p>
    <w:p w:rsidR="00C35E20" w:rsidRDefault="00C35E20" w:rsidP="00C35E20">
      <w:pPr>
        <w:ind w:left="720"/>
        <w:rPr>
          <w:sz w:val="24"/>
          <w:szCs w:val="24"/>
        </w:rPr>
      </w:pPr>
    </w:p>
    <w:p w:rsidR="00C35E20" w:rsidRDefault="00C35E20" w:rsidP="00C35E20">
      <w:pPr>
        <w:ind w:firstLine="720"/>
        <w:rPr>
          <w:sz w:val="24"/>
          <w:szCs w:val="24"/>
        </w:rPr>
      </w:pPr>
      <w:r>
        <w:rPr>
          <w:sz w:val="24"/>
          <w:szCs w:val="24"/>
        </w:rPr>
        <w:t xml:space="preserve">The demand for our airwaves continues to accelerate.   According to recent projections, in the next five years, mobile data traffic will be thirteen times what it is right now.  But it is important to keep in mind that the way we use our mobile devices today is just the beginning, because 50 billion interconnected devices and the Internet of Things are speeding our way before the end of the decade.  They will remake the way we communicate—between people, between people and devices, and between our devices themselves.    </w:t>
      </w:r>
    </w:p>
    <w:p w:rsidR="00C35E20" w:rsidRDefault="00C35E20" w:rsidP="00C35E20">
      <w:pPr>
        <w:ind w:firstLine="720"/>
        <w:rPr>
          <w:sz w:val="24"/>
          <w:szCs w:val="24"/>
        </w:rPr>
      </w:pPr>
    </w:p>
    <w:p w:rsidR="00C35E20" w:rsidRDefault="00C35E20" w:rsidP="00C35E20">
      <w:pPr>
        <w:ind w:firstLine="720"/>
        <w:rPr>
          <w:sz w:val="24"/>
          <w:szCs w:val="24"/>
        </w:rPr>
      </w:pPr>
      <w:r>
        <w:rPr>
          <w:sz w:val="24"/>
          <w:szCs w:val="24"/>
        </w:rPr>
        <w:t xml:space="preserve">So from upstream research to downstream testing, the Commission must make sure that its policies promote innovation and the smart use of spectrum.  The good news is that today’s rulemaking does just that.  For the first time in over a decade, we are beginning to seriously explore how new radio equipment is approved.  Under our existing rules, the review process can take months.  But if we can safely and effectively streamline this process, we will be able to expedite the rate at which new devices reach the market.  More than that, by combining an accelerated radio equipment approval process with the new experimental licensing system the Commission adopted last month, our policies can pack a powerful innovative punch—and promote the efficient use of spectrum.  That’s an outcome I am pleased to support.    </w:t>
      </w:r>
    </w:p>
    <w:p w:rsidR="00C35E20" w:rsidRDefault="00C35E20" w:rsidP="00C35E20">
      <w:pPr>
        <w:ind w:firstLine="720"/>
        <w:rPr>
          <w:sz w:val="24"/>
          <w:szCs w:val="24"/>
        </w:rPr>
      </w:pPr>
    </w:p>
    <w:p w:rsidR="00C35E20" w:rsidRDefault="00C35E20" w:rsidP="00FB0A89"/>
    <w:sectPr w:rsidR="00C35E20" w:rsidSect="00826597">
      <w:footnotePr>
        <w:numRestart w:val="eachSect"/>
      </w:footnotePr>
      <w:endnotePr>
        <w:numFmt w:val="decimal"/>
      </w:endnotePr>
      <w:pgSz w:w="12240" w:h="15840"/>
      <w:pgMar w:top="1440" w:right="1440" w:bottom="72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4" w:rsidRDefault="009857C4">
      <w:pPr>
        <w:spacing w:line="20" w:lineRule="exact"/>
      </w:pPr>
    </w:p>
  </w:endnote>
  <w:endnote w:type="continuationSeparator" w:id="0">
    <w:p w:rsidR="009857C4" w:rsidRDefault="009857C4">
      <w:r>
        <w:t xml:space="preserve"> </w:t>
      </w:r>
    </w:p>
  </w:endnote>
  <w:endnote w:type="continuationNotice" w:id="1">
    <w:p w:rsidR="009857C4" w:rsidRDefault="009857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60" w:rsidRDefault="00665160" w:rsidP="0055614C">
    <w:pPr>
      <w:pStyle w:val="Footer"/>
      <w:framePr w:wrap="around" w:vAnchor="text" w:hAnchor="margin" w:xAlign="center" w:y="1"/>
    </w:pPr>
    <w:r>
      <w:fldChar w:fldCharType="begin"/>
    </w:r>
    <w:r>
      <w:instrText xml:space="preserve">PAGE  </w:instrText>
    </w:r>
    <w:r>
      <w:fldChar w:fldCharType="end"/>
    </w:r>
  </w:p>
  <w:p w:rsidR="00665160" w:rsidRDefault="006651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60" w:rsidRDefault="00665160" w:rsidP="0055614C">
    <w:pPr>
      <w:pStyle w:val="Footer"/>
      <w:framePr w:wrap="around" w:vAnchor="text" w:hAnchor="margin" w:xAlign="center" w:y="1"/>
    </w:pPr>
    <w:r>
      <w:fldChar w:fldCharType="begin"/>
    </w:r>
    <w:r>
      <w:instrText xml:space="preserve">PAGE  </w:instrText>
    </w:r>
    <w:r>
      <w:fldChar w:fldCharType="separate"/>
    </w:r>
    <w:r w:rsidR="00F0744B">
      <w:rPr>
        <w:noProof/>
      </w:rPr>
      <w:t>2</w:t>
    </w:r>
    <w:r>
      <w:fldChar w:fldCharType="end"/>
    </w:r>
  </w:p>
  <w:p w:rsidR="00665160" w:rsidRDefault="00665160">
    <w:pPr>
      <w:spacing w:before="140" w:line="100" w:lineRule="exact"/>
      <w:rPr>
        <w:sz w:val="10"/>
      </w:rPr>
    </w:pPr>
  </w:p>
  <w:p w:rsidR="00665160" w:rsidRDefault="00665160">
    <w:pPr>
      <w:suppressAutoHyphens/>
      <w:spacing w:line="227" w:lineRule="auto"/>
    </w:pPr>
  </w:p>
  <w:p w:rsidR="00665160" w:rsidRDefault="0066516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60" w:rsidRDefault="00665160">
    <w:pPr>
      <w:pStyle w:val="Footer"/>
      <w:tabs>
        <w:tab w:val="clear"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4" w:rsidRDefault="009857C4">
      <w:r>
        <w:separator/>
      </w:r>
    </w:p>
  </w:footnote>
  <w:footnote w:type="continuationSeparator" w:id="0">
    <w:p w:rsidR="009857C4" w:rsidRDefault="009857C4">
      <w:pPr>
        <w:rPr>
          <w:sz w:val="20"/>
        </w:rPr>
      </w:pPr>
      <w:r>
        <w:rPr>
          <w:sz w:val="20"/>
        </w:rPr>
        <w:t xml:space="preserve">(Continued from previous page)  </w:t>
      </w:r>
      <w:r>
        <w:rPr>
          <w:sz w:val="20"/>
        </w:rPr>
        <w:separator/>
      </w:r>
    </w:p>
  </w:footnote>
  <w:footnote w:type="continuationNotice" w:id="1">
    <w:p w:rsidR="009857C4" w:rsidRDefault="009857C4">
      <w:pPr>
        <w:rPr>
          <w:sz w:val="20"/>
        </w:rPr>
      </w:pPr>
      <w:r>
        <w:rPr>
          <w:sz w:val="20"/>
        </w:rPr>
        <w:t>(</w:t>
      </w:r>
      <w:proofErr w:type="gramStart"/>
      <w:r>
        <w:rPr>
          <w:sz w:val="20"/>
        </w:rPr>
        <w:t>continued</w:t>
      </w:r>
      <w:proofErr w:type="gramEnd"/>
      <w:r>
        <w:rPr>
          <w:sz w:val="20"/>
        </w:rPr>
        <w:t>….)</w:t>
      </w:r>
    </w:p>
  </w:footnote>
  <w:footnote w:id="2">
    <w:p w:rsidR="00665160" w:rsidRPr="000A0DB1" w:rsidRDefault="00665160" w:rsidP="004D436D">
      <w:pPr>
        <w:pStyle w:val="FootnoteText"/>
      </w:pPr>
      <w:r>
        <w:rPr>
          <w:rStyle w:val="FootnoteReference"/>
        </w:rPr>
        <w:footnoteRef/>
      </w:r>
      <w:r>
        <w:t xml:space="preserve"> </w:t>
      </w:r>
      <w:r>
        <w:rPr>
          <w:i/>
        </w:rPr>
        <w:t>See</w:t>
      </w:r>
      <w:r>
        <w:t xml:space="preserve"> 47 C.F.R. Part 2 Subpart J.</w:t>
      </w:r>
    </w:p>
  </w:footnote>
  <w:footnote w:id="3">
    <w:p w:rsidR="00665160" w:rsidRDefault="00665160">
      <w:pPr>
        <w:pStyle w:val="FootnoteText"/>
      </w:pPr>
      <w:r>
        <w:rPr>
          <w:rStyle w:val="FootnoteReference"/>
        </w:rPr>
        <w:footnoteRef/>
      </w:r>
      <w:r>
        <w:t xml:space="preserve"> RF devices are generally tested to show that they comply with the Commission’s technical rules, but in some cases an analysis of their design can be used as an alternative means of demonstrating compliance.  Some RF devices are exempt from the equipment authorization requirements, such as certain digital devices and radio receivers, and equipment intended solely for export or marketed exclusively for use by the Federal Government.  </w:t>
      </w:r>
      <w:r>
        <w:rPr>
          <w:i/>
        </w:rPr>
        <w:t xml:space="preserve">See </w:t>
      </w:r>
      <w:r>
        <w:t xml:space="preserve">footnote </w:t>
      </w:r>
      <w:r>
        <w:fldChar w:fldCharType="begin"/>
      </w:r>
      <w:r>
        <w:instrText xml:space="preserve"> NOTEREF _Ref337643560 \h </w:instrText>
      </w:r>
      <w:r>
        <w:fldChar w:fldCharType="separate"/>
      </w:r>
      <w:r>
        <w:t>14</w:t>
      </w:r>
      <w:r>
        <w:fldChar w:fldCharType="end"/>
      </w:r>
      <w:r>
        <w:t xml:space="preserve">, </w:t>
      </w:r>
      <w:r>
        <w:rPr>
          <w:i/>
        </w:rPr>
        <w:t>infra.</w:t>
      </w:r>
      <w:r>
        <w:t xml:space="preserve">  </w:t>
      </w:r>
    </w:p>
  </w:footnote>
  <w:footnote w:id="4">
    <w:p w:rsidR="00665160" w:rsidRDefault="00665160">
      <w:pPr>
        <w:pStyle w:val="FootnoteText"/>
      </w:pPr>
      <w:r>
        <w:rPr>
          <w:rStyle w:val="FootnoteReference"/>
        </w:rPr>
        <w:footnoteRef/>
      </w:r>
      <w:r>
        <w:t xml:space="preserve"> RF devices that require certification must be approved by the Commission or a TCB, while devices that require authorization through the Declaration of Conformity (DoC) or verification procedure do not.  </w:t>
      </w:r>
      <w:r>
        <w:rPr>
          <w:i/>
        </w:rPr>
        <w:t xml:space="preserve">See infra </w:t>
      </w:r>
      <w:r>
        <w:t xml:space="preserve">paragraph </w:t>
      </w:r>
      <w:r>
        <w:fldChar w:fldCharType="begin"/>
      </w:r>
      <w:r>
        <w:instrText xml:space="preserve"> REF _Ref337644605 \r \h </w:instrText>
      </w:r>
      <w:r>
        <w:fldChar w:fldCharType="separate"/>
      </w:r>
      <w:r>
        <w:t>9</w:t>
      </w:r>
      <w:r>
        <w:fldChar w:fldCharType="end"/>
      </w:r>
      <w:r>
        <w:t xml:space="preserve">.  Most types of radio transmitters require certification, while non-transmitting RF devices that require authorization are typically authorized through the verification or DoC procedure.  </w:t>
      </w:r>
    </w:p>
  </w:footnote>
  <w:footnote w:id="5">
    <w:p w:rsidR="00665160" w:rsidRDefault="00665160">
      <w:pPr>
        <w:pStyle w:val="FootnoteText"/>
      </w:pPr>
      <w:r>
        <w:rPr>
          <w:rStyle w:val="FootnoteReference"/>
        </w:rPr>
        <w:footnoteRef/>
      </w:r>
      <w:r>
        <w:t xml:space="preserve"> </w:t>
      </w:r>
      <w:r>
        <w:rPr>
          <w:i/>
        </w:rPr>
        <w:t>See</w:t>
      </w:r>
      <w:r>
        <w:t xml:space="preserve"> </w:t>
      </w:r>
      <w:r w:rsidRPr="005031F9">
        <w:rPr>
          <w:i/>
        </w:rPr>
        <w:t>Amendment of Parts 2, 15, 18 and Other Parts of the Commission’s Rules to Simplify and Streamline the Equipment Authorization Process for Radio Frequency Equipment</w:t>
      </w:r>
      <w:r>
        <w:t xml:space="preserve">, ET Docket No. 97-94, </w:t>
      </w:r>
      <w:r>
        <w:rPr>
          <w:i/>
        </w:rPr>
        <w:t>Report and Order</w:t>
      </w:r>
      <w:r>
        <w:t>, 13 FCC Rcd 11415 (1998) (</w:t>
      </w:r>
      <w:r>
        <w:rPr>
          <w:i/>
        </w:rPr>
        <w:t>Equipment Authorization Procedures Order</w:t>
      </w:r>
      <w:r>
        <w:t xml:space="preserve">).  </w:t>
      </w:r>
    </w:p>
  </w:footnote>
  <w:footnote w:id="6">
    <w:p w:rsidR="00665160" w:rsidRPr="00355A7C" w:rsidRDefault="00665160" w:rsidP="00355A7C">
      <w:pPr>
        <w:pStyle w:val="FootnoteText"/>
      </w:pPr>
      <w:r>
        <w:rPr>
          <w:rStyle w:val="FootnoteReference"/>
        </w:rPr>
        <w:footnoteRef/>
      </w:r>
      <w:r>
        <w:t xml:space="preserve"> </w:t>
      </w:r>
      <w:r>
        <w:rPr>
          <w:i/>
        </w:rPr>
        <w:t xml:space="preserve">See </w:t>
      </w:r>
      <w:r w:rsidRPr="00355A7C">
        <w:rPr>
          <w:i/>
        </w:rPr>
        <w:t>Sections 2.925 and 2.926 of the Rules Regarding</w:t>
      </w:r>
      <w:r>
        <w:rPr>
          <w:i/>
        </w:rPr>
        <w:t xml:space="preserve"> </w:t>
      </w:r>
      <w:r w:rsidRPr="00355A7C">
        <w:rPr>
          <w:i/>
        </w:rPr>
        <w:t>Grantee Codes for Certified Radiofrequency</w:t>
      </w:r>
      <w:r>
        <w:rPr>
          <w:i/>
        </w:rPr>
        <w:t xml:space="preserve"> </w:t>
      </w:r>
      <w:r w:rsidRPr="00355A7C">
        <w:rPr>
          <w:i/>
        </w:rPr>
        <w:t>Equipment</w:t>
      </w:r>
      <w:r>
        <w:rPr>
          <w:i/>
        </w:rPr>
        <w:t>, Order,</w:t>
      </w:r>
      <w:r>
        <w:t xml:space="preserve"> </w:t>
      </w:r>
      <w:proofErr w:type="gramStart"/>
      <w:r w:rsidRPr="00355A7C">
        <w:t>27</w:t>
      </w:r>
      <w:proofErr w:type="gramEnd"/>
      <w:r>
        <w:t xml:space="preserve"> FCC Rcd </w:t>
      </w:r>
      <w:r w:rsidRPr="00355A7C">
        <w:t>6565</w:t>
      </w:r>
      <w:r>
        <w:t xml:space="preserve"> (2012).</w:t>
      </w:r>
    </w:p>
  </w:footnote>
  <w:footnote w:id="7">
    <w:p w:rsidR="00665160" w:rsidRDefault="00665160" w:rsidP="00681265">
      <w:pPr>
        <w:pStyle w:val="FootnoteText"/>
      </w:pPr>
      <w:r>
        <w:rPr>
          <w:rStyle w:val="FootnoteReference"/>
        </w:rPr>
        <w:footnoteRef/>
      </w:r>
      <w:r>
        <w:t xml:space="preserve"> </w:t>
      </w:r>
      <w:r>
        <w:rPr>
          <w:i/>
        </w:rPr>
        <w:t xml:space="preserve">See </w:t>
      </w:r>
      <w:r>
        <w:t>47 U.S.C. § 302a(a).</w:t>
      </w:r>
    </w:p>
  </w:footnote>
  <w:footnote w:id="8">
    <w:p w:rsidR="00665160" w:rsidRDefault="00665160" w:rsidP="00681265">
      <w:pPr>
        <w:pStyle w:val="FootnoteText"/>
      </w:pPr>
      <w:r>
        <w:rPr>
          <w:rStyle w:val="FootnoteReference"/>
        </w:rPr>
        <w:footnoteRef/>
      </w:r>
      <w:r>
        <w:t xml:space="preserve"> </w:t>
      </w:r>
      <w:r>
        <w:rPr>
          <w:i/>
        </w:rPr>
        <w:t xml:space="preserve">See </w:t>
      </w:r>
      <w:r>
        <w:t>47 U.S.C. § 302a(b).</w:t>
      </w:r>
    </w:p>
  </w:footnote>
  <w:footnote w:id="9">
    <w:p w:rsidR="00665160" w:rsidRPr="001C42C0" w:rsidRDefault="00665160">
      <w:pPr>
        <w:pStyle w:val="FootnoteText"/>
      </w:pPr>
      <w:r>
        <w:rPr>
          <w:rStyle w:val="FootnoteReference"/>
        </w:rPr>
        <w:footnoteRef/>
      </w:r>
      <w:r>
        <w:t xml:space="preserve"> </w:t>
      </w:r>
      <w:r>
        <w:rPr>
          <w:i/>
        </w:rPr>
        <w:t>See</w:t>
      </w:r>
      <w:r>
        <w:t xml:space="preserve"> 47 C.F.R. Parts 15, 22, 24, 27 and 90.</w:t>
      </w:r>
    </w:p>
  </w:footnote>
  <w:footnote w:id="10">
    <w:p w:rsidR="00665160" w:rsidRDefault="00665160" w:rsidP="007B5B58">
      <w:pPr>
        <w:pStyle w:val="FootnoteText"/>
      </w:pPr>
      <w:r>
        <w:rPr>
          <w:rStyle w:val="FootnoteReference"/>
        </w:rPr>
        <w:footnoteRef/>
      </w:r>
      <w:r>
        <w:t xml:space="preserve"> </w:t>
      </w:r>
      <w:proofErr w:type="gramStart"/>
      <w:r>
        <w:rPr>
          <w:i/>
        </w:rPr>
        <w:t>See</w:t>
      </w:r>
      <w:r>
        <w:t xml:space="preserve"> 47 C.F.R. § 20.19(b)(2).</w:t>
      </w:r>
      <w:proofErr w:type="gramEnd"/>
      <w:r>
        <w:t xml:space="preserve">  A hearing aid telecoil picks up the audio signal-based magnetic field generated by the voice coil of a dynamic speaker, or a dedicated coil, in hearing aid-compatible telephones via inductive coupling.  The hearing aid converts the magnetic field into electrical signals, amplifies them as needed, and converts them into sound via the hearing aid speaker.  Using a telecoil avoids the feedback that often results from putting a telephone earpiece up against a hearing aid, can help prevent exposure to over-amplification, and eliminates background noise, providing improved access to the phone.</w:t>
      </w:r>
    </w:p>
  </w:footnote>
  <w:footnote w:id="11">
    <w:p w:rsidR="00665160" w:rsidRDefault="00665160" w:rsidP="007B5B58">
      <w:pPr>
        <w:pStyle w:val="FootnoteText"/>
      </w:pPr>
      <w:r>
        <w:rPr>
          <w:rStyle w:val="FootnoteReference"/>
        </w:rPr>
        <w:footnoteRef/>
      </w:r>
      <w:r>
        <w:t xml:space="preserve"> </w:t>
      </w:r>
      <w:r w:rsidRPr="008F20EA">
        <w:t xml:space="preserve">Under the Commission’s </w:t>
      </w:r>
      <w:r>
        <w:t xml:space="preserve">rules for RF exposure evaluation, a mobile </w:t>
      </w:r>
      <w:r w:rsidRPr="00440D21">
        <w:t>device is defined as a transmitting device</w:t>
      </w:r>
      <w:r>
        <w:t xml:space="preserve"> designed to be used in other than fixed locations and to generally be used in such a way that a separation distance of at least 20 centimeters is normally maintained between the transmitter’s radiating structure(s) and the body of the user or nearby persons.</w:t>
      </w:r>
      <w:r w:rsidRPr="00440D21">
        <w:t xml:space="preserve">  </w:t>
      </w:r>
      <w:r w:rsidRPr="002F09A1">
        <w:rPr>
          <w:i/>
        </w:rPr>
        <w:t>See</w:t>
      </w:r>
      <w:r>
        <w:t xml:space="preserve"> </w:t>
      </w:r>
      <w:r w:rsidRPr="002F09A1">
        <w:t>47</w:t>
      </w:r>
      <w:r>
        <w:t xml:space="preserve"> C.F.R. § 2.1091.  </w:t>
      </w:r>
      <w:r w:rsidRPr="00440D21">
        <w:t>A portable device is defined as a transmitting device where the radiating structure(s) of the device is/are within 20 centimeters of the body of the user.</w:t>
      </w:r>
      <w:r>
        <w:t xml:space="preserve">  </w:t>
      </w:r>
      <w:r w:rsidRPr="002F09A1">
        <w:rPr>
          <w:i/>
        </w:rPr>
        <w:t>See</w:t>
      </w:r>
      <w:r>
        <w:t xml:space="preserve"> </w:t>
      </w:r>
      <w:r w:rsidRPr="002F09A1">
        <w:t>47</w:t>
      </w:r>
      <w:r>
        <w:t xml:space="preserve"> C.F.R. § 2.1093.</w:t>
      </w:r>
    </w:p>
  </w:footnote>
  <w:footnote w:id="12">
    <w:p w:rsidR="00665160" w:rsidRDefault="00665160" w:rsidP="007B5B58">
      <w:pPr>
        <w:pStyle w:val="FootnoteText"/>
      </w:pPr>
      <w:r>
        <w:rPr>
          <w:rStyle w:val="FootnoteReference"/>
        </w:rPr>
        <w:footnoteRef/>
      </w:r>
      <w:r>
        <w:t xml:space="preserve"> </w:t>
      </w:r>
      <w:proofErr w:type="gramStart"/>
      <w:r>
        <w:rPr>
          <w:i/>
        </w:rPr>
        <w:t xml:space="preserve">See </w:t>
      </w:r>
      <w:r>
        <w:t>47 C.F.R. §§ 1.1307(b), 1.1310, 2.1091, 2.1093.</w:t>
      </w:r>
      <w:proofErr w:type="gramEnd"/>
      <w:r w:rsidRPr="00456BE0">
        <w:t xml:space="preserve"> </w:t>
      </w:r>
      <w:r>
        <w:t xml:space="preserve"> M</w:t>
      </w:r>
      <w:r w:rsidRPr="009733AA">
        <w:t xml:space="preserve">obile </w:t>
      </w:r>
      <w:r>
        <w:t xml:space="preserve">and portable transmitting devices that operate </w:t>
      </w:r>
      <w:r w:rsidRPr="008F20EA">
        <w:t>in the Cell</w:t>
      </w:r>
      <w:r>
        <w:t>ular Radiotelephone Service, the</w:t>
      </w:r>
      <w:r w:rsidRPr="008F20EA">
        <w:t xml:space="preserve"> Personal Communications Services</w:t>
      </w:r>
      <w:r>
        <w:t xml:space="preserve"> (PCS)</w:t>
      </w:r>
      <w:r w:rsidRPr="008F20EA">
        <w:t>, the Satellite Communications Services, the Wireless Communications Service</w:t>
      </w:r>
      <w:r>
        <w:t xml:space="preserve"> (WCS)</w:t>
      </w:r>
      <w:r w:rsidRPr="008F20EA">
        <w:t>, the Maritime Services</w:t>
      </w:r>
      <w:r>
        <w:t>,</w:t>
      </w:r>
      <w:r w:rsidRPr="008F20EA">
        <w:t xml:space="preserve"> the S</w:t>
      </w:r>
      <w:r>
        <w:t xml:space="preserve">pecialized Mobile Radio Service (SMRS), the 4.9 GHz Band Service, and the 3650 MHz Wireless Broadband Service </w:t>
      </w:r>
      <w:r w:rsidRPr="008F20EA">
        <w:t>authorized</w:t>
      </w:r>
      <w:r>
        <w:t>, respectively,</w:t>
      </w:r>
      <w:r w:rsidRPr="008F20EA">
        <w:t xml:space="preserve"> under </w:t>
      </w:r>
      <w:r>
        <w:t>S</w:t>
      </w:r>
      <w:r w:rsidRPr="008F20EA">
        <w:t>ubp</w:t>
      </w:r>
      <w:r>
        <w:t>art H of Part 22</w:t>
      </w:r>
      <w:r w:rsidRPr="008F20EA">
        <w:t xml:space="preserve">, </w:t>
      </w:r>
      <w:r>
        <w:t>and P</w:t>
      </w:r>
      <w:r w:rsidRPr="008F20EA">
        <w:t xml:space="preserve">arts 24, </w:t>
      </w:r>
      <w:r>
        <w:t>25, 27,</w:t>
      </w:r>
      <w:r w:rsidRPr="008F20EA">
        <w:t xml:space="preserve"> 80 (ship earth stations devices on</w:t>
      </w:r>
      <w:r>
        <w:t xml:space="preserve">ly), and Part 90 of the Commission’s rules </w:t>
      </w:r>
      <w:r w:rsidRPr="008F20EA">
        <w:t>are subject to routine environmental evaluation for RF exposure prior to equipment authorization or use</w:t>
      </w:r>
      <w:r>
        <w:t>.  Portable transmitting devices operating in the Wireless Medical Telemetry Service (WMTS) and the Medical Implant Communications Service (MICS), authorized, respectively, under Subparts H and I of Part 95 are also subject to routine environmental evaluation for RF exposure prior to equipment authorization or use.</w:t>
      </w:r>
      <w:r w:rsidRPr="008F20EA">
        <w:t xml:space="preserve">  </w:t>
      </w:r>
      <w:proofErr w:type="gramStart"/>
      <w:r w:rsidRPr="00440D21">
        <w:rPr>
          <w:i/>
        </w:rPr>
        <w:t>See</w:t>
      </w:r>
      <w:r w:rsidRPr="00440D21">
        <w:t xml:space="preserve"> 47 C.F.R. §§ 1.1307(b)(1)</w:t>
      </w:r>
      <w:r>
        <w:t>, (2)</w:t>
      </w:r>
      <w:r w:rsidRPr="00440D21">
        <w:t>, 2.1091, and 2.1093 for details.</w:t>
      </w:r>
      <w:proofErr w:type="gramEnd"/>
      <w:r w:rsidRPr="001A36CF">
        <w:t xml:space="preserve"> </w:t>
      </w:r>
      <w:r>
        <w:t xml:space="preserve"> </w:t>
      </w:r>
    </w:p>
  </w:footnote>
  <w:footnote w:id="13">
    <w:p w:rsidR="00665160" w:rsidRDefault="00665160" w:rsidP="007B5B58">
      <w:pPr>
        <w:pStyle w:val="FootnoteText"/>
      </w:pPr>
      <w:r>
        <w:rPr>
          <w:rStyle w:val="FootnoteReference"/>
        </w:rPr>
        <w:footnoteRef/>
      </w:r>
      <w:r>
        <w:t xml:space="preserve"> </w:t>
      </w:r>
      <w:r w:rsidRPr="004F511C">
        <w:rPr>
          <w:i/>
        </w:rPr>
        <w:t>See</w:t>
      </w:r>
      <w:r>
        <w:t xml:space="preserve"> </w:t>
      </w:r>
      <w:r w:rsidRPr="004F511C">
        <w:t>47</w:t>
      </w:r>
      <w:r>
        <w:t xml:space="preserve"> C.F.R. § 15.120. </w:t>
      </w:r>
    </w:p>
  </w:footnote>
  <w:footnote w:id="14">
    <w:p w:rsidR="00665160" w:rsidRDefault="00665160" w:rsidP="007B5B58">
      <w:pPr>
        <w:pStyle w:val="FootnoteText"/>
      </w:pPr>
      <w:r>
        <w:rPr>
          <w:rStyle w:val="FootnoteReference"/>
        </w:rPr>
        <w:footnoteRef/>
      </w:r>
      <w:r>
        <w:t xml:space="preserve"> </w:t>
      </w:r>
      <w:r w:rsidRPr="004F511C">
        <w:rPr>
          <w:i/>
        </w:rPr>
        <w:t>See</w:t>
      </w:r>
      <w:r>
        <w:t xml:space="preserve"> </w:t>
      </w:r>
      <w:r w:rsidRPr="004F511C">
        <w:t>47</w:t>
      </w:r>
      <w:r>
        <w:t xml:space="preserve"> C.F.R. § 15.122.</w:t>
      </w:r>
    </w:p>
  </w:footnote>
  <w:footnote w:id="15">
    <w:p w:rsidR="00665160" w:rsidRPr="0013497F" w:rsidRDefault="00665160" w:rsidP="007B5B58">
      <w:pPr>
        <w:pStyle w:val="FootnoteText"/>
      </w:pPr>
      <w:r>
        <w:rPr>
          <w:rStyle w:val="FootnoteReference"/>
        </w:rPr>
        <w:footnoteRef/>
      </w:r>
      <w:r>
        <w:t xml:space="preserve"> </w:t>
      </w:r>
      <w:r>
        <w:rPr>
          <w:i/>
        </w:rPr>
        <w:t>See</w:t>
      </w:r>
      <w:r>
        <w:t xml:space="preserve"> 47 C.F.R. Part 2, Subpart J, § 2.901, </w:t>
      </w:r>
      <w:proofErr w:type="gramStart"/>
      <w:r>
        <w:rPr>
          <w:i/>
        </w:rPr>
        <w:t>et</w:t>
      </w:r>
      <w:proofErr w:type="gramEnd"/>
      <w:r>
        <w:rPr>
          <w:i/>
        </w:rPr>
        <w:t xml:space="preserve"> seq</w:t>
      </w:r>
      <w:r>
        <w:t xml:space="preserve">.  Some devices are exempt from the equipment authorization requirements, such as unlicensed digital devices used exclusively in transportation vehicles, utility or industrial plants, test equipment, appliances and medical devices.  </w:t>
      </w:r>
      <w:r>
        <w:rPr>
          <w:i/>
        </w:rPr>
        <w:t>See</w:t>
      </w:r>
      <w:r>
        <w:t xml:space="preserve"> 47 C.F.R. § 15.103.  In addition, most radio receivers that tune only outside the frequency range of 30-960 MHz are exempt from equipment authorization requirements.  </w:t>
      </w:r>
      <w:proofErr w:type="gramStart"/>
      <w:r>
        <w:rPr>
          <w:i/>
        </w:rPr>
        <w:t>See</w:t>
      </w:r>
      <w:r>
        <w:t xml:space="preserve"> 47 C.F.R. § 15.101(b).</w:t>
      </w:r>
      <w:proofErr w:type="gramEnd"/>
      <w:r>
        <w:t xml:space="preserve">  Operation of these exempt digital devices and radio receivers is subject to the condition that the devices may not cause harmful interference to authorized services.  </w:t>
      </w:r>
      <w:proofErr w:type="gramStart"/>
      <w:r>
        <w:rPr>
          <w:i/>
        </w:rPr>
        <w:t>See</w:t>
      </w:r>
      <w:r>
        <w:t xml:space="preserve"> 47 C.F.R. § 15.5(b).</w:t>
      </w:r>
      <w:proofErr w:type="gramEnd"/>
      <w:r>
        <w:t xml:space="preserve">  Additionally, some devices are exempt from equipment authorization requirements by statute, such as equipment intended solely for export or marketed exclusively for use by the Federal Government.  </w:t>
      </w:r>
      <w:r>
        <w:rPr>
          <w:i/>
        </w:rPr>
        <w:t>See</w:t>
      </w:r>
      <w:r>
        <w:t xml:space="preserve"> 47 U.S.C. § 302a(c) and 47 C.F.R. § 2.807.</w:t>
      </w:r>
    </w:p>
  </w:footnote>
  <w:footnote w:id="16">
    <w:p w:rsidR="00665160" w:rsidRPr="006D6687" w:rsidRDefault="00665160">
      <w:pPr>
        <w:pStyle w:val="FootnoteText"/>
      </w:pPr>
      <w:r>
        <w:rPr>
          <w:rStyle w:val="FootnoteReference"/>
        </w:rPr>
        <w:footnoteRef/>
      </w:r>
      <w:r>
        <w:t xml:space="preserve"> </w:t>
      </w:r>
      <w:r>
        <w:rPr>
          <w:i/>
        </w:rPr>
        <w:t xml:space="preserve">See </w:t>
      </w:r>
      <w:r>
        <w:t>47 C.F.R. § 0.241(b).</w:t>
      </w:r>
    </w:p>
  </w:footnote>
  <w:footnote w:id="17">
    <w:p w:rsidR="00665160" w:rsidRDefault="00665160" w:rsidP="007B5B58">
      <w:pPr>
        <w:pStyle w:val="FootnoteText"/>
      </w:pPr>
      <w:r>
        <w:rPr>
          <w:rStyle w:val="FootnoteReference"/>
        </w:rPr>
        <w:footnoteRef/>
      </w:r>
      <w:r>
        <w:t xml:space="preserve"> </w:t>
      </w:r>
      <w:r>
        <w:rPr>
          <w:i/>
        </w:rPr>
        <w:t>See</w:t>
      </w:r>
      <w:r>
        <w:t xml:space="preserve"> footnote </w:t>
      </w:r>
      <w:r>
        <w:fldChar w:fldCharType="begin"/>
      </w:r>
      <w:r>
        <w:instrText xml:space="preserve"> NOTEREF _Ref334709060 \h </w:instrText>
      </w:r>
      <w:r>
        <w:fldChar w:fldCharType="separate"/>
      </w:r>
      <w:r>
        <w:t>4</w:t>
      </w:r>
      <w:r>
        <w:fldChar w:fldCharType="end"/>
      </w:r>
      <w:r>
        <w:t xml:space="preserve">, </w:t>
      </w:r>
      <w:r>
        <w:rPr>
          <w:i/>
        </w:rPr>
        <w:t>supra.</w:t>
      </w:r>
      <w:r>
        <w:t xml:space="preserve">  </w:t>
      </w:r>
    </w:p>
  </w:footnote>
  <w:footnote w:id="18">
    <w:p w:rsidR="00665160" w:rsidRDefault="00665160" w:rsidP="007B5B58">
      <w:pPr>
        <w:pStyle w:val="FootnoteText"/>
      </w:pPr>
      <w:r>
        <w:rPr>
          <w:rStyle w:val="FootnoteReference"/>
        </w:rPr>
        <w:footnoteRef/>
      </w:r>
      <w:r>
        <w:t xml:space="preserve"> </w:t>
      </w:r>
      <w:r>
        <w:rPr>
          <w:i/>
        </w:rPr>
        <w:t>See Equipment Authorization Procedures Order,</w:t>
      </w:r>
      <w:r>
        <w:t xml:space="preserve"> 13 FCC Rcd 11418-429 ¶¶ 7-32.  In this proceeding, the Commission eliminated the notification procedure and merged the type-acceptance approval procedure for licensed transmitters into the certification procedure.  Thus, the Commission reduced the number of authorization procedures from five to three.</w:t>
      </w:r>
    </w:p>
  </w:footnote>
  <w:footnote w:id="19">
    <w:p w:rsidR="00665160" w:rsidRPr="005B1E1D" w:rsidRDefault="00665160" w:rsidP="007B5B58">
      <w:pPr>
        <w:widowControl/>
        <w:tabs>
          <w:tab w:val="left" w:pos="-720"/>
        </w:tabs>
        <w:suppressAutoHyphens/>
        <w:spacing w:after="120" w:line="251" w:lineRule="atLeast"/>
      </w:pPr>
      <w:r>
        <w:rPr>
          <w:rStyle w:val="FootnoteReference"/>
        </w:rPr>
        <w:footnoteRef/>
      </w:r>
      <w:r>
        <w:t xml:space="preserve"> </w:t>
      </w:r>
      <w:r w:rsidRPr="0014569A">
        <w:rPr>
          <w:i/>
          <w:sz w:val="20"/>
        </w:rPr>
        <w:t>See</w:t>
      </w:r>
      <w:r w:rsidRPr="0014569A">
        <w:rPr>
          <w:sz w:val="20"/>
        </w:rPr>
        <w:t xml:space="preserve"> 1998 Biennial Regulatory Review -- Amendment of Parts 2, 25 and 68 of the Commission's Rules to Further Streamline the Equipment Authorization Process for Radio Frequency Equipment, Modify the Equipment</w:t>
      </w:r>
      <w:r>
        <w:rPr>
          <w:sz w:val="20"/>
        </w:rPr>
        <w:t xml:space="preserve"> </w:t>
      </w:r>
      <w:r w:rsidRPr="0014569A">
        <w:rPr>
          <w:sz w:val="20"/>
        </w:rPr>
        <w:t>Authorization Process for Telephone Terminal Equipment, Implement Mutual Recognition Agreements and Begin Implementation of the Global Mobile</w:t>
      </w:r>
      <w:r>
        <w:rPr>
          <w:sz w:val="20"/>
        </w:rPr>
        <w:t xml:space="preserve"> Personal </w:t>
      </w:r>
      <w:r w:rsidRPr="0014569A">
        <w:rPr>
          <w:sz w:val="20"/>
        </w:rPr>
        <w:t>Communications by Satellite (GMPCS) Arrangements</w:t>
      </w:r>
      <w:r>
        <w:rPr>
          <w:sz w:val="20"/>
        </w:rPr>
        <w:t xml:space="preserve">, GEN Docket No. 98-68, </w:t>
      </w:r>
      <w:r>
        <w:rPr>
          <w:i/>
          <w:sz w:val="20"/>
        </w:rPr>
        <w:t>Report and Order</w:t>
      </w:r>
      <w:r>
        <w:rPr>
          <w:sz w:val="20"/>
        </w:rPr>
        <w:t>, 13 FCC Rcd 24687 (1998) (</w:t>
      </w:r>
      <w:r>
        <w:rPr>
          <w:i/>
          <w:sz w:val="20"/>
        </w:rPr>
        <w:t>Streamlining II Order</w:t>
      </w:r>
      <w:r>
        <w:rPr>
          <w:sz w:val="20"/>
        </w:rPr>
        <w:t>).</w:t>
      </w:r>
    </w:p>
  </w:footnote>
  <w:footnote w:id="20">
    <w:p w:rsidR="00665160" w:rsidRPr="001D6D0B" w:rsidRDefault="00665160" w:rsidP="00A82358">
      <w:pPr>
        <w:pStyle w:val="FootnoteText"/>
      </w:pPr>
      <w:r>
        <w:rPr>
          <w:rStyle w:val="FootnoteReference"/>
        </w:rPr>
        <w:footnoteRef/>
      </w:r>
      <w:r>
        <w:t xml:space="preserve"> </w:t>
      </w:r>
      <w:r>
        <w:rPr>
          <w:i/>
        </w:rPr>
        <w:t xml:space="preserve"> </w:t>
      </w:r>
      <w:proofErr w:type="gramStart"/>
      <w:r>
        <w:t>47 U.S.C. § 302a(e).</w:t>
      </w:r>
      <w:proofErr w:type="gramEnd"/>
    </w:p>
  </w:footnote>
  <w:footnote w:id="21">
    <w:p w:rsidR="00665160" w:rsidRDefault="00665160" w:rsidP="007B59DA">
      <w:pPr>
        <w:pStyle w:val="FootnoteText"/>
      </w:pPr>
      <w:r>
        <w:rPr>
          <w:rStyle w:val="FootnoteReference"/>
        </w:rPr>
        <w:footnoteRef/>
      </w:r>
      <w:r>
        <w:t xml:space="preserve"> </w:t>
      </w:r>
      <w:r>
        <w:rPr>
          <w:i/>
        </w:rPr>
        <w:t xml:space="preserve">See </w:t>
      </w:r>
      <w:r>
        <w:t xml:space="preserve">47 C.F.R. §§ 2.960, 2.962.  </w:t>
      </w:r>
      <w:r>
        <w:rPr>
          <w:i/>
        </w:rPr>
        <w:t>See also</w:t>
      </w:r>
      <w:r>
        <w:t xml:space="preserve"> TCB Program Roles and Responsibilities (rel. February 14, 2008), available on the Commission’s Equipment Authorization web site at </w:t>
      </w:r>
      <w:hyperlink r:id="rId1" w:history="1">
        <w:r w:rsidRPr="00C96EFE">
          <w:rPr>
            <w:rStyle w:val="Hyperlink"/>
          </w:rPr>
          <w:t>http://www.fcc.gov/oet/ea/FCC-Overview-TCB-Program.pdf</w:t>
        </w:r>
      </w:hyperlink>
      <w:r>
        <w:t xml:space="preserve">. </w:t>
      </w:r>
    </w:p>
  </w:footnote>
  <w:footnote w:id="22">
    <w:p w:rsidR="00665160" w:rsidRDefault="00665160" w:rsidP="007B59DA">
      <w:pPr>
        <w:pStyle w:val="FootnoteText"/>
      </w:pPr>
      <w:r>
        <w:rPr>
          <w:rStyle w:val="FootnoteReference"/>
        </w:rPr>
        <w:footnoteRef/>
      </w:r>
      <w:r>
        <w:t xml:space="preserve"> </w:t>
      </w:r>
      <w:proofErr w:type="gramStart"/>
      <w:r>
        <w:t>47 C.F.R. § 2.960.</w:t>
      </w:r>
      <w:proofErr w:type="gramEnd"/>
    </w:p>
  </w:footnote>
  <w:footnote w:id="23">
    <w:p w:rsidR="00665160" w:rsidRDefault="00665160" w:rsidP="007B59DA">
      <w:pPr>
        <w:pStyle w:val="FootnoteText"/>
      </w:pPr>
      <w:r>
        <w:rPr>
          <w:rStyle w:val="FootnoteReference"/>
        </w:rPr>
        <w:footnoteRef/>
      </w:r>
      <w:r>
        <w:t xml:space="preserve"> </w:t>
      </w:r>
      <w:r>
        <w:rPr>
          <w:i/>
        </w:rPr>
        <w:t>Id</w:t>
      </w:r>
      <w:r>
        <w:t>.</w:t>
      </w:r>
    </w:p>
  </w:footnote>
  <w:footnote w:id="24">
    <w:p w:rsidR="00665160" w:rsidRPr="00F85703" w:rsidRDefault="00665160" w:rsidP="007B59DA">
      <w:pPr>
        <w:pStyle w:val="FootnoteText"/>
      </w:pPr>
      <w:r>
        <w:rPr>
          <w:rStyle w:val="FootnoteReference"/>
        </w:rPr>
        <w:footnoteRef/>
      </w:r>
      <w:r>
        <w:t xml:space="preserve"> </w:t>
      </w:r>
      <w:r>
        <w:rPr>
          <w:i/>
        </w:rPr>
        <w:t>See infra</w:t>
      </w:r>
      <w:r>
        <w:t xml:space="preserve"> paragraph </w:t>
      </w:r>
      <w:r>
        <w:fldChar w:fldCharType="begin"/>
      </w:r>
      <w:r>
        <w:instrText xml:space="preserve"> REF _Ref332728075 \r \h </w:instrText>
      </w:r>
      <w:r>
        <w:fldChar w:fldCharType="separate"/>
      </w:r>
      <w:r>
        <w:t>18</w:t>
      </w:r>
      <w:r>
        <w:fldChar w:fldCharType="end"/>
      </w:r>
      <w:r>
        <w:t xml:space="preserve">.  Many TCBs also approve terminal equipment under Part 68 of the rules.  </w:t>
      </w:r>
      <w:r w:rsidRPr="00F85703">
        <w:rPr>
          <w:i/>
        </w:rPr>
        <w:t>See</w:t>
      </w:r>
      <w:r>
        <w:t xml:space="preserve"> 47 C.F.R. § 68.160.  </w:t>
      </w:r>
      <w:r w:rsidRPr="00F85703">
        <w:t>The</w:t>
      </w:r>
      <w:r>
        <w:t xml:space="preserve"> terminal approval procedures in Part 68 differ from the RF equipment approval procedures in Part 2.  </w:t>
      </w:r>
      <w:r>
        <w:rPr>
          <w:i/>
        </w:rPr>
        <w:t>See</w:t>
      </w:r>
      <w:r>
        <w:t xml:space="preserve"> 47 C.F.R. Part 68 Subpart C.</w:t>
      </w:r>
    </w:p>
  </w:footnote>
  <w:footnote w:id="25">
    <w:p w:rsidR="00665160" w:rsidRPr="00CE0B9C" w:rsidRDefault="00665160" w:rsidP="007B59DA">
      <w:pPr>
        <w:pStyle w:val="FootnoteText"/>
      </w:pPr>
      <w:r>
        <w:rPr>
          <w:rStyle w:val="FootnoteReference"/>
        </w:rPr>
        <w:footnoteRef/>
      </w:r>
      <w:r>
        <w:t xml:space="preserve"> </w:t>
      </w:r>
      <w:r>
        <w:rPr>
          <w:i/>
        </w:rPr>
        <w:t>See infra</w:t>
      </w:r>
      <w:r>
        <w:t xml:space="preserve"> paragraphs </w:t>
      </w:r>
      <w:r>
        <w:fldChar w:fldCharType="begin"/>
      </w:r>
      <w:r>
        <w:instrText xml:space="preserve"> REF _Ref334710889 \r \h </w:instrText>
      </w:r>
      <w:r>
        <w:fldChar w:fldCharType="separate"/>
      </w:r>
      <w:r>
        <w:t>34</w:t>
      </w:r>
      <w:r>
        <w:fldChar w:fldCharType="end"/>
      </w:r>
      <w:r>
        <w:t>-</w:t>
      </w:r>
      <w:r>
        <w:fldChar w:fldCharType="begin"/>
      </w:r>
      <w:r>
        <w:instrText xml:space="preserve"> REF _Ref334710905 \r \h </w:instrText>
      </w:r>
      <w:r>
        <w:fldChar w:fldCharType="separate"/>
      </w:r>
      <w:r>
        <w:t>36</w:t>
      </w:r>
      <w:r>
        <w:fldChar w:fldCharType="end"/>
      </w:r>
      <w:r>
        <w:t>.</w:t>
      </w:r>
    </w:p>
  </w:footnote>
  <w:footnote w:id="26">
    <w:p w:rsidR="00665160" w:rsidRDefault="00665160">
      <w:pPr>
        <w:pStyle w:val="FootnoteText"/>
      </w:pPr>
      <w:r>
        <w:rPr>
          <w:rStyle w:val="FootnoteReference"/>
        </w:rPr>
        <w:footnoteRef/>
      </w:r>
      <w:r>
        <w:t xml:space="preserve"> NIST has recognized the American National Standards Institute (ANSI) and the </w:t>
      </w:r>
      <w:r w:rsidRPr="00AB5841">
        <w:t>American Association for Laboratory Accreditation (A2LA)</w:t>
      </w:r>
      <w:r>
        <w:t xml:space="preserve"> as accreditors for TCBs.</w:t>
      </w:r>
    </w:p>
  </w:footnote>
  <w:footnote w:id="27">
    <w:p w:rsidR="00665160" w:rsidRDefault="00665160">
      <w:pPr>
        <w:pStyle w:val="FootnoteText"/>
      </w:pPr>
      <w:r>
        <w:rPr>
          <w:rStyle w:val="FootnoteReference"/>
        </w:rPr>
        <w:footnoteRef/>
      </w:r>
      <w:r>
        <w:t xml:space="preserve"> A manufacturer does not have to use a TCB in the country where it is located.  Any TCB can perform product certifications within the scope of products that it is authorized to approve, regardless of the location of the equipment manufacturer.</w:t>
      </w:r>
    </w:p>
  </w:footnote>
  <w:footnote w:id="28">
    <w:p w:rsidR="00665160" w:rsidRDefault="00665160" w:rsidP="007B5B58">
      <w:pPr>
        <w:pStyle w:val="FootnoteText"/>
      </w:pPr>
      <w:r>
        <w:rPr>
          <w:rStyle w:val="FootnoteReference"/>
        </w:rPr>
        <w:footnoteRef/>
      </w:r>
      <w:r>
        <w:t xml:space="preserve"> </w:t>
      </w:r>
      <w:r>
        <w:rPr>
          <w:i/>
        </w:rPr>
        <w:t>See</w:t>
      </w:r>
      <w:r>
        <w:t xml:space="preserve"> 47 C.F.R. § 2.907.</w:t>
      </w:r>
    </w:p>
  </w:footnote>
  <w:footnote w:id="29">
    <w:p w:rsidR="00665160" w:rsidRDefault="00665160">
      <w:pPr>
        <w:pStyle w:val="FootnoteText"/>
      </w:pPr>
      <w:r>
        <w:rPr>
          <w:rStyle w:val="FootnoteReference"/>
        </w:rPr>
        <w:footnoteRef/>
      </w:r>
      <w:r>
        <w:t xml:space="preserve"> The Commission and TCBs make a decision on whether to grant equipment certification after reviewing measurements performed by an independent test laboratory.  A device may be re-tested by the Commission or a TCB if there are concerns about whether the device complies with the Commission’s rules.</w:t>
      </w:r>
    </w:p>
  </w:footnote>
  <w:footnote w:id="30">
    <w:p w:rsidR="00665160" w:rsidRPr="004A45B9" w:rsidRDefault="00665160" w:rsidP="007B5B58">
      <w:pPr>
        <w:pStyle w:val="FootnoteText"/>
      </w:pPr>
      <w:r>
        <w:rPr>
          <w:rStyle w:val="FootnoteReference"/>
        </w:rPr>
        <w:footnoteRef/>
      </w:r>
      <w:r>
        <w:t xml:space="preserve"> The Commission’s Equipment Authorization System (EAS) can be accessed at </w:t>
      </w:r>
      <w:hyperlink r:id="rId2" w:history="1">
        <w:r w:rsidRPr="00C96EFE">
          <w:rPr>
            <w:rStyle w:val="Hyperlink"/>
          </w:rPr>
          <w:t>http://www.fcc.gov/oet/ea/fccid/</w:t>
        </w:r>
      </w:hyperlink>
      <w:r>
        <w:t xml:space="preserve">.  </w:t>
      </w:r>
    </w:p>
  </w:footnote>
  <w:footnote w:id="31">
    <w:p w:rsidR="00665160" w:rsidRDefault="00665160" w:rsidP="007B5B58">
      <w:pPr>
        <w:pStyle w:val="FootnoteText"/>
      </w:pPr>
      <w:r>
        <w:rPr>
          <w:rStyle w:val="FootnoteReference"/>
        </w:rPr>
        <w:footnoteRef/>
      </w:r>
      <w:r w:rsidRPr="001332D5">
        <w:t xml:space="preserve"> </w:t>
      </w:r>
      <w:r>
        <w:rPr>
          <w:i/>
        </w:rPr>
        <w:t xml:space="preserve">See </w:t>
      </w:r>
      <w:r w:rsidRPr="001332D5">
        <w:t>47 C.F.R. § 2.906</w:t>
      </w:r>
      <w:r>
        <w:t xml:space="preserve">.  The party responsible for compliance is defined in </w:t>
      </w:r>
      <w:r w:rsidRPr="001332D5">
        <w:t>47 C.F.R. § 2.909.</w:t>
      </w:r>
    </w:p>
  </w:footnote>
  <w:footnote w:id="32">
    <w:p w:rsidR="00665160" w:rsidRDefault="00665160" w:rsidP="00563615">
      <w:pPr>
        <w:pStyle w:val="FootnoteText"/>
      </w:pPr>
      <w:r>
        <w:rPr>
          <w:rStyle w:val="FootnoteReference"/>
        </w:rPr>
        <w:footnoteRef/>
      </w:r>
      <w:r>
        <w:t xml:space="preserve"> </w:t>
      </w:r>
      <w:r>
        <w:rPr>
          <w:i/>
        </w:rPr>
        <w:t xml:space="preserve">See </w:t>
      </w:r>
      <w:r>
        <w:t>47 C.F.R. §§ 2.1077 and 15.19(a)(3)</w:t>
      </w:r>
      <w:r w:rsidRPr="001332D5">
        <w:t>.</w:t>
      </w:r>
    </w:p>
  </w:footnote>
  <w:footnote w:id="33">
    <w:p w:rsidR="00665160" w:rsidRDefault="00665160" w:rsidP="007B5B58">
      <w:pPr>
        <w:pStyle w:val="FootnoteText"/>
      </w:pPr>
      <w:r>
        <w:rPr>
          <w:rStyle w:val="FootnoteReference"/>
        </w:rPr>
        <w:footnoteRef/>
      </w:r>
      <w:r>
        <w:t xml:space="preserve"> </w:t>
      </w:r>
      <w:r w:rsidRPr="00651801">
        <w:rPr>
          <w:i/>
        </w:rPr>
        <w:t>See</w:t>
      </w:r>
      <w:r>
        <w:t xml:space="preserve"> </w:t>
      </w:r>
      <w:r w:rsidRPr="00651801">
        <w:t>47</w:t>
      </w:r>
      <w:r>
        <w:t xml:space="preserve"> C.F.R. § 2.956.</w:t>
      </w:r>
    </w:p>
  </w:footnote>
  <w:footnote w:id="34">
    <w:p w:rsidR="00665160" w:rsidRPr="00E3208F" w:rsidRDefault="00665160">
      <w:pPr>
        <w:pStyle w:val="FootnoteText"/>
      </w:pPr>
      <w:r>
        <w:rPr>
          <w:rStyle w:val="FootnoteReference"/>
        </w:rPr>
        <w:footnoteRef/>
      </w:r>
      <w:r>
        <w:t xml:space="preserve"> </w:t>
      </w:r>
      <w:r>
        <w:rPr>
          <w:i/>
        </w:rPr>
        <w:t>See</w:t>
      </w:r>
      <w:r>
        <w:t xml:space="preserve"> 47 C.F.R. §§ 2.1075 and 2.946.</w:t>
      </w:r>
    </w:p>
  </w:footnote>
  <w:footnote w:id="35">
    <w:p w:rsidR="00665160" w:rsidRDefault="00665160" w:rsidP="007B5B58">
      <w:pPr>
        <w:pStyle w:val="FootnoteText"/>
      </w:pPr>
      <w:r>
        <w:rPr>
          <w:rStyle w:val="FootnoteReference"/>
        </w:rPr>
        <w:footnoteRef/>
      </w:r>
      <w:r>
        <w:t xml:space="preserve"> </w:t>
      </w:r>
      <w:proofErr w:type="gramStart"/>
      <w:r w:rsidRPr="00F10F3D">
        <w:rPr>
          <w:i/>
        </w:rPr>
        <w:t>See</w:t>
      </w:r>
      <w:r>
        <w:t xml:space="preserve"> 47 C.F.R. §§ 15.101(a) and 18.203(a).</w:t>
      </w:r>
      <w:proofErr w:type="gramEnd"/>
      <w:r>
        <w:t xml:space="preserve"> </w:t>
      </w:r>
      <w:r w:rsidRPr="00F10F3D">
        <w:t>Although</w:t>
      </w:r>
      <w:r>
        <w:t xml:space="preserve"> the Commission rules require Class B personal computers and peripherals to be authorized under either the DoC or certification procedure, the Commission does not certify such equipment.  Manufacturers may only obtain certification for Class B personal computers and peripherals through a TCB.  </w:t>
      </w:r>
      <w:r>
        <w:rPr>
          <w:i/>
        </w:rPr>
        <w:t xml:space="preserve">See </w:t>
      </w:r>
      <w:r w:rsidRPr="00C16853">
        <w:rPr>
          <w:i/>
        </w:rPr>
        <w:t>FCC Will No Longer Accept Equipment Authorization Applications For Class B Computers and Peripherals That Can Be Self-Approved</w:t>
      </w:r>
      <w:r>
        <w:t xml:space="preserve">, </w:t>
      </w:r>
      <w:r>
        <w:rPr>
          <w:i/>
        </w:rPr>
        <w:t>Public Notice</w:t>
      </w:r>
      <w:r>
        <w:t xml:space="preserve">, </w:t>
      </w:r>
      <w:r w:rsidRPr="002469C7">
        <w:rPr>
          <w:snapToGrid w:val="0"/>
          <w:color w:val="000000"/>
          <w:kern w:val="28"/>
        </w:rPr>
        <w:t>15 FCC Rcd 25484</w:t>
      </w:r>
      <w:r>
        <w:t xml:space="preserve"> (rel. September 29, 2000).</w:t>
      </w:r>
    </w:p>
  </w:footnote>
  <w:footnote w:id="36">
    <w:p w:rsidR="00665160" w:rsidRDefault="00665160" w:rsidP="007B5B58">
      <w:pPr>
        <w:pStyle w:val="FootnoteText"/>
      </w:pPr>
      <w:r>
        <w:rPr>
          <w:rStyle w:val="FootnoteReference"/>
        </w:rPr>
        <w:footnoteRef/>
      </w:r>
      <w:r>
        <w:t xml:space="preserve"> </w:t>
      </w:r>
      <w:proofErr w:type="gramStart"/>
      <w:r>
        <w:rPr>
          <w:i/>
        </w:rPr>
        <w:t xml:space="preserve">See </w:t>
      </w:r>
      <w:r>
        <w:t>47 C.F.R. §§ 2.909(b) and 2.953.</w:t>
      </w:r>
      <w:proofErr w:type="gramEnd"/>
    </w:p>
  </w:footnote>
  <w:footnote w:id="37">
    <w:p w:rsidR="00665160" w:rsidRDefault="00665160" w:rsidP="007B5B58">
      <w:pPr>
        <w:pStyle w:val="FootnoteText"/>
      </w:pPr>
      <w:r>
        <w:rPr>
          <w:rStyle w:val="FootnoteReference"/>
        </w:rPr>
        <w:footnoteRef/>
      </w:r>
      <w:r>
        <w:t xml:space="preserve"> </w:t>
      </w:r>
      <w:r>
        <w:rPr>
          <w:i/>
        </w:rPr>
        <w:t>See</w:t>
      </w:r>
      <w:r>
        <w:t xml:space="preserve"> 47 C.F.R. § 2.956.</w:t>
      </w:r>
    </w:p>
  </w:footnote>
  <w:footnote w:id="38">
    <w:p w:rsidR="00665160" w:rsidRDefault="00665160">
      <w:pPr>
        <w:pStyle w:val="FootnoteText"/>
      </w:pPr>
      <w:r>
        <w:rPr>
          <w:rStyle w:val="FootnoteReference"/>
        </w:rPr>
        <w:footnoteRef/>
      </w:r>
      <w:r>
        <w:t xml:space="preserve"> </w:t>
      </w:r>
      <w:r>
        <w:rPr>
          <w:i/>
        </w:rPr>
        <w:t>See</w:t>
      </w:r>
      <w:r>
        <w:t xml:space="preserve"> 47 C.F.R. §§ 2.955 and 2.946.</w:t>
      </w:r>
    </w:p>
  </w:footnote>
  <w:footnote w:id="39">
    <w:p w:rsidR="00665160" w:rsidRDefault="00665160">
      <w:pPr>
        <w:pStyle w:val="FootnoteText"/>
      </w:pPr>
      <w:r>
        <w:rPr>
          <w:rStyle w:val="FootnoteReference"/>
        </w:rPr>
        <w:footnoteRef/>
      </w:r>
      <w:r>
        <w:t xml:space="preserve"> </w:t>
      </w:r>
      <w:r w:rsidRPr="00F10F3D">
        <w:rPr>
          <w:i/>
        </w:rPr>
        <w:t>See</w:t>
      </w:r>
      <w:r>
        <w:t xml:space="preserve"> 47 C.F.R. §§ 15.101(a) and 18.203(b).</w:t>
      </w:r>
    </w:p>
  </w:footnote>
  <w:footnote w:id="40">
    <w:p w:rsidR="00665160" w:rsidRDefault="00665160" w:rsidP="007B5B58">
      <w:pPr>
        <w:pStyle w:val="FootnoteText"/>
      </w:pPr>
      <w:r>
        <w:rPr>
          <w:rStyle w:val="FootnoteReference"/>
        </w:rPr>
        <w:footnoteRef/>
      </w:r>
      <w:r>
        <w:t xml:space="preserve"> </w:t>
      </w:r>
      <w:r w:rsidRPr="00320939">
        <w:rPr>
          <w:i/>
        </w:rPr>
        <w:t>See</w:t>
      </w:r>
      <w:r w:rsidRPr="00320939">
        <w:t xml:space="preserve"> 47 C.F.R. § 2.954</w:t>
      </w:r>
      <w:r>
        <w:t>.</w:t>
      </w:r>
    </w:p>
  </w:footnote>
  <w:footnote w:id="41">
    <w:p w:rsidR="00665160" w:rsidRDefault="00665160" w:rsidP="007B5B58">
      <w:pPr>
        <w:pStyle w:val="FootnoteText"/>
      </w:pPr>
      <w:r>
        <w:rPr>
          <w:rStyle w:val="FootnoteReference"/>
        </w:rPr>
        <w:footnoteRef/>
      </w:r>
      <w:r>
        <w:t xml:space="preserve"> </w:t>
      </w:r>
      <w:proofErr w:type="gramStart"/>
      <w:r>
        <w:rPr>
          <w:i/>
        </w:rPr>
        <w:t>See</w:t>
      </w:r>
      <w:r>
        <w:t xml:space="preserve"> 47 C.F.R. § 2.948(a)(3), (d).</w:t>
      </w:r>
      <w:proofErr w:type="gramEnd"/>
      <w:r>
        <w:t xml:space="preserve">  </w:t>
      </w:r>
      <w:proofErr w:type="gramStart"/>
      <w:r>
        <w:t>DoC-authorized devices must be tested by a test laboratory that has been accredited by the National Voluntary Laboratory Accreditation Program (NVLAP) or the American Association of Laboratory Accreditation (A2LA), or by an accredited laboratory designated by the Commission under the terms of a negotiated MRA</w:t>
      </w:r>
      <w:proofErr w:type="gramEnd"/>
      <w:r>
        <w:t xml:space="preserve">.  </w:t>
      </w:r>
      <w:proofErr w:type="gramStart"/>
      <w:r>
        <w:rPr>
          <w:i/>
        </w:rPr>
        <w:t>See</w:t>
      </w:r>
      <w:r>
        <w:t xml:space="preserve"> 47 C.F.R. § 2.948(a)(3), (d), (e).</w:t>
      </w:r>
      <w:proofErr w:type="gramEnd"/>
    </w:p>
  </w:footnote>
  <w:footnote w:id="42">
    <w:p w:rsidR="00665160" w:rsidRDefault="00665160" w:rsidP="007B5B58">
      <w:pPr>
        <w:pStyle w:val="FootnoteText"/>
      </w:pPr>
      <w:r>
        <w:rPr>
          <w:rStyle w:val="FootnoteReference"/>
        </w:rPr>
        <w:footnoteRef/>
      </w:r>
      <w:r>
        <w:t xml:space="preserve"> </w:t>
      </w:r>
      <w:r>
        <w:rPr>
          <w:i/>
        </w:rPr>
        <w:t>See</w:t>
      </w:r>
      <w:r>
        <w:t xml:space="preserve"> 47 C.F.R. § 2.948(a)(2).  To become listed with the Commission, a testing laboratory must file a description of its measurement facilities with the Commission’s Laboratory.  An accredited laboratory may become listed by filing certain information about itself, but does not need to file a complete description of its measurement facilities.</w:t>
      </w:r>
    </w:p>
  </w:footnote>
  <w:footnote w:id="43">
    <w:p w:rsidR="00665160" w:rsidRDefault="00665160" w:rsidP="007B5B58">
      <w:pPr>
        <w:pStyle w:val="FootnoteText"/>
      </w:pPr>
      <w:r>
        <w:rPr>
          <w:rStyle w:val="FootnoteReference"/>
        </w:rPr>
        <w:footnoteRef/>
      </w:r>
      <w:r>
        <w:t xml:space="preserve"> </w:t>
      </w:r>
      <w:proofErr w:type="gramStart"/>
      <w:r>
        <w:rPr>
          <w:i/>
        </w:rPr>
        <w:t>See</w:t>
      </w:r>
      <w:r>
        <w:t xml:space="preserve"> 47 C.F.R. §§ 2.947, 2.948(a)(1).</w:t>
      </w:r>
      <w:proofErr w:type="gramEnd"/>
      <w:r>
        <w:t xml:space="preserve"> </w:t>
      </w:r>
    </w:p>
  </w:footnote>
  <w:footnote w:id="44">
    <w:p w:rsidR="00665160" w:rsidRDefault="00665160" w:rsidP="007B5B58">
      <w:pPr>
        <w:pStyle w:val="FootnoteText"/>
      </w:pPr>
      <w:r>
        <w:rPr>
          <w:rStyle w:val="FootnoteReference"/>
        </w:rPr>
        <w:footnoteRef/>
      </w:r>
      <w:r>
        <w:t xml:space="preserve"> </w:t>
      </w:r>
      <w:r>
        <w:rPr>
          <w:i/>
        </w:rPr>
        <w:t>See</w:t>
      </w:r>
      <w:r>
        <w:t xml:space="preserve"> 47 C.F.R. §§ 2.946 and 2.1076.</w:t>
      </w:r>
    </w:p>
  </w:footnote>
  <w:footnote w:id="45">
    <w:p w:rsidR="00665160" w:rsidRPr="00CB1C06" w:rsidRDefault="00665160">
      <w:pPr>
        <w:pStyle w:val="FootnoteText"/>
      </w:pPr>
      <w:r>
        <w:rPr>
          <w:rStyle w:val="FootnoteReference"/>
        </w:rPr>
        <w:footnoteRef/>
      </w:r>
      <w:r>
        <w:t xml:space="preserve"> </w:t>
      </w:r>
      <w:proofErr w:type="gramStart"/>
      <w:r>
        <w:rPr>
          <w:i/>
        </w:rPr>
        <w:t>See</w:t>
      </w:r>
      <w:r>
        <w:t xml:space="preserve"> 47 C.F.R. § 2.962(g)(2).</w:t>
      </w:r>
      <w:proofErr w:type="gramEnd"/>
    </w:p>
  </w:footnote>
  <w:footnote w:id="46">
    <w:p w:rsidR="00665160" w:rsidRDefault="00665160" w:rsidP="007903AA">
      <w:pPr>
        <w:pStyle w:val="FootnoteText"/>
      </w:pPr>
      <w:r>
        <w:rPr>
          <w:rStyle w:val="FootnoteReference"/>
        </w:rPr>
        <w:footnoteRef/>
      </w:r>
      <w:r>
        <w:t xml:space="preserve"> </w:t>
      </w:r>
      <w:r>
        <w:rPr>
          <w:i/>
        </w:rPr>
        <w:t>See Hearing Aid Compatibility Order</w:t>
      </w:r>
      <w:r>
        <w:t xml:space="preserve">, 18 FCC Rcd 16753 (2003).  </w:t>
      </w:r>
    </w:p>
  </w:footnote>
  <w:footnote w:id="47">
    <w:p w:rsidR="00665160" w:rsidRDefault="00665160" w:rsidP="00FD3C23">
      <w:pPr>
        <w:pStyle w:val="FootnoteText"/>
      </w:pPr>
      <w:r>
        <w:rPr>
          <w:rStyle w:val="FootnoteReference"/>
        </w:rPr>
        <w:footnoteRef/>
      </w:r>
      <w:r>
        <w:t xml:space="preserve"> </w:t>
      </w:r>
      <w:proofErr w:type="gramStart"/>
      <w:r>
        <w:rPr>
          <w:i/>
        </w:rPr>
        <w:t>See</w:t>
      </w:r>
      <w:r>
        <w:t xml:space="preserve"> 47 C.F.R. §§ 1.1307(b), 1.1310, 2.1091, 2.1093, which specify the RF radiation exposure evaluation requirements that are part of the equipment certification process for mobile and portable devices.</w:t>
      </w:r>
      <w:proofErr w:type="gramEnd"/>
      <w:r>
        <w:t xml:space="preserve">  </w:t>
      </w:r>
      <w:r>
        <w:rPr>
          <w:i/>
        </w:rPr>
        <w:t>See also</w:t>
      </w:r>
      <w:r>
        <w:t xml:space="preserve"> 47 C.F.R. § 74.795, which specifies the operating requirements that are part of the equipment certification process for digital low power TV and TV translator transmitters, and 47 C.F.R. § 15.117(h), which specifies the operating requirements that are part of the equipment Verification procedure for DTV broadcast receivers.</w:t>
      </w:r>
    </w:p>
  </w:footnote>
  <w:footnote w:id="48">
    <w:p w:rsidR="00665160" w:rsidRDefault="00665160">
      <w:pPr>
        <w:pStyle w:val="FootnoteText"/>
      </w:pPr>
      <w:r>
        <w:rPr>
          <w:rStyle w:val="FootnoteReference"/>
        </w:rPr>
        <w:footnoteRef/>
      </w:r>
      <w:r>
        <w:t xml:space="preserve"> </w:t>
      </w:r>
      <w:r w:rsidRPr="009F61E8">
        <w:t xml:space="preserve">The </w:t>
      </w:r>
      <w:r>
        <w:t>e</w:t>
      </w:r>
      <w:r w:rsidRPr="009F61E8">
        <w:t xml:space="preserve">xclusion </w:t>
      </w:r>
      <w:r>
        <w:t>l</w:t>
      </w:r>
      <w:r w:rsidRPr="009F61E8">
        <w:t xml:space="preserve">ist is published in </w:t>
      </w:r>
      <w:r w:rsidRPr="00903164">
        <w:t>KDB Publication No. 628591</w:t>
      </w:r>
      <w:r>
        <w:t xml:space="preserve">, at </w:t>
      </w:r>
      <w:hyperlink r:id="rId3" w:history="1">
        <w:r w:rsidRPr="00C96EFE">
          <w:rPr>
            <w:rStyle w:val="Hyperlink"/>
          </w:rPr>
          <w:t>https://apps.fcc.gov/oetcf/kdb/forms/FTSSearchResultPage.cfm?switch=P&amp;id=20247</w:t>
        </w:r>
      </w:hyperlink>
      <w:r>
        <w:t>.</w:t>
      </w:r>
    </w:p>
  </w:footnote>
  <w:footnote w:id="49">
    <w:p w:rsidR="00665160" w:rsidRPr="005B1E1D" w:rsidRDefault="00665160" w:rsidP="001338B0">
      <w:pPr>
        <w:pStyle w:val="FootnoteText"/>
      </w:pPr>
      <w:r>
        <w:rPr>
          <w:rStyle w:val="FootnoteReference"/>
        </w:rPr>
        <w:footnoteRef/>
      </w:r>
      <w:r w:rsidRPr="005B1E1D">
        <w:t xml:space="preserve"> </w:t>
      </w:r>
      <w:r w:rsidRPr="005B1E1D">
        <w:rPr>
          <w:i/>
        </w:rPr>
        <w:t>See Streamlining II Order</w:t>
      </w:r>
      <w:r w:rsidRPr="005B1E1D">
        <w:t xml:space="preserve"> at 24693, ¶48.</w:t>
      </w:r>
    </w:p>
  </w:footnote>
  <w:footnote w:id="50">
    <w:p w:rsidR="00665160" w:rsidRPr="005B1E1D" w:rsidRDefault="00665160" w:rsidP="001338B0">
      <w:pPr>
        <w:pStyle w:val="FootnoteText"/>
      </w:pPr>
      <w:r>
        <w:rPr>
          <w:rStyle w:val="FootnoteReference"/>
        </w:rPr>
        <w:footnoteRef/>
      </w:r>
      <w:r>
        <w:t xml:space="preserve"> </w:t>
      </w:r>
      <w:r>
        <w:rPr>
          <w:i/>
        </w:rPr>
        <w:t>See</w:t>
      </w:r>
      <w:r w:rsidRPr="005B1E1D">
        <w:rPr>
          <w:i/>
        </w:rPr>
        <w:t xml:space="preserve"> Streamlining II Order</w:t>
      </w:r>
      <w:r w:rsidRPr="005B1E1D">
        <w:t xml:space="preserve"> at</w:t>
      </w:r>
      <w:r>
        <w:t xml:space="preserve"> 24693, ¶49.</w:t>
      </w:r>
    </w:p>
  </w:footnote>
  <w:footnote w:id="51">
    <w:p w:rsidR="00665160" w:rsidRDefault="00665160" w:rsidP="001338B0">
      <w:pPr>
        <w:pStyle w:val="FootnoteText"/>
      </w:pPr>
      <w:r>
        <w:rPr>
          <w:rStyle w:val="FootnoteReference"/>
        </w:rPr>
        <w:footnoteRef/>
      </w:r>
      <w:r>
        <w:t xml:space="preserve"> </w:t>
      </w:r>
      <w:r>
        <w:rPr>
          <w:i/>
        </w:rPr>
        <w:t xml:space="preserve">See </w:t>
      </w:r>
      <w:r w:rsidRPr="00C16853">
        <w:rPr>
          <w:i/>
        </w:rPr>
        <w:t>FCC Will No Longer Accept Equipment Authorization Applications For Class B Computers and Peripherals That Can Be Self-Approved</w:t>
      </w:r>
      <w:r>
        <w:t xml:space="preserve">, </w:t>
      </w:r>
      <w:r>
        <w:rPr>
          <w:i/>
        </w:rPr>
        <w:t>Public Notice</w:t>
      </w:r>
      <w:r>
        <w:t xml:space="preserve">, </w:t>
      </w:r>
      <w:r w:rsidRPr="002469C7">
        <w:rPr>
          <w:snapToGrid w:val="0"/>
          <w:color w:val="000000"/>
          <w:kern w:val="28"/>
        </w:rPr>
        <w:t>15 FCC Rcd. 25484</w:t>
      </w:r>
      <w:r>
        <w:t xml:space="preserve"> (rel. September 29, 2000).</w:t>
      </w:r>
    </w:p>
  </w:footnote>
  <w:footnote w:id="52">
    <w:p w:rsidR="00665160" w:rsidRDefault="00665160" w:rsidP="001338B0">
      <w:pPr>
        <w:pStyle w:val="FootnoteText"/>
      </w:pPr>
      <w:r>
        <w:rPr>
          <w:rStyle w:val="FootnoteReference"/>
        </w:rPr>
        <w:footnoteRef/>
      </w:r>
      <w:r>
        <w:t xml:space="preserve"> </w:t>
      </w:r>
      <w:proofErr w:type="gramStart"/>
      <w:r>
        <w:rPr>
          <w:i/>
        </w:rPr>
        <w:t>See</w:t>
      </w:r>
      <w:r>
        <w:t xml:space="preserve"> 47 C.F.R. § 2.962(e)(5)(i).</w:t>
      </w:r>
      <w:proofErr w:type="gramEnd"/>
    </w:p>
  </w:footnote>
  <w:footnote w:id="53">
    <w:p w:rsidR="00665160" w:rsidRPr="00E66F2A" w:rsidRDefault="00665160" w:rsidP="001338B0">
      <w:pPr>
        <w:pStyle w:val="FootnoteText"/>
      </w:pPr>
      <w:r>
        <w:rPr>
          <w:rStyle w:val="FootnoteReference"/>
        </w:rPr>
        <w:footnoteRef/>
      </w:r>
      <w:r>
        <w:t xml:space="preserve"> </w:t>
      </w:r>
      <w:r>
        <w:rPr>
          <w:i/>
        </w:rPr>
        <w:t xml:space="preserve">See </w:t>
      </w:r>
      <w:r w:rsidRPr="00E66F2A">
        <w:rPr>
          <w:i/>
        </w:rPr>
        <w:t>Unlicensed Operation in the TV Broadcast Bands</w:t>
      </w:r>
      <w:r>
        <w:t xml:space="preserve">, 23 FCC Rcd 16807 at 16896, ¶262, and </w:t>
      </w:r>
      <w:r w:rsidRPr="00E66F2A">
        <w:rPr>
          <w:i/>
        </w:rPr>
        <w:t>Modifications of Parts 2 and 15 of the Commission’s Rules for unlicensed devices and equipment approval</w:t>
      </w:r>
      <w:r>
        <w:t>, 22 FCC Rcd 8028 at 8038, ¶33.</w:t>
      </w:r>
    </w:p>
  </w:footnote>
  <w:footnote w:id="54">
    <w:p w:rsidR="00665160" w:rsidRPr="00471718" w:rsidRDefault="00665160" w:rsidP="001338B0">
      <w:pPr>
        <w:pStyle w:val="FootnoteText"/>
      </w:pPr>
      <w:r>
        <w:rPr>
          <w:rStyle w:val="FootnoteReference"/>
        </w:rPr>
        <w:footnoteRef/>
      </w:r>
      <w:r>
        <w:t xml:space="preserve">  </w:t>
      </w:r>
      <w:r w:rsidRPr="009F61E8">
        <w:t xml:space="preserve">The TCB </w:t>
      </w:r>
      <w:r>
        <w:t>e</w:t>
      </w:r>
      <w:r w:rsidRPr="009F61E8">
        <w:t xml:space="preserve">xclusion </w:t>
      </w:r>
      <w:r>
        <w:t>l</w:t>
      </w:r>
      <w:r w:rsidRPr="009F61E8">
        <w:t xml:space="preserve">ist is published in </w:t>
      </w:r>
      <w:r w:rsidRPr="00903164">
        <w:t>KDB Publication No. 628591</w:t>
      </w:r>
      <w:r>
        <w:t xml:space="preserve">, at </w:t>
      </w:r>
      <w:hyperlink r:id="rId4" w:history="1">
        <w:r w:rsidRPr="00C96EFE">
          <w:rPr>
            <w:rStyle w:val="Hyperlink"/>
          </w:rPr>
          <w:t>https://apps.fcc.gov/oetcf/kdb/forms/FTSSearchResultPage.cfm?switch=P&amp;id=20247</w:t>
        </w:r>
      </w:hyperlink>
      <w:r>
        <w:t xml:space="preserve">. </w:t>
      </w:r>
    </w:p>
  </w:footnote>
  <w:footnote w:id="55">
    <w:p w:rsidR="00665160" w:rsidRPr="009F61E8" w:rsidRDefault="00665160" w:rsidP="001338B0">
      <w:pPr>
        <w:pStyle w:val="FootnoteText"/>
      </w:pPr>
      <w:r>
        <w:rPr>
          <w:rStyle w:val="FootnoteReference"/>
        </w:rPr>
        <w:footnoteRef/>
      </w:r>
      <w:r>
        <w:t xml:space="preserve">  </w:t>
      </w:r>
      <w:r w:rsidRPr="009F61E8">
        <w:t xml:space="preserve">The </w:t>
      </w:r>
      <w:r>
        <w:t>p</w:t>
      </w:r>
      <w:r w:rsidRPr="009F61E8">
        <w:t>ermit</w:t>
      </w:r>
      <w:r>
        <w:noBreakHyphen/>
      </w:r>
      <w:r w:rsidRPr="009F61E8">
        <w:t>but</w:t>
      </w:r>
      <w:r>
        <w:noBreakHyphen/>
        <w:t>a</w:t>
      </w:r>
      <w:r w:rsidRPr="009F61E8">
        <w:t xml:space="preserve">sk procedure is intended to further extend the types of devices that are acceptable for issuance of a grant by a TCB, but allow FCC oversight for those types of devices that are not sufficiently technically “mature” for unrestricted TCB approval. </w:t>
      </w:r>
      <w:r>
        <w:t xml:space="preserve"> </w:t>
      </w:r>
      <w:r w:rsidRPr="009F61E8">
        <w:t>TCBs may approve devices on the permit</w:t>
      </w:r>
      <w:r>
        <w:noBreakHyphen/>
      </w:r>
      <w:r w:rsidRPr="009F61E8">
        <w:t>but</w:t>
      </w:r>
      <w:r>
        <w:noBreakHyphen/>
      </w:r>
      <w:r w:rsidRPr="009F61E8">
        <w:t xml:space="preserve">ask list, but must obtain FCC guidance prior to approval. </w:t>
      </w:r>
      <w:r>
        <w:t xml:space="preserve"> </w:t>
      </w:r>
      <w:r w:rsidRPr="009F61E8">
        <w:t xml:space="preserve">The </w:t>
      </w:r>
      <w:r>
        <w:t>p</w:t>
      </w:r>
      <w:r w:rsidRPr="009F61E8">
        <w:t>ermit</w:t>
      </w:r>
      <w:r>
        <w:noBreakHyphen/>
      </w:r>
      <w:r w:rsidRPr="009F61E8">
        <w:t>but</w:t>
      </w:r>
      <w:r>
        <w:noBreakHyphen/>
        <w:t>a</w:t>
      </w:r>
      <w:r w:rsidRPr="009F61E8">
        <w:t xml:space="preserve">sk procedure is published in </w:t>
      </w:r>
      <w:r w:rsidRPr="00903164">
        <w:t>KDB Publication No. 388624</w:t>
      </w:r>
      <w:r>
        <w:t xml:space="preserve">, at </w:t>
      </w:r>
      <w:hyperlink r:id="rId5" w:history="1">
        <w:r w:rsidRPr="00750082">
          <w:rPr>
            <w:rStyle w:val="Hyperlink"/>
          </w:rPr>
          <w:t>https://apps.fcc.gov/oetcf/kdb/forms/FTSSearchResultPage.cfm?switch=P&amp;id=28319</w:t>
        </w:r>
      </w:hyperlink>
      <w:r>
        <w:t>.</w:t>
      </w:r>
    </w:p>
  </w:footnote>
  <w:footnote w:id="56">
    <w:p w:rsidR="00665160" w:rsidRDefault="00665160">
      <w:pPr>
        <w:pStyle w:val="FootnoteText"/>
      </w:pPr>
      <w:r>
        <w:rPr>
          <w:rStyle w:val="FootnoteReference"/>
        </w:rPr>
        <w:footnoteRef/>
      </w:r>
      <w:r>
        <w:t xml:space="preserve"> </w:t>
      </w:r>
      <w:hyperlink r:id="rId6" w:history="1">
        <w:r w:rsidRPr="00E54C89">
          <w:rPr>
            <w:rStyle w:val="Hyperlink"/>
          </w:rPr>
          <w:t>http://www.fcc.gov/oet/ea/</w:t>
        </w:r>
      </w:hyperlink>
      <w:r>
        <w:t xml:space="preserve">. </w:t>
      </w:r>
    </w:p>
  </w:footnote>
  <w:footnote w:id="57">
    <w:p w:rsidR="00665160" w:rsidRPr="00EC42C1" w:rsidRDefault="00665160" w:rsidP="00314FDE">
      <w:pPr>
        <w:pStyle w:val="FootnoteText"/>
      </w:pPr>
      <w:r>
        <w:rPr>
          <w:rStyle w:val="FootnoteReference"/>
        </w:rPr>
        <w:footnoteRef/>
      </w:r>
      <w:r>
        <w:t xml:space="preserve"> </w:t>
      </w:r>
      <w:r>
        <w:rPr>
          <w:i/>
        </w:rPr>
        <w:t>See</w:t>
      </w:r>
      <w:r>
        <w:t xml:space="preserve"> 47 C.F.R. §§ 2.917 and 2.943.</w:t>
      </w:r>
    </w:p>
  </w:footnote>
  <w:footnote w:id="58">
    <w:p w:rsidR="00665160" w:rsidRPr="005027F5" w:rsidRDefault="00665160">
      <w:pPr>
        <w:pStyle w:val="FootnoteText"/>
      </w:pPr>
      <w:r>
        <w:rPr>
          <w:rStyle w:val="FootnoteReference"/>
        </w:rPr>
        <w:footnoteRef/>
      </w:r>
      <w:r>
        <w:t xml:space="preserve"> All TCB actions are subject to Commission review.  </w:t>
      </w:r>
      <w:proofErr w:type="gramStart"/>
      <w:r>
        <w:rPr>
          <w:i/>
        </w:rPr>
        <w:t>See</w:t>
      </w:r>
      <w:r>
        <w:t xml:space="preserve"> 47 C.F.R. § 2.962(f)(6).</w:t>
      </w:r>
      <w:proofErr w:type="gramEnd"/>
      <w:r>
        <w:t xml:space="preserve">  OET has the ability to override TCB actions in the EAS.  For example, OET can set aside a TCB grant within 30 days and return an application to pending status, and it can mark an application as granted or dismissed.</w:t>
      </w:r>
    </w:p>
  </w:footnote>
  <w:footnote w:id="59">
    <w:p w:rsidR="00665160" w:rsidRPr="00973346" w:rsidRDefault="00665160">
      <w:pPr>
        <w:pStyle w:val="FootnoteText"/>
      </w:pPr>
      <w:r>
        <w:rPr>
          <w:rStyle w:val="FootnoteReference"/>
        </w:rPr>
        <w:footnoteRef/>
      </w:r>
      <w:r>
        <w:t xml:space="preserve"> </w:t>
      </w:r>
      <w:r>
        <w:rPr>
          <w:i/>
        </w:rPr>
        <w:t xml:space="preserve">See </w:t>
      </w:r>
      <w:r>
        <w:t>47 C.F.R. § 2.962(f)(4), which states that a TCB may rescind a grant within 30 days, and 47 C.F.R. § 1.113(a), which uses the term “set aside” with respect to Commission actions taken under delegated authority.</w:t>
      </w:r>
    </w:p>
  </w:footnote>
  <w:footnote w:id="60">
    <w:p w:rsidR="00665160" w:rsidRPr="00D670BF" w:rsidRDefault="00665160">
      <w:pPr>
        <w:pStyle w:val="FootnoteText"/>
        <w:rPr>
          <w:i/>
        </w:rPr>
      </w:pPr>
      <w:r>
        <w:rPr>
          <w:rStyle w:val="FootnoteReference"/>
        </w:rPr>
        <w:footnoteRef/>
      </w:r>
      <w:r>
        <w:t xml:space="preserve"> </w:t>
      </w:r>
      <w:r>
        <w:rPr>
          <w:i/>
        </w:rPr>
        <w:t xml:space="preserve">See </w:t>
      </w:r>
      <w:r>
        <w:t xml:space="preserve">footnote </w:t>
      </w:r>
      <w:r>
        <w:fldChar w:fldCharType="begin"/>
      </w:r>
      <w:r>
        <w:instrText xml:space="preserve"> NOTEREF _Ref333504959 \h </w:instrText>
      </w:r>
      <w:r>
        <w:fldChar w:fldCharType="separate"/>
      </w:r>
      <w:r>
        <w:t>54</w:t>
      </w:r>
      <w:r>
        <w:fldChar w:fldCharType="end"/>
      </w:r>
      <w:r>
        <w:t xml:space="preserve">, </w:t>
      </w:r>
      <w:r>
        <w:rPr>
          <w:i/>
        </w:rPr>
        <w:t>supra.</w:t>
      </w:r>
    </w:p>
  </w:footnote>
  <w:footnote w:id="61">
    <w:p w:rsidR="00665160" w:rsidRPr="00CC618E" w:rsidRDefault="00665160" w:rsidP="00595105">
      <w:pPr>
        <w:pStyle w:val="FootnoteText"/>
      </w:pPr>
      <w:r>
        <w:rPr>
          <w:rStyle w:val="FootnoteReference"/>
        </w:rPr>
        <w:footnoteRef/>
      </w:r>
      <w:r>
        <w:t xml:space="preserve"> </w:t>
      </w:r>
      <w:r>
        <w:rPr>
          <w:i/>
        </w:rPr>
        <w:t>See</w:t>
      </w:r>
      <w:r>
        <w:t xml:space="preserve"> 47 C.F.R. § 2.1033.</w:t>
      </w:r>
    </w:p>
  </w:footnote>
  <w:footnote w:id="62">
    <w:p w:rsidR="00665160" w:rsidRPr="00CC618E" w:rsidRDefault="00665160" w:rsidP="00595105">
      <w:pPr>
        <w:pStyle w:val="FootnoteText"/>
      </w:pPr>
      <w:r>
        <w:rPr>
          <w:rStyle w:val="FootnoteReference"/>
        </w:rPr>
        <w:footnoteRef/>
      </w:r>
      <w:r>
        <w:t xml:space="preserve"> </w:t>
      </w:r>
      <w:r>
        <w:rPr>
          <w:i/>
        </w:rPr>
        <w:t>See</w:t>
      </w:r>
      <w:r>
        <w:t xml:space="preserve"> 47 C.F.R. § 2.913(a).</w:t>
      </w:r>
    </w:p>
  </w:footnote>
  <w:footnote w:id="63">
    <w:p w:rsidR="00665160" w:rsidRDefault="00665160" w:rsidP="002B2C55">
      <w:pPr>
        <w:pStyle w:val="FootnoteText"/>
      </w:pPr>
      <w:r>
        <w:rPr>
          <w:rStyle w:val="FootnoteReference"/>
        </w:rPr>
        <w:footnoteRef/>
      </w:r>
      <w:r>
        <w:t xml:space="preserve"> </w:t>
      </w:r>
      <w:r w:rsidRPr="00572CEC">
        <w:rPr>
          <w:i/>
        </w:rPr>
        <w:t>See</w:t>
      </w:r>
      <w:r>
        <w:t xml:space="preserve"> 47 C.F.R. § 1.2002.</w:t>
      </w:r>
    </w:p>
  </w:footnote>
  <w:footnote w:id="64">
    <w:p w:rsidR="00665160" w:rsidRPr="004F153F" w:rsidRDefault="00665160" w:rsidP="002B2C55">
      <w:pPr>
        <w:pStyle w:val="FootnoteText"/>
      </w:pPr>
      <w:r>
        <w:rPr>
          <w:rStyle w:val="FootnoteReference"/>
        </w:rPr>
        <w:footnoteRef/>
      </w:r>
      <w:r>
        <w:t xml:space="preserve"> Willful false statements are punishable by administrative, civil or criminal penalties.  </w:t>
      </w:r>
      <w:r>
        <w:rPr>
          <w:i/>
        </w:rPr>
        <w:t>See</w:t>
      </w:r>
      <w:r>
        <w:t xml:space="preserve"> 18 U.S.C. § 1001 and 47 U.S.C. § 503.</w:t>
      </w:r>
    </w:p>
  </w:footnote>
  <w:footnote w:id="65">
    <w:p w:rsidR="00665160" w:rsidRPr="009A4E6C" w:rsidRDefault="00665160" w:rsidP="002B2C55">
      <w:pPr>
        <w:pStyle w:val="FootnoteText"/>
      </w:pPr>
      <w:r>
        <w:rPr>
          <w:rStyle w:val="FootnoteReference"/>
        </w:rPr>
        <w:footnoteRef/>
      </w:r>
      <w:r>
        <w:t xml:space="preserve"> </w:t>
      </w:r>
      <w:proofErr w:type="gramStart"/>
      <w:r>
        <w:rPr>
          <w:i/>
        </w:rPr>
        <w:t>See</w:t>
      </w:r>
      <w:r>
        <w:t xml:space="preserve"> 47 C.F.R. § 2.911(g).</w:t>
      </w:r>
      <w:proofErr w:type="gramEnd"/>
    </w:p>
  </w:footnote>
  <w:footnote w:id="66">
    <w:p w:rsidR="00665160" w:rsidRPr="001A20CF" w:rsidRDefault="00665160" w:rsidP="002B2C55">
      <w:pPr>
        <w:pStyle w:val="FootnoteText"/>
      </w:pPr>
      <w:r>
        <w:rPr>
          <w:rStyle w:val="FootnoteReference"/>
        </w:rPr>
        <w:footnoteRef/>
      </w:r>
      <w:r>
        <w:t xml:space="preserve"> All entities doing business with the Commission must obtain an FRN assigned by the Commission.  </w:t>
      </w:r>
      <w:r>
        <w:rPr>
          <w:i/>
        </w:rPr>
        <w:t>See</w:t>
      </w:r>
      <w:r>
        <w:t xml:space="preserve"> 47 C.F.R. § 1.8002.  Additionally, parties applying for equipment certification must obtain a grantee code assigned by the Commission that identifies the party responsible for equipment compliance.  </w:t>
      </w:r>
      <w:r>
        <w:rPr>
          <w:i/>
        </w:rPr>
        <w:t>See</w:t>
      </w:r>
      <w:r>
        <w:t xml:space="preserve"> 47 C.F.R. § 2.926.  A TCB may apply for an FRN and grantee code on behalf of an applicant if the applicant has not yet obtained them from the Commission.</w:t>
      </w:r>
    </w:p>
  </w:footnote>
  <w:footnote w:id="67">
    <w:p w:rsidR="00665160" w:rsidRDefault="00665160" w:rsidP="002B2C55">
      <w:pPr>
        <w:pStyle w:val="FootnoteText"/>
      </w:pPr>
      <w:r>
        <w:rPr>
          <w:rStyle w:val="FootnoteReference"/>
        </w:rPr>
        <w:footnoteRef/>
      </w:r>
      <w:r>
        <w:t xml:space="preserve"> </w:t>
      </w:r>
      <w:r w:rsidRPr="004D7B04">
        <w:t>We propose to modify Form 731, as appropriate, to specify these exhibits and to accommodate any other relevant changes in the equipment authorization process that we adopt in this proceeding.</w:t>
      </w:r>
    </w:p>
  </w:footnote>
  <w:footnote w:id="68">
    <w:p w:rsidR="00665160" w:rsidRPr="006D701D" w:rsidRDefault="00665160">
      <w:pPr>
        <w:pStyle w:val="FootnoteText"/>
      </w:pPr>
      <w:r>
        <w:rPr>
          <w:rStyle w:val="FootnoteReference"/>
        </w:rPr>
        <w:footnoteRef/>
      </w:r>
      <w:r>
        <w:t xml:space="preserve"> </w:t>
      </w:r>
      <w:proofErr w:type="gramStart"/>
      <w:r>
        <w:rPr>
          <w:i/>
        </w:rPr>
        <w:t>See</w:t>
      </w:r>
      <w:r>
        <w:t xml:space="preserve"> 47 C.F.R. § 2.913(b).</w:t>
      </w:r>
      <w:proofErr w:type="gramEnd"/>
    </w:p>
  </w:footnote>
  <w:footnote w:id="69">
    <w:p w:rsidR="00665160" w:rsidRDefault="00665160">
      <w:pPr>
        <w:pStyle w:val="FootnoteText"/>
      </w:pPr>
      <w:r>
        <w:rPr>
          <w:rStyle w:val="FootnoteReference"/>
        </w:rPr>
        <w:footnoteRef/>
      </w:r>
      <w:r>
        <w:t xml:space="preserve"> </w:t>
      </w:r>
      <w:r>
        <w:rPr>
          <w:i/>
        </w:rPr>
        <w:t xml:space="preserve">See </w:t>
      </w:r>
      <w:r>
        <w:t>47 C.F.R. § 1.1103.</w:t>
      </w:r>
    </w:p>
  </w:footnote>
  <w:footnote w:id="70">
    <w:p w:rsidR="00665160" w:rsidRDefault="00665160" w:rsidP="00595105">
      <w:pPr>
        <w:pStyle w:val="FootnoteText"/>
      </w:pPr>
      <w:r>
        <w:rPr>
          <w:rStyle w:val="FootnoteReference"/>
        </w:rPr>
        <w:footnoteRef/>
      </w:r>
      <w:r>
        <w:t xml:space="preserve"> </w:t>
      </w:r>
      <w:proofErr w:type="gramStart"/>
      <w:r>
        <w:rPr>
          <w:i/>
        </w:rPr>
        <w:t xml:space="preserve">See </w:t>
      </w:r>
      <w:r>
        <w:t>47 C.F.R. § 2.962(g)(4).</w:t>
      </w:r>
      <w:proofErr w:type="gramEnd"/>
    </w:p>
  </w:footnote>
  <w:footnote w:id="71">
    <w:p w:rsidR="00665160" w:rsidRDefault="00665160">
      <w:pPr>
        <w:pStyle w:val="FootnoteText"/>
      </w:pPr>
      <w:r>
        <w:rPr>
          <w:rStyle w:val="FootnoteReference"/>
        </w:rPr>
        <w:footnoteRef/>
      </w:r>
      <w:r>
        <w:t xml:space="preserve"> As discussed in paragraph </w:t>
      </w:r>
      <w:r>
        <w:fldChar w:fldCharType="begin"/>
      </w:r>
      <w:r>
        <w:instrText xml:space="preserve"> REF _Ref332728075 \r \h </w:instrText>
      </w:r>
      <w:r>
        <w:fldChar w:fldCharType="separate"/>
      </w:r>
      <w:r>
        <w:t>18</w:t>
      </w:r>
      <w:r>
        <w:fldChar w:fldCharType="end"/>
      </w:r>
      <w:r>
        <w:t xml:space="preserve"> above, we are proposing to give TCBs explicit authority to dismiss applications</w:t>
      </w:r>
      <w:r w:rsidRPr="00821B29">
        <w:t xml:space="preserve"> </w:t>
      </w:r>
      <w:r>
        <w:t>for authorization of devices that are not subject to our proposed pre-approval guidance procedure.</w:t>
      </w:r>
    </w:p>
  </w:footnote>
  <w:footnote w:id="72">
    <w:p w:rsidR="00665160" w:rsidRDefault="00665160">
      <w:pPr>
        <w:pStyle w:val="FootnoteText"/>
      </w:pPr>
      <w:r>
        <w:rPr>
          <w:rStyle w:val="FootnoteReference"/>
        </w:rPr>
        <w:footnoteRef/>
      </w:r>
      <w:r>
        <w:t xml:space="preserve"> ISO/IEC Guide 65 was revised and renumbered as ISO/IEC 17065.</w:t>
      </w:r>
    </w:p>
  </w:footnote>
  <w:footnote w:id="73">
    <w:p w:rsidR="00665160" w:rsidRDefault="00665160" w:rsidP="00595105">
      <w:pPr>
        <w:pStyle w:val="FootnoteText"/>
      </w:pPr>
      <w:r>
        <w:rPr>
          <w:rStyle w:val="FootnoteReference"/>
        </w:rPr>
        <w:footnoteRef/>
      </w:r>
      <w:r>
        <w:t xml:space="preserve"> </w:t>
      </w:r>
      <w:proofErr w:type="gramStart"/>
      <w:r>
        <w:rPr>
          <w:i/>
        </w:rPr>
        <w:t xml:space="preserve">See </w:t>
      </w:r>
      <w:r>
        <w:t>47 C.F.R. § 2.962(g)(2).</w:t>
      </w:r>
      <w:proofErr w:type="gramEnd"/>
    </w:p>
  </w:footnote>
  <w:footnote w:id="74">
    <w:p w:rsidR="00665160" w:rsidRPr="008A2A8E" w:rsidRDefault="00665160">
      <w:pPr>
        <w:pStyle w:val="FootnoteText"/>
        <w:rPr>
          <w:i/>
        </w:rPr>
      </w:pPr>
      <w:r>
        <w:rPr>
          <w:rStyle w:val="FootnoteReference"/>
        </w:rPr>
        <w:footnoteRef/>
      </w:r>
      <w:r>
        <w:t xml:space="preserve"> </w:t>
      </w:r>
      <w:r>
        <w:rPr>
          <w:i/>
        </w:rPr>
        <w:t>Id.</w:t>
      </w:r>
    </w:p>
  </w:footnote>
  <w:footnote w:id="75">
    <w:p w:rsidR="00665160" w:rsidRPr="008A2A8E" w:rsidRDefault="00665160" w:rsidP="008A2A8E">
      <w:pPr>
        <w:pStyle w:val="FootnoteText"/>
        <w:rPr>
          <w:i/>
        </w:rPr>
      </w:pPr>
      <w:r>
        <w:rPr>
          <w:rStyle w:val="FootnoteReference"/>
        </w:rPr>
        <w:footnoteRef/>
      </w:r>
      <w:r>
        <w:t xml:space="preserve"> </w:t>
      </w:r>
      <w:r>
        <w:rPr>
          <w:i/>
        </w:rPr>
        <w:t>Id.</w:t>
      </w:r>
    </w:p>
  </w:footnote>
  <w:footnote w:id="76">
    <w:p w:rsidR="00665160" w:rsidRDefault="00665160" w:rsidP="008A2A8E">
      <w:pPr>
        <w:pStyle w:val="FootnoteText"/>
      </w:pPr>
      <w:r>
        <w:rPr>
          <w:rStyle w:val="FootnoteReference"/>
        </w:rPr>
        <w:footnoteRef/>
      </w:r>
      <w:r>
        <w:t xml:space="preserve"> </w:t>
      </w:r>
      <w:r>
        <w:rPr>
          <w:i/>
        </w:rPr>
        <w:t>Id.</w:t>
      </w:r>
    </w:p>
  </w:footnote>
  <w:footnote w:id="77">
    <w:p w:rsidR="00665160" w:rsidRDefault="00665160" w:rsidP="008A2A8E">
      <w:pPr>
        <w:pStyle w:val="FootnoteText"/>
      </w:pPr>
      <w:r>
        <w:rPr>
          <w:rStyle w:val="FootnoteReference"/>
        </w:rPr>
        <w:footnoteRef/>
      </w:r>
      <w:r>
        <w:t xml:space="preserve"> </w:t>
      </w:r>
      <w:r w:rsidRPr="00A5027A">
        <w:rPr>
          <w:i/>
        </w:rPr>
        <w:t>See</w:t>
      </w:r>
      <w:r>
        <w:t xml:space="preserve"> 47 C.F.R. </w:t>
      </w:r>
      <w:r w:rsidRPr="004665B6">
        <w:t>§</w:t>
      </w:r>
      <w:r>
        <w:t xml:space="preserve"> 2.945.</w:t>
      </w:r>
    </w:p>
  </w:footnote>
  <w:footnote w:id="78">
    <w:p w:rsidR="00665160" w:rsidRDefault="00665160">
      <w:pPr>
        <w:pStyle w:val="FootnoteText"/>
      </w:pPr>
      <w:r>
        <w:rPr>
          <w:rStyle w:val="FootnoteReference"/>
        </w:rPr>
        <w:footnoteRef/>
      </w:r>
      <w:r>
        <w:t xml:space="preserve"> </w:t>
      </w:r>
      <w:proofErr w:type="gramStart"/>
      <w:r w:rsidRPr="00A5027A">
        <w:rPr>
          <w:i/>
        </w:rPr>
        <w:t>See</w:t>
      </w:r>
      <w:r>
        <w:t xml:space="preserve"> 47 C.F.R. </w:t>
      </w:r>
      <w:r w:rsidRPr="004665B6">
        <w:t>§</w:t>
      </w:r>
      <w:r>
        <w:t xml:space="preserve"> 0.241(g).</w:t>
      </w:r>
      <w:proofErr w:type="gramEnd"/>
    </w:p>
  </w:footnote>
  <w:footnote w:id="79">
    <w:p w:rsidR="00665160" w:rsidRDefault="00665160" w:rsidP="00647824">
      <w:pPr>
        <w:pStyle w:val="FootnoteText"/>
      </w:pPr>
      <w:r>
        <w:rPr>
          <w:rStyle w:val="FootnoteReference"/>
        </w:rPr>
        <w:footnoteRef/>
      </w:r>
      <w:r>
        <w:t xml:space="preserve"> </w:t>
      </w:r>
      <w:r w:rsidRPr="00B3006D">
        <w:rPr>
          <w:i/>
        </w:rPr>
        <w:t>See</w:t>
      </w:r>
      <w:r w:rsidRPr="00B3006D">
        <w:t xml:space="preserve"> KDB Publication No. 610077,</w:t>
      </w:r>
      <w:r>
        <w:t xml:space="preserve"> </w:t>
      </w:r>
      <w:hyperlink r:id="rId7" w:history="1">
        <w:r w:rsidRPr="00BA5E14">
          <w:rPr>
            <w:rStyle w:val="Hyperlink"/>
          </w:rPr>
          <w:t>https://apps.fcc.gov/oetcf/kdb/forms/FTSSearchResultPage.cfm?switch=P&amp;id=20540</w:t>
        </w:r>
      </w:hyperlink>
      <w:r>
        <w:rPr>
          <w:szCs w:val="22"/>
        </w:rPr>
        <w:t>.</w:t>
      </w:r>
      <w:r w:rsidRPr="009A5854">
        <w:t xml:space="preserve"> </w:t>
      </w:r>
      <w:r>
        <w:t xml:space="preserve"> This publication provides guidance on the post-market surveillance requirements for TCBs that certify terminal equipment as well as TCBs that certify RF equipment.  We are not proposing to make any changes to this KDB concerning the post-market surveillance requirements for terminal equipment.</w:t>
      </w:r>
    </w:p>
  </w:footnote>
  <w:footnote w:id="80">
    <w:p w:rsidR="00665160" w:rsidRPr="00F64081" w:rsidRDefault="00665160">
      <w:pPr>
        <w:pStyle w:val="FootnoteText"/>
      </w:pPr>
      <w:r>
        <w:rPr>
          <w:rStyle w:val="FootnoteReference"/>
        </w:rPr>
        <w:footnoteRef/>
      </w:r>
      <w:r>
        <w:t xml:space="preserve"> </w:t>
      </w:r>
      <w:r>
        <w:rPr>
          <w:i/>
        </w:rPr>
        <w:t>See</w:t>
      </w:r>
      <w:r>
        <w:t xml:space="preserve"> 47 C.F.R. </w:t>
      </w:r>
      <w:r w:rsidRPr="004665B6">
        <w:t>§§</w:t>
      </w:r>
      <w:r>
        <w:t xml:space="preserve"> 2.936, 2.943, 2.945, 2.946, 2.956 and 2.1076.</w:t>
      </w:r>
    </w:p>
  </w:footnote>
  <w:footnote w:id="81">
    <w:p w:rsidR="00665160" w:rsidRPr="00CA5EB3" w:rsidRDefault="00665160">
      <w:pPr>
        <w:pStyle w:val="FootnoteText"/>
      </w:pPr>
      <w:r>
        <w:rPr>
          <w:rStyle w:val="FootnoteReference"/>
        </w:rPr>
        <w:footnoteRef/>
      </w:r>
      <w:r>
        <w:t xml:space="preserve"> </w:t>
      </w:r>
      <w:r w:rsidRPr="00CA5EB3">
        <w:t xml:space="preserve">KDB publication </w:t>
      </w:r>
      <w:r>
        <w:t xml:space="preserve">610077 </w:t>
      </w:r>
      <w:r w:rsidRPr="00CA5EB3">
        <w:t>currently specifies that TCBs must submit a report to the Commission on their post-market surveillance activities for the previous year no later than January 31.</w:t>
      </w:r>
    </w:p>
  </w:footnote>
  <w:footnote w:id="82">
    <w:p w:rsidR="00665160" w:rsidRPr="00AB5841" w:rsidRDefault="00665160" w:rsidP="00236A43">
      <w:pPr>
        <w:pStyle w:val="FootnoteText"/>
      </w:pPr>
      <w:r>
        <w:rPr>
          <w:rStyle w:val="FootnoteReference"/>
        </w:rPr>
        <w:footnoteRef/>
      </w:r>
      <w:r>
        <w:t xml:space="preserve"> </w:t>
      </w:r>
      <w:r>
        <w:rPr>
          <w:i/>
        </w:rPr>
        <w:t>See supra</w:t>
      </w:r>
      <w:r>
        <w:t xml:space="preserve"> para </w:t>
      </w:r>
      <w:r>
        <w:fldChar w:fldCharType="begin"/>
      </w:r>
      <w:r>
        <w:instrText xml:space="preserve"> REF _Ref332118557 \r \h </w:instrText>
      </w:r>
      <w:r>
        <w:fldChar w:fldCharType="separate"/>
      </w:r>
      <w:r>
        <w:t>7</w:t>
      </w:r>
      <w:r>
        <w:fldChar w:fldCharType="end"/>
      </w:r>
      <w:r>
        <w:t>.</w:t>
      </w:r>
    </w:p>
  </w:footnote>
  <w:footnote w:id="83">
    <w:p w:rsidR="00665160" w:rsidRDefault="00665160">
      <w:pPr>
        <w:pStyle w:val="FootnoteText"/>
      </w:pPr>
      <w:r>
        <w:rPr>
          <w:rStyle w:val="FootnoteReference"/>
        </w:rPr>
        <w:footnoteRef/>
      </w:r>
      <w:r>
        <w:t xml:space="preserve"> </w:t>
      </w:r>
      <w:r>
        <w:rPr>
          <w:i/>
        </w:rPr>
        <w:t xml:space="preserve">See </w:t>
      </w:r>
      <w:r>
        <w:t xml:space="preserve">47 C.F.R </w:t>
      </w:r>
      <w:r w:rsidRPr="004665B6">
        <w:t>§§</w:t>
      </w:r>
      <w:r>
        <w:t xml:space="preserve"> 2.962(a) and 2.962(c)(1)</w:t>
      </w:r>
    </w:p>
  </w:footnote>
  <w:footnote w:id="84">
    <w:p w:rsidR="00665160" w:rsidRDefault="00665160">
      <w:pPr>
        <w:pStyle w:val="FootnoteText"/>
      </w:pPr>
      <w:r>
        <w:rPr>
          <w:rStyle w:val="FootnoteReference"/>
        </w:rPr>
        <w:footnoteRef/>
      </w:r>
      <w:r>
        <w:t xml:space="preserve"> </w:t>
      </w:r>
      <w:proofErr w:type="gramStart"/>
      <w:r>
        <w:rPr>
          <w:i/>
        </w:rPr>
        <w:t xml:space="preserve">See </w:t>
      </w:r>
      <w:r>
        <w:t xml:space="preserve">47 C.F.R </w:t>
      </w:r>
      <w:r w:rsidRPr="004665B6">
        <w:t>§§</w:t>
      </w:r>
      <w:r>
        <w:t xml:space="preserve"> 2.962(c)(2) -</w:t>
      </w:r>
      <w:r w:rsidRPr="008A53C0">
        <w:t xml:space="preserve"> </w:t>
      </w:r>
      <w:r>
        <w:t>2.962 (c)(5).</w:t>
      </w:r>
      <w:proofErr w:type="gramEnd"/>
    </w:p>
  </w:footnote>
  <w:footnote w:id="85">
    <w:p w:rsidR="00665160" w:rsidRPr="005479E5" w:rsidRDefault="00665160">
      <w:pPr>
        <w:pStyle w:val="FootnoteText"/>
      </w:pPr>
      <w:r>
        <w:rPr>
          <w:rStyle w:val="FootnoteReference"/>
        </w:rPr>
        <w:footnoteRef/>
      </w:r>
      <w:r>
        <w:t xml:space="preserve"> </w:t>
      </w:r>
      <w:r>
        <w:rPr>
          <w:i/>
        </w:rPr>
        <w:t xml:space="preserve">See </w:t>
      </w:r>
      <w:r w:rsidRPr="005479E5">
        <w:rPr>
          <w:i/>
        </w:rPr>
        <w:t>TCB Technical Assessment Evaluation Form</w:t>
      </w:r>
      <w:r>
        <w:rPr>
          <w:i/>
        </w:rPr>
        <w:t xml:space="preserve"> </w:t>
      </w:r>
      <w:r w:rsidRPr="005479E5">
        <w:t>at</w:t>
      </w:r>
      <w:r>
        <w:t xml:space="preserve"> </w:t>
      </w:r>
      <w:hyperlink r:id="rId8" w:history="1">
        <w:r w:rsidRPr="00F54C58">
          <w:rPr>
            <w:rStyle w:val="Hyperlink"/>
          </w:rPr>
          <w:t>http://www.fcc.gov/ea</w:t>
        </w:r>
      </w:hyperlink>
      <w:r>
        <w:t>.  Assessors may ask additional questions not on this checklist to determine a prospective TCB’s technical competence.</w:t>
      </w:r>
    </w:p>
  </w:footnote>
  <w:footnote w:id="86">
    <w:p w:rsidR="00665160" w:rsidRDefault="00665160" w:rsidP="00595105">
      <w:pPr>
        <w:pStyle w:val="FootnoteText"/>
      </w:pPr>
      <w:r>
        <w:rPr>
          <w:rStyle w:val="FootnoteReference"/>
        </w:rPr>
        <w:footnoteRef/>
      </w:r>
      <w:r>
        <w:t xml:space="preserve"> </w:t>
      </w:r>
      <w:r>
        <w:rPr>
          <w:i/>
        </w:rPr>
        <w:t xml:space="preserve">See </w:t>
      </w:r>
      <w:r>
        <w:t xml:space="preserve">47 C.F.R </w:t>
      </w:r>
      <w:r w:rsidRPr="004665B6">
        <w:t>§</w:t>
      </w:r>
      <w:r>
        <w:t xml:space="preserve"> 2.962(e)(2)</w:t>
      </w:r>
    </w:p>
  </w:footnote>
  <w:footnote w:id="87">
    <w:p w:rsidR="00665160" w:rsidRPr="007A758D" w:rsidRDefault="00665160">
      <w:pPr>
        <w:pStyle w:val="FootnoteText"/>
      </w:pPr>
      <w:r>
        <w:rPr>
          <w:rStyle w:val="FootnoteReference"/>
        </w:rPr>
        <w:footnoteRef/>
      </w:r>
      <w:r>
        <w:t xml:space="preserve"> </w:t>
      </w:r>
      <w:proofErr w:type="gramStart"/>
      <w:r>
        <w:rPr>
          <w:i/>
        </w:rPr>
        <w:t>See</w:t>
      </w:r>
      <w:r>
        <w:t xml:space="preserve"> 47 C.F.R </w:t>
      </w:r>
      <w:r w:rsidRPr="004665B6">
        <w:t>§</w:t>
      </w:r>
      <w:r>
        <w:t xml:space="preserve"> 2.962(h).</w:t>
      </w:r>
      <w:proofErr w:type="gramEnd"/>
      <w:r>
        <w:t xml:space="preserve">  An MRA may provide more than 30 days for a TCB to respond to disputes with respect to its competence.</w:t>
      </w:r>
    </w:p>
  </w:footnote>
  <w:footnote w:id="88">
    <w:p w:rsidR="00665160" w:rsidRPr="00855C38" w:rsidRDefault="00665160" w:rsidP="003D412B">
      <w:pPr>
        <w:pStyle w:val="FootnoteText"/>
      </w:pPr>
      <w:r>
        <w:rPr>
          <w:rStyle w:val="FootnoteReference"/>
        </w:rPr>
        <w:footnoteRef/>
      </w:r>
      <w:r>
        <w:t xml:space="preserve"> </w:t>
      </w:r>
      <w:proofErr w:type="gramStart"/>
      <w:r>
        <w:rPr>
          <w:i/>
        </w:rPr>
        <w:t xml:space="preserve">See </w:t>
      </w:r>
      <w:r>
        <w:t>47 C.F.R. § 2.962(c).</w:t>
      </w:r>
      <w:proofErr w:type="gramEnd"/>
    </w:p>
  </w:footnote>
  <w:footnote w:id="89">
    <w:p w:rsidR="00665160" w:rsidRDefault="00665160" w:rsidP="003D412B">
      <w:pPr>
        <w:pStyle w:val="FootnoteText"/>
      </w:pPr>
      <w:r>
        <w:rPr>
          <w:rStyle w:val="FootnoteReference"/>
        </w:rPr>
        <w:footnoteRef/>
      </w:r>
      <w:r>
        <w:t xml:space="preserve"> The Commission is defined as the designating authority for TCBs within the United States, while the designating authorities for TCBs outside the United States are named in the MRA with the country where the TCB is located.  </w:t>
      </w:r>
      <w:r>
        <w:rPr>
          <w:i/>
        </w:rPr>
        <w:t xml:space="preserve">See </w:t>
      </w:r>
      <w:r>
        <w:t>47 C.F.R. §§ 2.960(b) and (c).</w:t>
      </w:r>
    </w:p>
  </w:footnote>
  <w:footnote w:id="90">
    <w:p w:rsidR="00665160" w:rsidRDefault="00665160" w:rsidP="003D412B">
      <w:pPr>
        <w:pStyle w:val="FootnoteText"/>
      </w:pPr>
      <w:r>
        <w:rPr>
          <w:rStyle w:val="FootnoteReference"/>
        </w:rPr>
        <w:footnoteRef/>
      </w:r>
      <w:r>
        <w:t xml:space="preserve"> The list of TCBs recognized by the Commission is available at </w:t>
      </w:r>
      <w:hyperlink r:id="rId9" w:history="1">
        <w:r w:rsidRPr="00F54C58">
          <w:rPr>
            <w:rStyle w:val="Hyperlink"/>
          </w:rPr>
          <w:t>http://www.fcc.gov/oet/ea</w:t>
        </w:r>
      </w:hyperlink>
      <w:r>
        <w:t xml:space="preserve">. </w:t>
      </w:r>
    </w:p>
  </w:footnote>
  <w:footnote w:id="91">
    <w:p w:rsidR="00665160" w:rsidRDefault="00665160" w:rsidP="003D412B">
      <w:pPr>
        <w:pStyle w:val="FootnoteText"/>
      </w:pPr>
      <w:r>
        <w:rPr>
          <w:rStyle w:val="FootnoteReference"/>
        </w:rPr>
        <w:footnoteRef/>
      </w:r>
      <w:r>
        <w:t xml:space="preserve"> </w:t>
      </w:r>
      <w:proofErr w:type="gramStart"/>
      <w:r>
        <w:rPr>
          <w:i/>
        </w:rPr>
        <w:t xml:space="preserve">See </w:t>
      </w:r>
      <w:r>
        <w:t>47 C.F.R. § 2.960(b).</w:t>
      </w:r>
      <w:proofErr w:type="gramEnd"/>
      <w:r>
        <w:t xml:space="preserve">  The Commission therefore performs both the designation and recognition functions for domestic TCBs under the current rules.</w:t>
      </w:r>
    </w:p>
  </w:footnote>
  <w:footnote w:id="92">
    <w:p w:rsidR="00665160" w:rsidRPr="00011350" w:rsidRDefault="00665160" w:rsidP="003D412B">
      <w:pPr>
        <w:pStyle w:val="FootnoteText"/>
        <w:rPr>
          <w:i/>
        </w:rPr>
      </w:pPr>
      <w:r>
        <w:rPr>
          <w:rStyle w:val="FootnoteReference"/>
        </w:rPr>
        <w:footnoteRef/>
      </w:r>
      <w:r>
        <w:t xml:space="preserve"> </w:t>
      </w:r>
      <w:r>
        <w:rPr>
          <w:i/>
        </w:rPr>
        <w:t>Id.</w:t>
      </w:r>
    </w:p>
  </w:footnote>
  <w:footnote w:id="93">
    <w:p w:rsidR="00665160" w:rsidRPr="0094069C" w:rsidRDefault="00665160">
      <w:pPr>
        <w:pStyle w:val="FootnoteText"/>
      </w:pPr>
      <w:r>
        <w:rPr>
          <w:rStyle w:val="FootnoteReference"/>
        </w:rPr>
        <w:footnoteRef/>
      </w:r>
      <w:r>
        <w:t xml:space="preserve"> </w:t>
      </w:r>
      <w:hyperlink r:id="rId10" w:history="1">
        <w:r w:rsidRPr="00711D7B">
          <w:rPr>
            <w:rStyle w:val="Hyperlink"/>
          </w:rPr>
          <w:t>http://gsi.nist.gov/global/index.cfm/L1-4/L2-38/L3-98/A-376/</w:t>
        </w:r>
      </w:hyperlink>
      <w:r>
        <w:t xml:space="preserve">. </w:t>
      </w:r>
    </w:p>
  </w:footnote>
  <w:footnote w:id="94">
    <w:p w:rsidR="00665160" w:rsidRDefault="00665160">
      <w:pPr>
        <w:pStyle w:val="FootnoteText"/>
      </w:pPr>
      <w:r>
        <w:rPr>
          <w:rStyle w:val="FootnoteReference"/>
        </w:rPr>
        <w:footnoteRef/>
      </w:r>
      <w:r>
        <w:t xml:space="preserve"> Our procedure for recognizing domestic TCBs is as follows.  After NIST accredits and designates a prospective TCB, it electronically uploads information about the TCB to the Commission.  The Commission then reviews the information to determine whether that TCB complies with the requirements in our rules.  The Commission will contact NIST if additional information is required.  If the TCB complies with all requirements in our rules, the Commission will add it to our publicly available list of recognized TCBs.  The list can be found at http://www.fcc.gov/oet/ea.</w:t>
      </w:r>
    </w:p>
  </w:footnote>
  <w:footnote w:id="95">
    <w:p w:rsidR="00665160" w:rsidRPr="004C2C39" w:rsidRDefault="00665160">
      <w:pPr>
        <w:pStyle w:val="FootnoteText"/>
      </w:pPr>
      <w:r>
        <w:rPr>
          <w:rStyle w:val="FootnoteReference"/>
        </w:rPr>
        <w:footnoteRef/>
      </w:r>
      <w:r>
        <w:t xml:space="preserve"> </w:t>
      </w:r>
      <w:proofErr w:type="gramStart"/>
      <w:r>
        <w:rPr>
          <w:i/>
        </w:rPr>
        <w:t>See</w:t>
      </w:r>
      <w:r>
        <w:t xml:space="preserve"> 47 C.F.R. § 2.962(e)(2).</w:t>
      </w:r>
      <w:proofErr w:type="gramEnd"/>
    </w:p>
  </w:footnote>
  <w:footnote w:id="96">
    <w:p w:rsidR="00665160" w:rsidRPr="00CA2AAD" w:rsidRDefault="00665160" w:rsidP="008146FB">
      <w:pPr>
        <w:pStyle w:val="FootnoteText"/>
      </w:pPr>
      <w:r>
        <w:rPr>
          <w:rStyle w:val="FootnoteReference"/>
        </w:rPr>
        <w:footnoteRef/>
      </w:r>
      <w:r>
        <w:t xml:space="preserve"> </w:t>
      </w:r>
      <w:proofErr w:type="gramStart"/>
      <w:r>
        <w:rPr>
          <w:i/>
        </w:rPr>
        <w:t>See</w:t>
      </w:r>
      <w:r>
        <w:t xml:space="preserve"> 47 C.F.R. §§ 2.962(f)(6) and 1.113.</w:t>
      </w:r>
      <w:proofErr w:type="gramEnd"/>
    </w:p>
  </w:footnote>
  <w:footnote w:id="97">
    <w:p w:rsidR="00665160" w:rsidRDefault="00665160">
      <w:pPr>
        <w:pStyle w:val="FootnoteText"/>
      </w:pPr>
      <w:r>
        <w:rPr>
          <w:rStyle w:val="FootnoteReference"/>
        </w:rPr>
        <w:footnoteRef/>
      </w:r>
      <w:r>
        <w:t xml:space="preserve"> Section 2.962(a) indicates that TCBs may be designated under the terms of an MRA, but there is no other text in Section 2.962 that addresses the designation requirements for foreign TCBs that is equivalent to the text in Section 2.962(e)(1).  The designation requirements for foreign TCBs are specified in Section 2.960(c).</w:t>
      </w:r>
    </w:p>
  </w:footnote>
  <w:footnote w:id="98">
    <w:p w:rsidR="00665160" w:rsidRPr="00F12A79" w:rsidRDefault="00665160" w:rsidP="00804790">
      <w:pPr>
        <w:pStyle w:val="FootnoteText"/>
      </w:pPr>
      <w:r>
        <w:rPr>
          <w:rStyle w:val="FootnoteReference"/>
        </w:rPr>
        <w:footnoteRef/>
      </w:r>
      <w:r>
        <w:t xml:space="preserve"> </w:t>
      </w:r>
      <w:r>
        <w:rPr>
          <w:i/>
        </w:rPr>
        <w:t>See</w:t>
      </w:r>
      <w:r>
        <w:t xml:space="preserve"> </w:t>
      </w:r>
      <w:r w:rsidRPr="004665B6">
        <w:t>47 C.F.R. §§ 2.96</w:t>
      </w:r>
      <w:r>
        <w:t>2(c)(1) and 68.162(c)(1).</w:t>
      </w:r>
    </w:p>
  </w:footnote>
  <w:footnote w:id="99">
    <w:p w:rsidR="00665160" w:rsidRPr="004665B6" w:rsidRDefault="00665160" w:rsidP="00804790">
      <w:pPr>
        <w:pStyle w:val="FootnoteText"/>
      </w:pPr>
      <w:r>
        <w:rPr>
          <w:rStyle w:val="FootnoteReference"/>
        </w:rPr>
        <w:footnoteRef/>
      </w:r>
      <w:r w:rsidRPr="004665B6">
        <w:t xml:space="preserve"> </w:t>
      </w:r>
      <w:r>
        <w:rPr>
          <w:i/>
        </w:rPr>
        <w:t xml:space="preserve">See </w:t>
      </w:r>
      <w:r w:rsidRPr="004665B6">
        <w:t>47 C.F.R. §§ 2.960(c)(1)</w:t>
      </w:r>
      <w:r>
        <w:t xml:space="preserve"> and 68.160(c)(1)</w:t>
      </w:r>
      <w:r w:rsidRPr="004665B6">
        <w:t>.</w:t>
      </w:r>
    </w:p>
  </w:footnote>
  <w:footnote w:id="100">
    <w:p w:rsidR="00665160" w:rsidRDefault="00665160" w:rsidP="00595105">
      <w:pPr>
        <w:pStyle w:val="FootnoteText"/>
      </w:pPr>
      <w:r>
        <w:rPr>
          <w:rStyle w:val="FootnoteReference"/>
        </w:rPr>
        <w:footnoteRef/>
      </w:r>
      <w:r>
        <w:t xml:space="preserve"> </w:t>
      </w:r>
      <w:proofErr w:type="gramStart"/>
      <w:r>
        <w:rPr>
          <w:i/>
        </w:rPr>
        <w:t xml:space="preserve">See </w:t>
      </w:r>
      <w:r w:rsidRPr="004665B6">
        <w:t>47 C.F.R. § 2.948(d).</w:t>
      </w:r>
      <w:proofErr w:type="gramEnd"/>
    </w:p>
  </w:footnote>
  <w:footnote w:id="101">
    <w:p w:rsidR="00665160" w:rsidRPr="004665B6" w:rsidRDefault="00665160" w:rsidP="00595105">
      <w:pPr>
        <w:pStyle w:val="FootnoteText"/>
      </w:pPr>
      <w:r>
        <w:rPr>
          <w:rStyle w:val="FootnoteReference"/>
        </w:rPr>
        <w:footnoteRef/>
      </w:r>
      <w:r w:rsidRPr="004665B6">
        <w:t xml:space="preserve"> </w:t>
      </w:r>
      <w:r>
        <w:rPr>
          <w:i/>
        </w:rPr>
        <w:t>Id.</w:t>
      </w:r>
    </w:p>
  </w:footnote>
  <w:footnote w:id="102">
    <w:p w:rsidR="00665160" w:rsidRPr="00A555DB" w:rsidRDefault="00665160">
      <w:pPr>
        <w:pStyle w:val="FootnoteText"/>
      </w:pPr>
      <w:r>
        <w:rPr>
          <w:rStyle w:val="FootnoteReference"/>
        </w:rPr>
        <w:footnoteRef/>
      </w:r>
      <w:r>
        <w:t xml:space="preserve"> </w:t>
      </w:r>
      <w:r>
        <w:rPr>
          <w:i/>
        </w:rPr>
        <w:t>See</w:t>
      </w:r>
      <w:r>
        <w:t xml:space="preserve"> 47 C.F.R. §2.962(c)(7).</w:t>
      </w:r>
    </w:p>
  </w:footnote>
  <w:footnote w:id="103">
    <w:p w:rsidR="00665160" w:rsidRPr="0062707D" w:rsidRDefault="00665160">
      <w:pPr>
        <w:pStyle w:val="FootnoteText"/>
      </w:pPr>
      <w:r>
        <w:rPr>
          <w:rStyle w:val="FootnoteReference"/>
        </w:rPr>
        <w:footnoteRef/>
      </w:r>
      <w:r>
        <w:t xml:space="preserve"> </w:t>
      </w:r>
      <w:r>
        <w:rPr>
          <w:i/>
        </w:rPr>
        <w:t>See</w:t>
      </w:r>
      <w:r>
        <w:t xml:space="preserve"> 47 C.F.R. §§ 2.960, 2.962, 68.160 and 68.162.  </w:t>
      </w:r>
    </w:p>
  </w:footnote>
  <w:footnote w:id="104">
    <w:p w:rsidR="00665160" w:rsidRDefault="00665160" w:rsidP="001E2BB3">
      <w:pPr>
        <w:pStyle w:val="FootnoteText"/>
      </w:pPr>
      <w:r>
        <w:rPr>
          <w:rStyle w:val="FootnoteReference"/>
        </w:rPr>
        <w:footnoteRef/>
      </w:r>
      <w:r>
        <w:t xml:space="preserve"> </w:t>
      </w:r>
      <w:r>
        <w:rPr>
          <w:i/>
        </w:rPr>
        <w:t xml:space="preserve">See </w:t>
      </w:r>
      <w:r>
        <w:t>47 C.F.R. § 2.948.</w:t>
      </w:r>
    </w:p>
  </w:footnote>
  <w:footnote w:id="105">
    <w:p w:rsidR="00665160" w:rsidRDefault="00665160">
      <w:pPr>
        <w:pStyle w:val="FootnoteText"/>
      </w:pPr>
      <w:r>
        <w:rPr>
          <w:rStyle w:val="FootnoteReference"/>
        </w:rPr>
        <w:footnoteRef/>
      </w:r>
      <w:r>
        <w:t xml:space="preserve"> </w:t>
      </w:r>
      <w:proofErr w:type="gramStart"/>
      <w:r>
        <w:rPr>
          <w:i/>
        </w:rPr>
        <w:t xml:space="preserve">See </w:t>
      </w:r>
      <w:r>
        <w:t>47 C.F.R. § 2.948(b).</w:t>
      </w:r>
      <w:proofErr w:type="gramEnd"/>
    </w:p>
  </w:footnote>
  <w:footnote w:id="106">
    <w:p w:rsidR="00665160" w:rsidRPr="00E9482B" w:rsidRDefault="00665160">
      <w:pPr>
        <w:pStyle w:val="FootnoteText"/>
      </w:pPr>
      <w:r>
        <w:rPr>
          <w:rStyle w:val="FootnoteReference"/>
        </w:rPr>
        <w:footnoteRef/>
      </w:r>
      <w:r>
        <w:t xml:space="preserve"> </w:t>
      </w:r>
      <w:proofErr w:type="gramStart"/>
      <w:r>
        <w:rPr>
          <w:i/>
        </w:rPr>
        <w:t>See</w:t>
      </w:r>
      <w:r>
        <w:t xml:space="preserve"> 47 C.F.R. § 2.948(e).</w:t>
      </w:r>
      <w:proofErr w:type="gramEnd"/>
    </w:p>
  </w:footnote>
  <w:footnote w:id="107">
    <w:p w:rsidR="00665160" w:rsidRDefault="00665160">
      <w:pPr>
        <w:pStyle w:val="FootnoteText"/>
      </w:pPr>
      <w:r>
        <w:rPr>
          <w:rStyle w:val="FootnoteReference"/>
        </w:rPr>
        <w:footnoteRef/>
      </w:r>
      <w:r>
        <w:t xml:space="preserve"> </w:t>
      </w:r>
      <w:hyperlink r:id="rId11" w:history="1">
        <w:r w:rsidRPr="00E54C89">
          <w:rPr>
            <w:rStyle w:val="Hyperlink"/>
          </w:rPr>
          <w:t>http://www.fcc.gov/oet/ea/</w:t>
        </w:r>
      </w:hyperlink>
      <w:r>
        <w:t xml:space="preserve">. </w:t>
      </w:r>
    </w:p>
  </w:footnote>
  <w:footnote w:id="108">
    <w:p w:rsidR="00665160" w:rsidRPr="00D77BC1" w:rsidRDefault="00665160">
      <w:pPr>
        <w:pStyle w:val="FootnoteText"/>
      </w:pPr>
      <w:r>
        <w:rPr>
          <w:rStyle w:val="FootnoteReference"/>
        </w:rPr>
        <w:footnoteRef/>
      </w:r>
      <w:r>
        <w:t xml:space="preserve"> </w:t>
      </w:r>
      <w:proofErr w:type="gramStart"/>
      <w:r>
        <w:rPr>
          <w:i/>
        </w:rPr>
        <w:t>See</w:t>
      </w:r>
      <w:r>
        <w:t xml:space="preserve"> 47 C.F.R. § 2.948(d).</w:t>
      </w:r>
      <w:proofErr w:type="gramEnd"/>
    </w:p>
  </w:footnote>
  <w:footnote w:id="109">
    <w:p w:rsidR="00665160" w:rsidRDefault="00665160">
      <w:pPr>
        <w:pStyle w:val="FootnoteText"/>
      </w:pPr>
      <w:r>
        <w:rPr>
          <w:rStyle w:val="FootnoteReference"/>
        </w:rPr>
        <w:footnoteRef/>
      </w:r>
      <w:r>
        <w:t xml:space="preserve"> </w:t>
      </w:r>
      <w:r>
        <w:rPr>
          <w:i/>
        </w:rPr>
        <w:t>See</w:t>
      </w:r>
      <w:r>
        <w:t xml:space="preserve"> 47 C.F.R. §§ 2.948(a) and 2.948(b).  This description must include: 1) the location of the test site; 2) a physical description of the site including photographs; 3) a drawing showing the dimensions of the site and nearby structures; 4) a description of the structures used to support the device under test and the test instrumentation; 5) a list of measuring equipment used; 6) information concerning the calibration of the measuring equipment; 7) a statement as to whether the site is available to do measurement services for the public on a fee basis; 8) a plot of the site attenuation data; and 9) a description of the types of equipment tested at the facility.</w:t>
      </w:r>
    </w:p>
  </w:footnote>
  <w:footnote w:id="110">
    <w:p w:rsidR="00665160" w:rsidRPr="003C787B" w:rsidRDefault="00665160">
      <w:pPr>
        <w:pStyle w:val="FootnoteText"/>
      </w:pPr>
      <w:r>
        <w:rPr>
          <w:rStyle w:val="FootnoteReference"/>
        </w:rPr>
        <w:footnoteRef/>
      </w:r>
      <w:r>
        <w:t xml:space="preserve"> Verification does not require the filing of an application with the Commission, so the Commission does not have records for equipment authorized under the verification procedure.  However, the Commission has the authority to request test records from the manufacturer of equipment subject to verification.  </w:t>
      </w:r>
      <w:r>
        <w:rPr>
          <w:i/>
        </w:rPr>
        <w:t>See</w:t>
      </w:r>
      <w:r>
        <w:t xml:space="preserve"> 47 C.F.R. §§ 2.946 and 2.955.</w:t>
      </w:r>
    </w:p>
  </w:footnote>
  <w:footnote w:id="111">
    <w:p w:rsidR="00665160" w:rsidRPr="00D90CBD" w:rsidRDefault="00665160">
      <w:pPr>
        <w:pStyle w:val="FootnoteText"/>
      </w:pPr>
      <w:r>
        <w:rPr>
          <w:rStyle w:val="FootnoteReference"/>
        </w:rPr>
        <w:footnoteRef/>
      </w:r>
      <w:r>
        <w:t xml:space="preserve"> </w:t>
      </w:r>
      <w:r>
        <w:rPr>
          <w:rFonts w:eastAsia="TimesNewRoman"/>
        </w:rPr>
        <w:t xml:space="preserve">ILAC </w:t>
      </w:r>
      <w:r>
        <w:t xml:space="preserve">is an international organization of laboratory and inspection accreditation bodies that was formed to help remove technical barriers to trade.  </w:t>
      </w:r>
      <w:r w:rsidRPr="00D90CBD">
        <w:t>Accreditation bodies</w:t>
      </w:r>
      <w:r>
        <w:t xml:space="preserve"> that are part of ILAC</w:t>
      </w:r>
      <w:r w:rsidRPr="00D90CBD">
        <w:t xml:space="preserve"> have been peer</w:t>
      </w:r>
      <w:r>
        <w:t>-reviewed</w:t>
      </w:r>
      <w:r w:rsidRPr="00D90CBD">
        <w:t xml:space="preserve"> as competent</w:t>
      </w:r>
      <w:r>
        <w:t xml:space="preserve"> and</w:t>
      </w:r>
      <w:r w:rsidRPr="00D90CBD">
        <w:t xml:space="preserve"> sign arrangements </w:t>
      </w:r>
      <w:r>
        <w:t>to</w:t>
      </w:r>
      <w:r w:rsidRPr="00D90CBD">
        <w:t xml:space="preserve"> enhance the acceptance of products and services across national borders.</w:t>
      </w:r>
      <w:r>
        <w:t xml:space="preserve">  </w:t>
      </w:r>
      <w:hyperlink r:id="rId12" w:history="1">
        <w:r w:rsidRPr="00574C91">
          <w:rPr>
            <w:rStyle w:val="Hyperlink"/>
          </w:rPr>
          <w:t>www.ilac.org</w:t>
        </w:r>
      </w:hyperlink>
      <w:r>
        <w:t xml:space="preserve">.   </w:t>
      </w:r>
    </w:p>
  </w:footnote>
  <w:footnote w:id="112">
    <w:p w:rsidR="00665160" w:rsidRDefault="00665160" w:rsidP="006C5F29">
      <w:pPr>
        <w:pStyle w:val="FootnoteText"/>
      </w:pPr>
      <w:r>
        <w:rPr>
          <w:rStyle w:val="FootnoteReference"/>
        </w:rPr>
        <w:footnoteRef/>
      </w:r>
      <w:r>
        <w:t xml:space="preserve"> </w:t>
      </w:r>
      <w:r>
        <w:rPr>
          <w:i/>
        </w:rPr>
        <w:t xml:space="preserve">See </w:t>
      </w:r>
      <w:r>
        <w:t xml:space="preserve">47 C.F.R. § 2.948(d); </w:t>
      </w:r>
      <w:r>
        <w:rPr>
          <w:i/>
        </w:rPr>
        <w:t xml:space="preserve">see also </w:t>
      </w:r>
      <w:r>
        <w:t xml:space="preserve">47 C.F.R. § 0.241(f) (delegating authority to the Chief of OET to enter into agreements with the National Institute of Standards and Technology and other accreditation bodies to perform accreditation of test laboratories pursuant to section 2.948(d)). </w:t>
      </w:r>
    </w:p>
  </w:footnote>
  <w:footnote w:id="113">
    <w:p w:rsidR="00665160" w:rsidRDefault="00665160" w:rsidP="006C5F29">
      <w:pPr>
        <w:pStyle w:val="FootnoteText"/>
      </w:pPr>
      <w:r>
        <w:rPr>
          <w:rStyle w:val="FootnoteReference"/>
        </w:rPr>
        <w:footnoteRef/>
      </w:r>
      <w:r>
        <w:t xml:space="preserve"> </w:t>
      </w:r>
      <w:proofErr w:type="gramStart"/>
      <w:r>
        <w:rPr>
          <w:i/>
        </w:rPr>
        <w:t xml:space="preserve">See </w:t>
      </w:r>
      <w:r>
        <w:t>47 C.F.R. § 2.948(d).</w:t>
      </w:r>
      <w:proofErr w:type="gramEnd"/>
      <w:r>
        <w:t xml:space="preserve">  The current ISO/IEC requirements for accreditation bodies are contained in ISO/IEC 17011, </w:t>
      </w:r>
      <w:r>
        <w:rPr>
          <w:rFonts w:cs="Arial,Bold"/>
          <w:bCs/>
          <w:i/>
        </w:rPr>
        <w:t>Conformity assessment — General requirements for accreditation bodies accrediting conformity assessment bodies</w:t>
      </w:r>
      <w:r>
        <w:rPr>
          <w:rFonts w:cs="Arial,Bold"/>
          <w:bCs/>
        </w:rPr>
        <w:t xml:space="preserve"> (2004)</w:t>
      </w:r>
      <w:r>
        <w:t xml:space="preserve">.  In 2004, ISO/IEC replaced its old set of requirements for accreditation bodies – </w:t>
      </w:r>
      <w:r>
        <w:rPr>
          <w:i/>
        </w:rPr>
        <w:t>i.e.</w:t>
      </w:r>
      <w:r>
        <w:t xml:space="preserve">, ISO/IEC 58, </w:t>
      </w:r>
      <w:r>
        <w:rPr>
          <w:i/>
        </w:rPr>
        <w:t>Calibration and Testing Laboratory Accreditation Systems – General Requirements for Operation and Recognition</w:t>
      </w:r>
      <w:r>
        <w:t>, which is the set of requirements specified in Section 2.948 (d) – with ISO/IEC.17011.</w:t>
      </w:r>
    </w:p>
  </w:footnote>
  <w:footnote w:id="114">
    <w:p w:rsidR="00665160" w:rsidRDefault="00665160" w:rsidP="006C5F29">
      <w:pPr>
        <w:pStyle w:val="FootnoteText"/>
      </w:pPr>
      <w:r>
        <w:rPr>
          <w:rStyle w:val="FootnoteReference"/>
        </w:rPr>
        <w:footnoteRef/>
      </w:r>
      <w:r>
        <w:t xml:space="preserve"> </w:t>
      </w:r>
      <w:proofErr w:type="gramStart"/>
      <w:r>
        <w:rPr>
          <w:i/>
        </w:rPr>
        <w:t xml:space="preserve">See </w:t>
      </w:r>
      <w:r>
        <w:t>47 C.F.R § 2.948(d) (requiring test laboratories to comply with such ISO/IEC standards).</w:t>
      </w:r>
      <w:proofErr w:type="gramEnd"/>
      <w:r>
        <w:t xml:space="preserve">  More specifically, Section 2.948(d) requires that test laboratories be accredited based on ISO/IEC Standard 17025, </w:t>
      </w:r>
      <w:r>
        <w:rPr>
          <w:i/>
        </w:rPr>
        <w:t>General Requirements for the Competence of Calibration and Testing Laboratories</w:t>
      </w:r>
      <w:r>
        <w:t xml:space="preserve">. </w:t>
      </w:r>
      <w:r>
        <w:rPr>
          <w:i/>
        </w:rPr>
        <w:t>Id</w:t>
      </w:r>
      <w:r>
        <w:t>.</w:t>
      </w:r>
    </w:p>
  </w:footnote>
  <w:footnote w:id="115">
    <w:p w:rsidR="00665160" w:rsidRPr="00890262" w:rsidRDefault="00665160">
      <w:pPr>
        <w:pStyle w:val="FootnoteText"/>
      </w:pPr>
      <w:r>
        <w:rPr>
          <w:rStyle w:val="FootnoteReference"/>
        </w:rPr>
        <w:footnoteRef/>
      </w:r>
      <w:r>
        <w:t xml:space="preserve"> </w:t>
      </w:r>
      <w:r>
        <w:rPr>
          <w:i/>
        </w:rPr>
        <w:t xml:space="preserve">See </w:t>
      </w:r>
      <w:r w:rsidRPr="00890262">
        <w:rPr>
          <w:i/>
        </w:rPr>
        <w:t>Office of Engineering and Technology Provides Guidance on the Recognition of Laboratory Accreditation Bodies and Recognizes ACLASS as an Accreditation Body</w:t>
      </w:r>
      <w:r>
        <w:rPr>
          <w:i/>
        </w:rPr>
        <w:t>,</w:t>
      </w:r>
      <w:r>
        <w:t xml:space="preserve"> Public Notice, 25 FCC Rcd 10830 (2010).</w:t>
      </w:r>
    </w:p>
  </w:footnote>
  <w:footnote w:id="116">
    <w:p w:rsidR="00665160" w:rsidRDefault="00665160" w:rsidP="00B23AEE">
      <w:pPr>
        <w:pStyle w:val="FootnoteText"/>
      </w:pPr>
      <w:r>
        <w:rPr>
          <w:rStyle w:val="FootnoteReference"/>
        </w:rPr>
        <w:footnoteRef/>
      </w:r>
      <w:r>
        <w:t xml:space="preserve"> </w:t>
      </w:r>
      <w:r>
        <w:rPr>
          <w:rFonts w:cs="Arial"/>
          <w:color w:val="141C24"/>
        </w:rPr>
        <w:t>Th</w:t>
      </w:r>
      <w:r>
        <w:rPr>
          <w:rFonts w:cs="Arial"/>
          <w:iCs/>
          <w:color w:val="141C24"/>
        </w:rPr>
        <w:t>e ILAC Arrangement builds upon existing or developing regional arrangements established around the world.  The European Cooperation for Accreditation (</w:t>
      </w:r>
      <w:r>
        <w:rPr>
          <w:rFonts w:cs="Arial"/>
          <w:bCs/>
          <w:iCs/>
          <w:color w:val="141C24"/>
        </w:rPr>
        <w:t>EA</w:t>
      </w:r>
      <w:r>
        <w:rPr>
          <w:rFonts w:cs="Arial"/>
          <w:iCs/>
          <w:color w:val="141C24"/>
        </w:rPr>
        <w:t xml:space="preserve">), the Asia Pacific Laboratory </w:t>
      </w:r>
      <w:r w:rsidRPr="00B23AEE">
        <w:t>Accreditation</w:t>
      </w:r>
      <w:r>
        <w:rPr>
          <w:rFonts w:cs="Arial"/>
          <w:iCs/>
          <w:color w:val="141C24"/>
        </w:rPr>
        <w:t xml:space="preserve"> Cooperation (</w:t>
      </w:r>
      <w:r>
        <w:rPr>
          <w:rFonts w:cs="Arial"/>
          <w:bCs/>
          <w:iCs/>
          <w:color w:val="141C24"/>
        </w:rPr>
        <w:t>APLAC</w:t>
      </w:r>
      <w:r>
        <w:rPr>
          <w:rFonts w:cs="Arial"/>
          <w:iCs/>
          <w:color w:val="141C24"/>
        </w:rPr>
        <w:t>) and the Inter-American Accreditation Cooperation (</w:t>
      </w:r>
      <w:r>
        <w:rPr>
          <w:rFonts w:cs="Arial"/>
          <w:bCs/>
          <w:iCs/>
          <w:color w:val="141C24"/>
        </w:rPr>
        <w:t>IAAC</w:t>
      </w:r>
      <w:r>
        <w:rPr>
          <w:rFonts w:cs="Arial"/>
          <w:iCs/>
          <w:color w:val="141C24"/>
        </w:rPr>
        <w:t xml:space="preserve">) </w:t>
      </w:r>
      <w:r>
        <w:rPr>
          <w:rFonts w:cs="Arial"/>
          <w:bCs/>
          <w:iCs/>
          <w:color w:val="141C24"/>
        </w:rPr>
        <w:t xml:space="preserve">are examples of current ILAC-recognized regions with acceptable mutual recognition arrangements (MRAs) and evaluation procedures.  </w:t>
      </w:r>
      <w:r>
        <w:rPr>
          <w:rFonts w:cs="Arial"/>
          <w:i/>
          <w:color w:val="141C24"/>
        </w:rPr>
        <w:t>See</w:t>
      </w:r>
      <w:r>
        <w:rPr>
          <w:rFonts w:cs="Arial"/>
          <w:iCs/>
          <w:color w:val="141C24"/>
        </w:rPr>
        <w:t xml:space="preserve"> ILAC Arrangement at </w:t>
      </w:r>
      <w:hyperlink r:id="rId13" w:history="1">
        <w:r>
          <w:rPr>
            <w:rStyle w:val="Hyperlink"/>
            <w:rFonts w:cs="Arial"/>
            <w:iCs/>
          </w:rPr>
          <w:t>http://www.ilac.org/ilacarrangement.html</w:t>
        </w:r>
      </w:hyperlink>
      <w:r>
        <w:rPr>
          <w:rFonts w:cs="Arial"/>
          <w:iCs/>
          <w:color w:val="141C24"/>
        </w:rPr>
        <w:t xml:space="preserve">. </w:t>
      </w:r>
    </w:p>
  </w:footnote>
  <w:footnote w:id="117">
    <w:p w:rsidR="00665160" w:rsidRDefault="00665160" w:rsidP="006C5F29">
      <w:pPr>
        <w:pStyle w:val="FootnoteText"/>
      </w:pPr>
      <w:r>
        <w:rPr>
          <w:rStyle w:val="FootnoteReference"/>
        </w:rPr>
        <w:footnoteRef/>
      </w:r>
      <w:r>
        <w:t xml:space="preserve"> Domestic laboratory accreditation bodies that successfully complete the NIST evaluation program are listed by NIST as acceptable for use by domestic laboratories seeking to be designated to foreign MRA partner economies.</w:t>
      </w:r>
    </w:p>
  </w:footnote>
  <w:footnote w:id="118">
    <w:p w:rsidR="00665160" w:rsidRPr="00C866BF" w:rsidRDefault="00665160" w:rsidP="00E1772E">
      <w:pPr>
        <w:pStyle w:val="FootnoteText"/>
      </w:pPr>
      <w:r>
        <w:rPr>
          <w:rStyle w:val="FootnoteReference"/>
        </w:rPr>
        <w:footnoteRef/>
      </w:r>
      <w:r>
        <w:t xml:space="preserve"> The Chief of OET has delegated authority to enter into agreements with laboratory accreditation bodies and to make determinations regarding their continuing acceptability.  </w:t>
      </w:r>
      <w:r>
        <w:rPr>
          <w:i/>
        </w:rPr>
        <w:t>See</w:t>
      </w:r>
      <w:r>
        <w:t xml:space="preserve"> 47 C.F.R. § 0.241(f).</w:t>
      </w:r>
    </w:p>
  </w:footnote>
  <w:footnote w:id="119">
    <w:p w:rsidR="00665160" w:rsidRDefault="00665160">
      <w:pPr>
        <w:pStyle w:val="FootnoteText"/>
      </w:pPr>
      <w:r>
        <w:rPr>
          <w:rStyle w:val="FootnoteReference"/>
        </w:rPr>
        <w:footnoteRef/>
      </w:r>
      <w:r>
        <w:t xml:space="preserve"> OET recognized </w:t>
      </w:r>
      <w:r>
        <w:rPr>
          <w:szCs w:val="22"/>
        </w:rPr>
        <w:t xml:space="preserve">ANSI-ASQ National Accreditation Board Company (ACLASS) as an accreditation body that performs accreditation of laboratories testing equipment for authorization under Parts 2, 15 and 18 of the Commission’s rules.  </w:t>
      </w:r>
      <w:r>
        <w:rPr>
          <w:i/>
        </w:rPr>
        <w:t xml:space="preserve">See </w:t>
      </w:r>
      <w:r w:rsidRPr="00890262">
        <w:rPr>
          <w:i/>
        </w:rPr>
        <w:t>Office of Engineering and Technology Provides Guidance on the Recognition of Laboratory Accreditation Bodies and Recognizes ACLASS as an Accreditation Body</w:t>
      </w:r>
      <w:r>
        <w:rPr>
          <w:i/>
        </w:rPr>
        <w:t>,</w:t>
      </w:r>
      <w:r>
        <w:t xml:space="preserve"> Public Notice, 25 FCC Rcd 10830 (2010).</w:t>
      </w:r>
    </w:p>
  </w:footnote>
  <w:footnote w:id="120">
    <w:p w:rsidR="00665160" w:rsidRPr="00E327CA" w:rsidRDefault="00665160" w:rsidP="000A67CC">
      <w:pPr>
        <w:autoSpaceDE w:val="0"/>
        <w:autoSpaceDN w:val="0"/>
        <w:adjustRightInd w:val="0"/>
        <w:spacing w:after="120"/>
        <w:rPr>
          <w:sz w:val="20"/>
        </w:rPr>
      </w:pPr>
      <w:r>
        <w:rPr>
          <w:rStyle w:val="FootnoteReference"/>
        </w:rPr>
        <w:footnoteRef/>
      </w:r>
      <w:r>
        <w:rPr>
          <w:sz w:val="20"/>
        </w:rPr>
        <w:t xml:space="preserve">  </w:t>
      </w:r>
      <w:r w:rsidRPr="007075AC">
        <w:rPr>
          <w:i/>
          <w:sz w:val="20"/>
        </w:rPr>
        <w:t>See</w:t>
      </w:r>
      <w:r>
        <w:rPr>
          <w:sz w:val="20"/>
        </w:rPr>
        <w:t xml:space="preserve"> 47 C.F.R. § 2.948 and </w:t>
      </w:r>
      <w:r w:rsidRPr="007075AC">
        <w:rPr>
          <w:sz w:val="20"/>
        </w:rPr>
        <w:t>ANSI</w:t>
      </w:r>
      <w:r w:rsidRPr="00E327CA">
        <w:rPr>
          <w:sz w:val="20"/>
        </w:rPr>
        <w:t xml:space="preserve"> C63.4-2001, </w:t>
      </w:r>
      <w:r w:rsidRPr="00E327CA">
        <w:rPr>
          <w:i/>
          <w:sz w:val="20"/>
        </w:rPr>
        <w:t>American National Standard for Methods of Measurement of Radio-Noise Emissions from Low-Voltage Electrical and Electronic Equipment in the Range of 9 kHz to 40 GHz.</w:t>
      </w:r>
    </w:p>
  </w:footnote>
  <w:footnote w:id="121">
    <w:p w:rsidR="00665160" w:rsidRDefault="00665160" w:rsidP="000A67CC">
      <w:pPr>
        <w:pStyle w:val="FootnoteText"/>
      </w:pPr>
      <w:r>
        <w:rPr>
          <w:rStyle w:val="FootnoteReference"/>
        </w:rPr>
        <w:footnoteRef/>
      </w:r>
      <w:r>
        <w:t xml:space="preserve">  </w:t>
      </w:r>
      <w:r>
        <w:rPr>
          <w:rStyle w:val="Emphasis"/>
        </w:rPr>
        <w:t>See</w:t>
      </w:r>
      <w:r>
        <w:t xml:space="preserve"> ANSI C63.4-2003, Section 5.5.</w:t>
      </w:r>
    </w:p>
  </w:footnote>
  <w:footnote w:id="122">
    <w:p w:rsidR="00665160" w:rsidRDefault="00665160" w:rsidP="00BA7B20">
      <w:pPr>
        <w:pStyle w:val="FootnoteText"/>
      </w:pPr>
      <w:r>
        <w:rPr>
          <w:rStyle w:val="FootnoteReference"/>
        </w:rPr>
        <w:footnoteRef/>
      </w:r>
      <w:r>
        <w:t xml:space="preserve"> </w:t>
      </w:r>
      <w:r w:rsidRPr="00BA7B20">
        <w:rPr>
          <w:i/>
        </w:rPr>
        <w:t>See</w:t>
      </w:r>
      <w:r>
        <w:rPr>
          <w:i/>
        </w:rPr>
        <w:t xml:space="preserve"> </w:t>
      </w:r>
      <w:r w:rsidRPr="00BA7B20">
        <w:rPr>
          <w:color w:val="000000"/>
          <w:szCs w:val="22"/>
        </w:rPr>
        <w:t xml:space="preserve">CISPR </w:t>
      </w:r>
      <w:r>
        <w:rPr>
          <w:color w:val="000000"/>
          <w:szCs w:val="22"/>
        </w:rPr>
        <w:t xml:space="preserve">16-1-4:2007, </w:t>
      </w:r>
      <w:r w:rsidRPr="00BA7B20">
        <w:rPr>
          <w:i/>
          <w:color w:val="000000"/>
          <w:szCs w:val="22"/>
        </w:rPr>
        <w:t>Specification for radio disturbance and immunity measuring apparatus and methods – Part 1-4: Radio disturbance and immunity measuring apparatus – Ancillary equipment – Radiated disturbances</w:t>
      </w:r>
      <w:r>
        <w:rPr>
          <w:color w:val="000000"/>
          <w:szCs w:val="22"/>
        </w:rPr>
        <w:t>.</w:t>
      </w:r>
    </w:p>
  </w:footnote>
  <w:footnote w:id="123">
    <w:p w:rsidR="00665160" w:rsidRDefault="00665160" w:rsidP="000A67CC">
      <w:pPr>
        <w:pStyle w:val="FootnoteText"/>
      </w:pPr>
      <w:r>
        <w:rPr>
          <w:rStyle w:val="FootnoteReference"/>
        </w:rPr>
        <w:footnoteRef/>
      </w:r>
      <w:r>
        <w:t xml:space="preserve">  </w:t>
      </w:r>
      <w:r>
        <w:rPr>
          <w:rStyle w:val="Emphasis"/>
        </w:rPr>
        <w:t>See</w:t>
      </w:r>
      <w:r>
        <w:t xml:space="preserve"> ANSI C63.4-2009, Section 5.5.</w:t>
      </w:r>
    </w:p>
  </w:footnote>
  <w:footnote w:id="124">
    <w:p w:rsidR="00665160" w:rsidRPr="006C1AC0" w:rsidRDefault="00665160">
      <w:pPr>
        <w:pStyle w:val="FootnoteText"/>
      </w:pPr>
      <w:r>
        <w:rPr>
          <w:rStyle w:val="FootnoteReference"/>
        </w:rPr>
        <w:footnoteRef/>
      </w:r>
      <w:r w:rsidRPr="006C1AC0">
        <w:t xml:space="preserve"> </w:t>
      </w:r>
      <w:r w:rsidRPr="006C1AC0">
        <w:rPr>
          <w:i/>
        </w:rPr>
        <w:t>See</w:t>
      </w:r>
      <w:r w:rsidRPr="006C1AC0">
        <w:t xml:space="preserve"> 47 C.F.R. § 2.948(a)(2) and ANSI C63.4-2009, Section </w:t>
      </w:r>
      <w:r>
        <w:t>5.4.4.2.</w:t>
      </w:r>
    </w:p>
  </w:footnote>
  <w:footnote w:id="125">
    <w:p w:rsidR="00665160" w:rsidRPr="00211194" w:rsidRDefault="00665160" w:rsidP="00595105">
      <w:pPr>
        <w:pStyle w:val="FootnoteText"/>
      </w:pPr>
      <w:r>
        <w:rPr>
          <w:rStyle w:val="FootnoteReference"/>
        </w:rPr>
        <w:footnoteRef/>
      </w:r>
      <w:r w:rsidRPr="00211194">
        <w:rPr>
          <w:lang w:val="da-DK"/>
        </w:rPr>
        <w:t xml:space="preserve"> </w:t>
      </w:r>
      <w:r>
        <w:rPr>
          <w:i/>
          <w:lang w:val="da-DK"/>
        </w:rPr>
        <w:t xml:space="preserve">See </w:t>
      </w:r>
      <w:r w:rsidRPr="00211194">
        <w:rPr>
          <w:lang w:val="da-DK"/>
        </w:rPr>
        <w:t xml:space="preserve">47 C.F.R. § 2.901 </w:t>
      </w:r>
      <w:r w:rsidRPr="00211194">
        <w:rPr>
          <w:i/>
          <w:lang w:val="da-DK"/>
        </w:rPr>
        <w:t>et seq</w:t>
      </w:r>
      <w:r w:rsidRPr="00211194">
        <w:rPr>
          <w:lang w:val="da-DK"/>
        </w:rPr>
        <w:t xml:space="preserve">. </w:t>
      </w:r>
      <w:r w:rsidRPr="00211194">
        <w:t>(Part 2, Subpart J of the rules).</w:t>
      </w:r>
    </w:p>
  </w:footnote>
  <w:footnote w:id="126">
    <w:p w:rsidR="00665160" w:rsidRPr="00211194" w:rsidRDefault="00665160" w:rsidP="00595105">
      <w:pPr>
        <w:pStyle w:val="FootnoteText"/>
      </w:pPr>
      <w:r>
        <w:rPr>
          <w:rStyle w:val="FootnoteReference"/>
        </w:rPr>
        <w:footnoteRef/>
      </w:r>
      <w:r>
        <w:t xml:space="preserve"> </w:t>
      </w:r>
      <w:r>
        <w:rPr>
          <w:i/>
        </w:rPr>
        <w:t>See</w:t>
      </w:r>
      <w:r>
        <w:t xml:space="preserve"> 47 C.F.R. § 15.31.</w:t>
      </w:r>
    </w:p>
  </w:footnote>
  <w:footnote w:id="127">
    <w:p w:rsidR="00665160" w:rsidRDefault="00665160" w:rsidP="00595105">
      <w:pPr>
        <w:pStyle w:val="FootnoteText"/>
      </w:pPr>
      <w:r>
        <w:rPr>
          <w:rStyle w:val="FootnoteReference"/>
        </w:rPr>
        <w:footnoteRef/>
      </w:r>
      <w:r>
        <w:t xml:space="preserve"> </w:t>
      </w:r>
      <w:proofErr w:type="gramStart"/>
      <w:r w:rsidRPr="00285EEC">
        <w:rPr>
          <w:i/>
        </w:rPr>
        <w:t>See</w:t>
      </w:r>
      <w:r>
        <w:t xml:space="preserve"> American National Standards Institute, Inc. Accredited Standards Committee C63 (ANSI ASC 63), ANSI C63.4-2003, </w:t>
      </w:r>
      <w:r>
        <w:rPr>
          <w:i/>
        </w:rPr>
        <w:t>American National Standard for Methods of Measurement of Radio-Noise Emissions from Low-Voltage Electrical and Electronic Equipment in the Range of 9 KHz to 40 GHz</w:t>
      </w:r>
      <w:r w:rsidRPr="00285EEC">
        <w:t>.</w:t>
      </w:r>
      <w:proofErr w:type="gramEnd"/>
      <w:r w:rsidRPr="00285EEC">
        <w:t xml:space="preserve">  The</w:t>
      </w:r>
      <w:r>
        <w:t xml:space="preserve"> </w:t>
      </w:r>
      <w:r w:rsidRPr="00285EEC">
        <w:t>ANSI C63.4</w:t>
      </w:r>
      <w:r>
        <w:t xml:space="preserve"> standard is available from the sources listed in 47 C.F.R. § 15.38(b).</w:t>
      </w:r>
    </w:p>
  </w:footnote>
  <w:footnote w:id="128">
    <w:p w:rsidR="00665160" w:rsidRPr="00285EEC" w:rsidRDefault="00665160">
      <w:pPr>
        <w:pStyle w:val="FootnoteText"/>
      </w:pPr>
      <w:r>
        <w:rPr>
          <w:rStyle w:val="FootnoteReference"/>
        </w:rPr>
        <w:footnoteRef/>
      </w:r>
      <w:r>
        <w:t xml:space="preserve"> </w:t>
      </w:r>
      <w:proofErr w:type="gramStart"/>
      <w:r w:rsidRPr="00285EEC">
        <w:rPr>
          <w:i/>
        </w:rPr>
        <w:t>See</w:t>
      </w:r>
      <w:r>
        <w:t xml:space="preserve"> American National Standards Institute, Inc. Accredited Standards Committee C63, </w:t>
      </w:r>
      <w:r w:rsidRPr="00285EEC">
        <w:t>ANSI</w:t>
      </w:r>
      <w:r>
        <w:t xml:space="preserve"> C63.10-2009, A</w:t>
      </w:r>
      <w:r>
        <w:rPr>
          <w:i/>
        </w:rPr>
        <w:t>merican National Standard for Testing Unlicensed Wireless Devices</w:t>
      </w:r>
      <w:r>
        <w:t>.</w:t>
      </w:r>
      <w:proofErr w:type="gramEnd"/>
      <w:r>
        <w:t xml:space="preserve">  This standard is available at </w:t>
      </w:r>
      <w:hyperlink r:id="rId14" w:history="1">
        <w:r w:rsidRPr="00E54C89">
          <w:rPr>
            <w:rStyle w:val="Hyperlink"/>
          </w:rPr>
          <w:t>http://webstore.ansi.org</w:t>
        </w:r>
      </w:hyperlink>
      <w:r>
        <w:t>.</w:t>
      </w:r>
    </w:p>
  </w:footnote>
  <w:footnote w:id="129">
    <w:p w:rsidR="00665160" w:rsidRPr="00180E27" w:rsidRDefault="00665160">
      <w:pPr>
        <w:pStyle w:val="FootnoteText"/>
      </w:pPr>
      <w:r>
        <w:rPr>
          <w:rStyle w:val="FootnoteReference"/>
        </w:rPr>
        <w:footnoteRef/>
      </w:r>
      <w:r>
        <w:t xml:space="preserve"> </w:t>
      </w:r>
      <w:proofErr w:type="gramStart"/>
      <w:r>
        <w:rPr>
          <w:i/>
        </w:rPr>
        <w:t>See</w:t>
      </w:r>
      <w:r>
        <w:t xml:space="preserve"> American National Standards Institute, Inc. Accredited Standards Committee C63, ANSI C63.4-2009, </w:t>
      </w:r>
      <w:r w:rsidRPr="00180E27">
        <w:rPr>
          <w:i/>
        </w:rPr>
        <w:t>American National Standard for Methods of Measurement of Radio-Noise Emissions from Low-Voltage Electrical and Electronic Equipment in the Range of 9 KHz to 40 GHz</w:t>
      </w:r>
      <w:r>
        <w:t>.</w:t>
      </w:r>
      <w:proofErr w:type="gramEnd"/>
      <w:r>
        <w:t xml:space="preserve">  This standard is available at </w:t>
      </w:r>
      <w:hyperlink r:id="rId15" w:history="1">
        <w:r w:rsidRPr="00E54C89">
          <w:rPr>
            <w:rStyle w:val="Hyperlink"/>
          </w:rPr>
          <w:t>http://webstore.ansi.org</w:t>
        </w:r>
      </w:hyperlink>
      <w:r>
        <w:t>.</w:t>
      </w:r>
    </w:p>
  </w:footnote>
  <w:footnote w:id="130">
    <w:p w:rsidR="00665160" w:rsidRDefault="00665160" w:rsidP="00595105">
      <w:pPr>
        <w:pStyle w:val="FootnoteText"/>
      </w:pPr>
      <w:r>
        <w:rPr>
          <w:rStyle w:val="FootnoteReference"/>
        </w:rPr>
        <w:footnoteRef/>
      </w:r>
      <w:r>
        <w:t xml:space="preserve"> </w:t>
      </w:r>
      <w:r>
        <w:rPr>
          <w:i/>
        </w:rPr>
        <w:t xml:space="preserve">See </w:t>
      </w:r>
      <w:r w:rsidRPr="00901549">
        <w:rPr>
          <w:i/>
        </w:rPr>
        <w:t>Office of Engineering and Technology Clarifies Use of Recently Published ASC C63® Measurement Standards for Compliance Testing of Intentional and Unintentional Radiators under Part 15</w:t>
      </w:r>
      <w:r>
        <w:rPr>
          <w:i/>
        </w:rPr>
        <w:t>, Public Notice</w:t>
      </w:r>
      <w:r>
        <w:t xml:space="preserve">, </w:t>
      </w:r>
      <w:r>
        <w:rPr>
          <w:snapToGrid w:val="0"/>
          <w:color w:val="000000"/>
          <w:kern w:val="28"/>
        </w:rPr>
        <w:t>24</w:t>
      </w:r>
      <w:r w:rsidRPr="002469C7">
        <w:rPr>
          <w:snapToGrid w:val="0"/>
          <w:color w:val="000000"/>
          <w:kern w:val="28"/>
        </w:rPr>
        <w:t xml:space="preserve"> FCC Rcd </w:t>
      </w:r>
      <w:r>
        <w:rPr>
          <w:snapToGrid w:val="0"/>
          <w:color w:val="000000"/>
          <w:kern w:val="28"/>
        </w:rPr>
        <w:t xml:space="preserve">14134 </w:t>
      </w:r>
      <w:r>
        <w:t>(rel. November 25, 2009).</w:t>
      </w:r>
    </w:p>
  </w:footnote>
  <w:footnote w:id="131">
    <w:p w:rsidR="00665160" w:rsidRPr="00912613" w:rsidRDefault="00665160" w:rsidP="00912613">
      <w:pPr>
        <w:spacing w:after="120"/>
      </w:pPr>
      <w:r>
        <w:rPr>
          <w:rStyle w:val="FootnoteReference"/>
        </w:rPr>
        <w:footnoteRef/>
      </w:r>
      <w:r>
        <w:t xml:space="preserve"> </w:t>
      </w:r>
      <w:r w:rsidRPr="00035CF5">
        <w:rPr>
          <w:i/>
          <w:sz w:val="20"/>
        </w:rPr>
        <w:t>See Petition for Rulemaking</w:t>
      </w:r>
      <w:r w:rsidRPr="00035CF5">
        <w:rPr>
          <w:sz w:val="20"/>
        </w:rPr>
        <w:t xml:space="preserve"> filed by the American National Standards Institute Accredited Committee C63 on September 27, 2011, RM-11652 (“ANSI ASC C63 petition”).</w:t>
      </w:r>
    </w:p>
  </w:footnote>
  <w:footnote w:id="132">
    <w:p w:rsidR="00665160" w:rsidRPr="005269E9" w:rsidRDefault="00665160" w:rsidP="00595105">
      <w:pPr>
        <w:pStyle w:val="FootnoteText"/>
      </w:pPr>
      <w:r>
        <w:rPr>
          <w:rStyle w:val="FootnoteReference"/>
        </w:rPr>
        <w:footnoteRef/>
      </w:r>
      <w:r>
        <w:t xml:space="preserve"> </w:t>
      </w:r>
      <w:r>
        <w:rPr>
          <w:i/>
        </w:rPr>
        <w:t>See</w:t>
      </w:r>
      <w:r>
        <w:t xml:space="preserve"> ANSI ASC C63 petition at 3.</w:t>
      </w:r>
    </w:p>
  </w:footnote>
  <w:footnote w:id="133">
    <w:p w:rsidR="00665160" w:rsidRDefault="00665160" w:rsidP="00595105">
      <w:pPr>
        <w:pStyle w:val="FootnoteText"/>
      </w:pPr>
      <w:r>
        <w:rPr>
          <w:rStyle w:val="FootnoteReference"/>
        </w:rPr>
        <w:footnoteRef/>
      </w:r>
      <w:r>
        <w:t xml:space="preserve"> </w:t>
      </w:r>
      <w:r>
        <w:rPr>
          <w:i/>
        </w:rPr>
        <w:t>See</w:t>
      </w:r>
      <w:r>
        <w:t xml:space="preserve"> ANSI ASC C63 petition at Appendix A.</w:t>
      </w:r>
    </w:p>
  </w:footnote>
  <w:footnote w:id="134">
    <w:p w:rsidR="00665160" w:rsidRPr="00A5626B" w:rsidRDefault="00665160" w:rsidP="00595105">
      <w:pPr>
        <w:pStyle w:val="FootnoteText"/>
        <w:rPr>
          <w:i/>
        </w:rPr>
      </w:pPr>
      <w:r>
        <w:rPr>
          <w:rStyle w:val="FootnoteReference"/>
        </w:rPr>
        <w:footnoteRef/>
      </w:r>
      <w:r>
        <w:t xml:space="preserve"> </w:t>
      </w:r>
      <w:r>
        <w:rPr>
          <w:i/>
        </w:rPr>
        <w:t>Id.</w:t>
      </w:r>
    </w:p>
  </w:footnote>
  <w:footnote w:id="135">
    <w:p w:rsidR="00665160" w:rsidRPr="00C61624" w:rsidRDefault="00665160" w:rsidP="00595105">
      <w:pPr>
        <w:pStyle w:val="FootnoteText"/>
      </w:pPr>
      <w:r>
        <w:rPr>
          <w:rStyle w:val="FootnoteReference"/>
        </w:rPr>
        <w:footnoteRef/>
      </w:r>
      <w:r>
        <w:t xml:space="preserve"> </w:t>
      </w:r>
      <w:r>
        <w:rPr>
          <w:i/>
        </w:rPr>
        <w:t>See Public Notice</w:t>
      </w:r>
      <w:r>
        <w:t>, Report No. 2944, RM-11652, rel. January 12, 2012.</w:t>
      </w:r>
    </w:p>
  </w:footnote>
  <w:footnote w:id="136">
    <w:p w:rsidR="00665160" w:rsidRPr="00025BCC" w:rsidRDefault="00665160" w:rsidP="00595105">
      <w:pPr>
        <w:pStyle w:val="FootnoteText"/>
      </w:pPr>
      <w:r>
        <w:rPr>
          <w:rStyle w:val="FootnoteReference"/>
        </w:rPr>
        <w:footnoteRef/>
      </w:r>
      <w:r>
        <w:t xml:space="preserve"> </w:t>
      </w:r>
      <w:r>
        <w:rPr>
          <w:i/>
        </w:rPr>
        <w:t>See</w:t>
      </w:r>
      <w:r>
        <w:t xml:space="preserve"> ITI comments at 1.</w:t>
      </w:r>
    </w:p>
  </w:footnote>
  <w:footnote w:id="137">
    <w:p w:rsidR="00665160" w:rsidRDefault="00665160" w:rsidP="00595105">
      <w:pPr>
        <w:pStyle w:val="FootnoteText"/>
      </w:pPr>
      <w:r>
        <w:rPr>
          <w:rStyle w:val="FootnoteReference"/>
        </w:rPr>
        <w:footnoteRef/>
      </w:r>
      <w:r>
        <w:t xml:space="preserve"> </w:t>
      </w:r>
      <w:r>
        <w:rPr>
          <w:i/>
        </w:rPr>
        <w:t>See</w:t>
      </w:r>
      <w:r>
        <w:t xml:space="preserve"> ITI comments at 2.  A hybrid antenna consists of two different types of antennas that are physically combined to function as a single antenna.  A hybrid antenna can receive over a wider range of frequencies than the individual types of antennas that it incorporates.</w:t>
      </w:r>
    </w:p>
  </w:footnote>
  <w:footnote w:id="138">
    <w:p w:rsidR="00665160" w:rsidRPr="00025BCC" w:rsidRDefault="00665160" w:rsidP="00595105">
      <w:pPr>
        <w:pStyle w:val="FootnoteText"/>
      </w:pPr>
      <w:r>
        <w:rPr>
          <w:rStyle w:val="FootnoteReference"/>
        </w:rPr>
        <w:footnoteRef/>
      </w:r>
      <w:r>
        <w:t xml:space="preserve"> </w:t>
      </w:r>
      <w:r>
        <w:rPr>
          <w:i/>
        </w:rPr>
        <w:t>See</w:t>
      </w:r>
      <w:r>
        <w:t xml:space="preserve"> ITI comments at 2.</w:t>
      </w:r>
    </w:p>
  </w:footnote>
  <w:footnote w:id="139">
    <w:p w:rsidR="00665160" w:rsidRPr="00025BCC" w:rsidRDefault="00665160" w:rsidP="00595105">
      <w:pPr>
        <w:pStyle w:val="FootnoteText"/>
      </w:pPr>
      <w:r>
        <w:rPr>
          <w:rStyle w:val="FootnoteReference"/>
        </w:rPr>
        <w:footnoteRef/>
      </w:r>
      <w:r>
        <w:t xml:space="preserve"> </w:t>
      </w:r>
      <w:r>
        <w:rPr>
          <w:i/>
        </w:rPr>
        <w:t>Id</w:t>
      </w:r>
      <w:r>
        <w:t>.</w:t>
      </w:r>
    </w:p>
  </w:footnote>
  <w:footnote w:id="140">
    <w:p w:rsidR="00665160" w:rsidRPr="00F35F6F" w:rsidRDefault="00665160" w:rsidP="00595105">
      <w:pPr>
        <w:pStyle w:val="FootnoteText"/>
      </w:pPr>
      <w:r>
        <w:rPr>
          <w:rStyle w:val="FootnoteReference"/>
        </w:rPr>
        <w:footnoteRef/>
      </w:r>
      <w:r>
        <w:t xml:space="preserve"> </w:t>
      </w:r>
      <w:r>
        <w:rPr>
          <w:i/>
        </w:rPr>
        <w:t>See</w:t>
      </w:r>
      <w:r>
        <w:t xml:space="preserve"> ITI comments at 2.  </w:t>
      </w:r>
      <w:r w:rsidRPr="00D04BE3">
        <w:t xml:space="preserve">The 2 dB </w:t>
      </w:r>
      <w:proofErr w:type="gramStart"/>
      <w:r w:rsidRPr="00D04BE3">
        <w:t>rule</w:t>
      </w:r>
      <w:proofErr w:type="gramEnd"/>
      <w:r w:rsidRPr="00D04BE3">
        <w:t xml:space="preserve"> is </w:t>
      </w:r>
      <w:r>
        <w:t xml:space="preserve">in Section 6.2.3 of C63.4-2009 and is </w:t>
      </w:r>
      <w:r w:rsidRPr="00D04BE3">
        <w:t xml:space="preserve">a </w:t>
      </w:r>
      <w:r>
        <w:t>method for</w:t>
      </w:r>
      <w:r w:rsidRPr="00D04BE3">
        <w:t xml:space="preserve"> determin</w:t>
      </w:r>
      <w:r>
        <w:t>ing</w:t>
      </w:r>
      <w:r w:rsidRPr="00D04BE3">
        <w:t xml:space="preserve"> the number of cables that need to be added to a large system</w:t>
      </w:r>
      <w:r>
        <w:t xml:space="preserve"> with multiple identical ports</w:t>
      </w:r>
      <w:r w:rsidRPr="00D04BE3">
        <w:t xml:space="preserve">.  </w:t>
      </w:r>
      <w:r>
        <w:t>This rule</w:t>
      </w:r>
      <w:r w:rsidRPr="00D04BE3">
        <w:t xml:space="preserve"> is </w:t>
      </w:r>
      <w:r>
        <w:t>intended</w:t>
      </w:r>
      <w:r w:rsidRPr="00D04BE3">
        <w:t xml:space="preserve"> </w:t>
      </w:r>
      <w:r>
        <w:t>to reduce the amount of testing.  No additional cables need to be added to equipment under test when t</w:t>
      </w:r>
      <w:r w:rsidRPr="00F35F6F">
        <w:t xml:space="preserve">here </w:t>
      </w:r>
      <w:r>
        <w:t>is</w:t>
      </w:r>
      <w:r w:rsidRPr="00F35F6F">
        <w:t xml:space="preserve"> an indication that the addition of cables changes the emission amplitude closest to the limit by 2 dB or less, and that this emission amplitude does not continue to rise as additional cables are attached. </w:t>
      </w:r>
      <w:r>
        <w:t xml:space="preserve"> </w:t>
      </w:r>
      <w:r w:rsidRPr="00F35F6F">
        <w:t xml:space="preserve">If the amplitude of the emission continues to rise as cables are added, then additional cables </w:t>
      </w:r>
      <w:r>
        <w:t>must</w:t>
      </w:r>
      <w:r w:rsidRPr="00F35F6F">
        <w:t xml:space="preserve"> be added even though the change in emission amplitude is less than 2 dB.</w:t>
      </w:r>
    </w:p>
  </w:footnote>
  <w:footnote w:id="141">
    <w:p w:rsidR="00665160" w:rsidRPr="0025268E" w:rsidRDefault="00665160" w:rsidP="00595105">
      <w:pPr>
        <w:pStyle w:val="FootnoteText"/>
      </w:pPr>
      <w:r>
        <w:rPr>
          <w:rStyle w:val="FootnoteReference"/>
        </w:rPr>
        <w:footnoteRef/>
      </w:r>
      <w:r>
        <w:t xml:space="preserve"> </w:t>
      </w:r>
      <w:r>
        <w:rPr>
          <w:i/>
        </w:rPr>
        <w:t xml:space="preserve">See </w:t>
      </w:r>
      <w:r>
        <w:t>ANSI ASC C63 reply comments at 2.</w:t>
      </w:r>
    </w:p>
  </w:footnote>
  <w:footnote w:id="142">
    <w:p w:rsidR="00665160" w:rsidRPr="0025268E" w:rsidRDefault="00665160" w:rsidP="00595105">
      <w:pPr>
        <w:pStyle w:val="FootnoteText"/>
      </w:pPr>
      <w:r>
        <w:rPr>
          <w:rStyle w:val="FootnoteReference"/>
        </w:rPr>
        <w:footnoteRef/>
      </w:r>
      <w:r>
        <w:t xml:space="preserve"> </w:t>
      </w:r>
      <w:r>
        <w:rPr>
          <w:i/>
        </w:rPr>
        <w:t xml:space="preserve">See </w:t>
      </w:r>
      <w:r>
        <w:t>ANSI ASC C63 reply comments at 4.</w:t>
      </w:r>
    </w:p>
  </w:footnote>
  <w:footnote w:id="143">
    <w:p w:rsidR="00665160" w:rsidRPr="0025268E" w:rsidRDefault="00665160" w:rsidP="00595105">
      <w:pPr>
        <w:pStyle w:val="FootnoteText"/>
      </w:pPr>
      <w:r>
        <w:rPr>
          <w:rStyle w:val="FootnoteReference"/>
        </w:rPr>
        <w:footnoteRef/>
      </w:r>
      <w:r>
        <w:t xml:space="preserve"> </w:t>
      </w:r>
      <w:r>
        <w:rPr>
          <w:i/>
        </w:rPr>
        <w:t xml:space="preserve">See </w:t>
      </w:r>
      <w:r>
        <w:t>ANSI ASC C63 reply comments at 5.</w:t>
      </w:r>
    </w:p>
  </w:footnote>
  <w:footnote w:id="144">
    <w:p w:rsidR="00665160" w:rsidRPr="0025268E" w:rsidRDefault="00665160" w:rsidP="00595105">
      <w:pPr>
        <w:pStyle w:val="FootnoteText"/>
      </w:pPr>
      <w:r>
        <w:rPr>
          <w:rStyle w:val="FootnoteReference"/>
        </w:rPr>
        <w:footnoteRef/>
      </w:r>
      <w:r>
        <w:t xml:space="preserve"> </w:t>
      </w:r>
      <w:r>
        <w:rPr>
          <w:i/>
        </w:rPr>
        <w:t xml:space="preserve">See </w:t>
      </w:r>
      <w:r>
        <w:t>ANSI ASC C63 reply comments at 6.</w:t>
      </w:r>
    </w:p>
  </w:footnote>
  <w:footnote w:id="145">
    <w:p w:rsidR="00665160" w:rsidRPr="00AC22AB" w:rsidRDefault="00665160">
      <w:pPr>
        <w:pStyle w:val="FootnoteText"/>
      </w:pPr>
      <w:r>
        <w:rPr>
          <w:rStyle w:val="FootnoteReference"/>
        </w:rPr>
        <w:footnoteRef/>
      </w:r>
      <w:r>
        <w:t xml:space="preserve"> </w:t>
      </w:r>
      <w:r>
        <w:rPr>
          <w:i/>
        </w:rPr>
        <w:t xml:space="preserve">See </w:t>
      </w:r>
      <w:r>
        <w:t>Sections 4.5.2, 6.2.12, 8.2.2, 9 and 14 of C63.4-2009.</w:t>
      </w:r>
    </w:p>
  </w:footnote>
  <w:footnote w:id="146">
    <w:p w:rsidR="00665160" w:rsidRPr="006C741B" w:rsidRDefault="00665160">
      <w:pPr>
        <w:pStyle w:val="FootnoteText"/>
      </w:pPr>
      <w:r>
        <w:rPr>
          <w:rStyle w:val="FootnoteReference"/>
        </w:rPr>
        <w:footnoteRef/>
      </w:r>
      <w:r>
        <w:t xml:space="preserve"> </w:t>
      </w:r>
      <w:r>
        <w:rPr>
          <w:i/>
        </w:rPr>
        <w:t>See</w:t>
      </w:r>
      <w:r>
        <w:t xml:space="preserve"> </w:t>
      </w:r>
      <w:r>
        <w:rPr>
          <w:i/>
        </w:rPr>
        <w:t>Procedure for Measuring Electromagnetic Emissions from Intentional and Unintentional Radiators</w:t>
      </w:r>
      <w:r>
        <w:t xml:space="preserve">, 8 FCC Rcd 4237 (1993) and </w:t>
      </w:r>
      <w:r>
        <w:rPr>
          <w:i/>
        </w:rPr>
        <w:t>Review of Part 15 and other Parts of the Commission’s Rules</w:t>
      </w:r>
      <w:r>
        <w:t>, 18 FCC Rcd 14760 (2003).</w:t>
      </w:r>
    </w:p>
  </w:footnote>
  <w:footnote w:id="147">
    <w:p w:rsidR="00665160" w:rsidRPr="005927B3" w:rsidRDefault="00665160">
      <w:pPr>
        <w:pStyle w:val="FootnoteText"/>
      </w:pPr>
      <w:r>
        <w:rPr>
          <w:rStyle w:val="FootnoteReference"/>
        </w:rPr>
        <w:footnoteRef/>
      </w:r>
      <w:r>
        <w:t xml:space="preserve"> </w:t>
      </w:r>
      <w:proofErr w:type="gramStart"/>
      <w:r>
        <w:rPr>
          <w:i/>
        </w:rPr>
        <w:t>See</w:t>
      </w:r>
      <w:r>
        <w:t xml:space="preserve"> 47 C.F.R. § 15.33(b)(1).</w:t>
      </w:r>
      <w:proofErr w:type="gramEnd"/>
    </w:p>
  </w:footnote>
  <w:footnote w:id="148">
    <w:p w:rsidR="00665160" w:rsidRPr="00914DDB" w:rsidRDefault="00665160" w:rsidP="00595105">
      <w:pPr>
        <w:pStyle w:val="FootnoteText"/>
      </w:pPr>
      <w:r>
        <w:rPr>
          <w:rStyle w:val="FootnoteReference"/>
        </w:rPr>
        <w:footnoteRef/>
      </w:r>
      <w:r>
        <w:t xml:space="preserve"> </w:t>
      </w:r>
      <w:r>
        <w:rPr>
          <w:i/>
        </w:rPr>
        <w:t>See</w:t>
      </w:r>
      <w:r>
        <w:t xml:space="preserve"> 47 C.F.R. § 15.38.</w:t>
      </w:r>
    </w:p>
  </w:footnote>
  <w:footnote w:id="149">
    <w:p w:rsidR="00665160" w:rsidRPr="009F5876" w:rsidRDefault="00665160" w:rsidP="00595105">
      <w:pPr>
        <w:pStyle w:val="FootnoteText"/>
      </w:pPr>
      <w:r>
        <w:rPr>
          <w:rStyle w:val="FootnoteReference"/>
        </w:rPr>
        <w:footnoteRef/>
      </w:r>
      <w:r>
        <w:t xml:space="preserve"> </w:t>
      </w:r>
      <w:proofErr w:type="gramStart"/>
      <w:r>
        <w:rPr>
          <w:i/>
        </w:rPr>
        <w:t xml:space="preserve">See </w:t>
      </w:r>
      <w:r>
        <w:t>47 C.F.R. §§ 2.948(d), 2.960 and 2.962.</w:t>
      </w:r>
      <w:proofErr w:type="gramEnd"/>
    </w:p>
  </w:footnote>
  <w:footnote w:id="150">
    <w:p w:rsidR="00665160" w:rsidRPr="009F5876" w:rsidRDefault="00665160" w:rsidP="00595105">
      <w:pPr>
        <w:pStyle w:val="FootnoteText"/>
      </w:pPr>
      <w:r>
        <w:rPr>
          <w:rStyle w:val="FootnoteReference"/>
        </w:rPr>
        <w:footnoteRef/>
      </w:r>
      <w:r>
        <w:t xml:space="preserve"> </w:t>
      </w:r>
      <w:r>
        <w:rPr>
          <w:i/>
        </w:rPr>
        <w:t>See</w:t>
      </w:r>
      <w:r>
        <w:t xml:space="preserve"> 47 C.F.R. § 0.241(a)(1).</w:t>
      </w:r>
    </w:p>
  </w:footnote>
  <w:footnote w:id="151">
    <w:p w:rsidR="00665160" w:rsidRDefault="00665160">
      <w:pPr>
        <w:pStyle w:val="FootnoteText"/>
      </w:pPr>
      <w:r>
        <w:rPr>
          <w:rStyle w:val="FootnoteReference"/>
        </w:rPr>
        <w:footnoteRef/>
      </w:r>
      <w:r>
        <w:t xml:space="preserve"> </w:t>
      </w:r>
      <w:r>
        <w:rPr>
          <w:i/>
        </w:rPr>
        <w:t>See</w:t>
      </w:r>
      <w:r>
        <w:t xml:space="preserve"> 5 U.S.C. § 553.</w:t>
      </w:r>
    </w:p>
  </w:footnote>
  <w:footnote w:id="152">
    <w:p w:rsidR="00665160" w:rsidRPr="00A00121" w:rsidRDefault="00665160">
      <w:pPr>
        <w:pStyle w:val="FootnoteText"/>
      </w:pPr>
      <w:r>
        <w:rPr>
          <w:rStyle w:val="FootnoteReference"/>
        </w:rPr>
        <w:footnoteRef/>
      </w:r>
      <w:r>
        <w:t xml:space="preserve"> </w:t>
      </w:r>
      <w:r>
        <w:rPr>
          <w:i/>
        </w:rPr>
        <w:t>See</w:t>
      </w:r>
      <w:r>
        <w:t xml:space="preserve"> 47 C.F.R. § 2.1033.</w:t>
      </w:r>
    </w:p>
  </w:footnote>
  <w:footnote w:id="153">
    <w:p w:rsidR="00665160" w:rsidRPr="00917C6C" w:rsidRDefault="00665160">
      <w:pPr>
        <w:pStyle w:val="FootnoteText"/>
      </w:pPr>
      <w:r>
        <w:rPr>
          <w:rStyle w:val="FootnoteReference"/>
        </w:rPr>
        <w:footnoteRef/>
      </w:r>
      <w:r>
        <w:t xml:space="preserve"> </w:t>
      </w:r>
      <w:proofErr w:type="gramStart"/>
      <w:r>
        <w:rPr>
          <w:i/>
        </w:rPr>
        <w:t>See</w:t>
      </w:r>
      <w:r>
        <w:t xml:space="preserve"> 47 C.F.R. §§ 2.955(a)(3)(vii) and 2.1075(a)(3)(vii).</w:t>
      </w:r>
      <w:proofErr w:type="gramEnd"/>
    </w:p>
  </w:footnote>
  <w:footnote w:id="154">
    <w:p w:rsidR="00665160" w:rsidRPr="005860AF" w:rsidRDefault="00665160" w:rsidP="00950612">
      <w:pPr>
        <w:spacing w:after="120"/>
      </w:pPr>
      <w:r>
        <w:rPr>
          <w:rStyle w:val="FootnoteReference"/>
        </w:rPr>
        <w:footnoteRef/>
      </w:r>
      <w:r>
        <w:t xml:space="preserve"> </w:t>
      </w:r>
      <w:r w:rsidRPr="005860AF">
        <w:rPr>
          <w:i/>
          <w:snapToGrid/>
          <w:kern w:val="0"/>
          <w:sz w:val="20"/>
        </w:rPr>
        <w:t xml:space="preserve">See 1998 Biennial Regulatory Review – Conducted Emissions Limits Below 30 MHz for Equipment Regulated under Parts 15 and </w:t>
      </w:r>
      <w:r w:rsidRPr="00A00121">
        <w:rPr>
          <w:snapToGrid/>
          <w:kern w:val="0"/>
          <w:sz w:val="20"/>
        </w:rPr>
        <w:t>18</w:t>
      </w:r>
      <w:r w:rsidRPr="005860AF">
        <w:rPr>
          <w:i/>
          <w:snapToGrid/>
          <w:kern w:val="0"/>
          <w:sz w:val="20"/>
        </w:rPr>
        <w:t xml:space="preserve"> of the Commission’s Rules</w:t>
      </w:r>
      <w:r>
        <w:rPr>
          <w:snapToGrid/>
          <w:kern w:val="0"/>
          <w:sz w:val="20"/>
        </w:rPr>
        <w:t>, 17 FCC Rcd 10806 (2002).</w:t>
      </w:r>
    </w:p>
  </w:footnote>
  <w:footnote w:id="155">
    <w:p w:rsidR="00665160" w:rsidRPr="00A00121" w:rsidRDefault="00665160">
      <w:pPr>
        <w:pStyle w:val="FootnoteText"/>
      </w:pPr>
      <w:r>
        <w:rPr>
          <w:rStyle w:val="FootnoteReference"/>
        </w:rPr>
        <w:footnoteRef/>
      </w:r>
      <w:r>
        <w:t xml:space="preserve"> </w:t>
      </w:r>
      <w:r>
        <w:rPr>
          <w:i/>
        </w:rPr>
        <w:t>See</w:t>
      </w:r>
      <w:r>
        <w:t xml:space="preserve"> 47 C.F.R. § 15.31(a)(3).</w:t>
      </w:r>
    </w:p>
  </w:footnote>
  <w:footnote w:id="156">
    <w:p w:rsidR="00665160" w:rsidRPr="00950612" w:rsidRDefault="00665160">
      <w:pPr>
        <w:pStyle w:val="FootnoteText"/>
      </w:pPr>
      <w:r>
        <w:rPr>
          <w:rStyle w:val="FootnoteReference"/>
        </w:rPr>
        <w:footnoteRef/>
      </w:r>
      <w:r>
        <w:t xml:space="preserve"> </w:t>
      </w:r>
      <w:proofErr w:type="gramStart"/>
      <w:r>
        <w:rPr>
          <w:i/>
        </w:rPr>
        <w:t xml:space="preserve">See </w:t>
      </w:r>
      <w:r>
        <w:t>47 C.F.R. § 15.109(g)(1).</w:t>
      </w:r>
      <w:proofErr w:type="gramEnd"/>
      <w:r>
        <w:t xml:space="preserve">  This section requires that digital devices meeting in the limits in Section 15.109(g) be tested in accordance with the procedure specified in Part 15, which is the ANSI C63.4 procedure.</w:t>
      </w:r>
    </w:p>
  </w:footnote>
  <w:footnote w:id="157">
    <w:p w:rsidR="00665160" w:rsidRPr="00A23FA3" w:rsidRDefault="00665160" w:rsidP="00CD0E7B">
      <w:pPr>
        <w:pStyle w:val="FootnoteText"/>
      </w:pPr>
      <w:r>
        <w:rPr>
          <w:rStyle w:val="FootnoteReference"/>
        </w:rPr>
        <w:footnoteRef/>
      </w:r>
      <w:r>
        <w:t xml:space="preserve"> </w:t>
      </w:r>
      <w:r w:rsidRPr="00CD0E7B">
        <w:t xml:space="preserve"> </w:t>
      </w:r>
      <w:r>
        <w:t xml:space="preserve">We would also allow unaccredited laboratories that are already listed as of the effective date of the rules to </w:t>
      </w:r>
      <w:r w:rsidRPr="00A23FA3">
        <w:t xml:space="preserve">submit minor changes to their files during the transition period.  </w:t>
      </w:r>
      <w:r>
        <w:t>Examples of such changes would</w:t>
      </w:r>
      <w:r w:rsidRPr="00A23FA3">
        <w:t xml:space="preserve"> </w:t>
      </w:r>
      <w:r>
        <w:t>include</w:t>
      </w:r>
      <w:r w:rsidRPr="00A23FA3">
        <w:t xml:space="preserve"> renewals </w:t>
      </w:r>
      <w:r>
        <w:t>of listings</w:t>
      </w:r>
      <w:r w:rsidRPr="00A23FA3">
        <w:t xml:space="preserve">, address corrections or certain changes to the physical conditions.  We would not allow </w:t>
      </w:r>
      <w:r>
        <w:t xml:space="preserve">the </w:t>
      </w:r>
      <w:r w:rsidRPr="00A23FA3">
        <w:t xml:space="preserve">addition of new </w:t>
      </w:r>
      <w:r>
        <w:t xml:space="preserve">anechoic </w:t>
      </w:r>
      <w:r w:rsidRPr="00A23FA3">
        <w:t xml:space="preserve">chambers or </w:t>
      </w:r>
      <w:r>
        <w:t xml:space="preserve">other </w:t>
      </w:r>
      <w:r w:rsidRPr="00A23FA3">
        <w:t>major modification to facilities that require a complete new evaluation.</w:t>
      </w:r>
    </w:p>
  </w:footnote>
  <w:footnote w:id="158">
    <w:p w:rsidR="00665160" w:rsidRDefault="00665160" w:rsidP="0035523B">
      <w:pPr>
        <w:pStyle w:val="FootnoteText"/>
        <w:rPr>
          <w:i/>
          <w:iCs/>
          <w:lang w:val="fr-FR"/>
        </w:rPr>
      </w:pPr>
      <w:r>
        <w:rPr>
          <w:rStyle w:val="FootnoteReference"/>
        </w:rPr>
        <w:footnoteRef/>
      </w:r>
      <w:r>
        <w:rPr>
          <w:lang w:val="fr-FR"/>
        </w:rPr>
        <w:t xml:space="preserve"> </w:t>
      </w:r>
      <w:r w:rsidRPr="00CD0E7B">
        <w:rPr>
          <w:i/>
        </w:rPr>
        <w:t>See</w:t>
      </w:r>
      <w:r>
        <w:rPr>
          <w:i/>
          <w:lang w:val="fr-FR"/>
        </w:rPr>
        <w:t xml:space="preserve"> </w:t>
      </w:r>
      <w:r>
        <w:rPr>
          <w:lang w:val="fr-FR"/>
        </w:rPr>
        <w:t xml:space="preserve">47 C.F.R. §§ 1.1200 </w:t>
      </w:r>
      <w:proofErr w:type="gramStart"/>
      <w:r>
        <w:rPr>
          <w:i/>
          <w:iCs/>
          <w:lang w:val="fr-FR"/>
        </w:rPr>
        <w:t>et</w:t>
      </w:r>
      <w:proofErr w:type="gramEnd"/>
      <w:r>
        <w:rPr>
          <w:i/>
          <w:iCs/>
          <w:lang w:val="fr-FR"/>
        </w:rPr>
        <w:t xml:space="preserve"> seq.</w:t>
      </w:r>
    </w:p>
  </w:footnote>
  <w:footnote w:id="159">
    <w:p w:rsidR="00665160" w:rsidRDefault="00665160" w:rsidP="00FB0A89">
      <w:pPr>
        <w:pStyle w:val="FootnoteText"/>
      </w:pPr>
      <w:r>
        <w:rPr>
          <w:rStyle w:val="FootnoteReference"/>
        </w:rPr>
        <w:footnoteRef/>
      </w:r>
      <w:r>
        <w:t xml:space="preserve"> </w:t>
      </w:r>
      <w:r>
        <w:rPr>
          <w:i/>
        </w:rPr>
        <w:t>See</w:t>
      </w:r>
      <w:r>
        <w:t xml:space="preserve"> 5 U.S.C. § 603.  </w:t>
      </w:r>
      <w:proofErr w:type="gramStart"/>
      <w:r>
        <w:t xml:space="preserve">The RFA, </w:t>
      </w:r>
      <w:r>
        <w:rPr>
          <w:i/>
        </w:rPr>
        <w:t>see</w:t>
      </w:r>
      <w:r>
        <w:t xml:space="preserve"> 5 U.S.C. § 601 – 612, has been amended by the Small Business Regulatory Enforcement Fairness Act of 1996 (SBREFA), Pub</w:t>
      </w:r>
      <w:proofErr w:type="gramEnd"/>
      <w:r>
        <w:t>. L. No. 104-121, Title II, 110 Stat. 857 (1996).</w:t>
      </w:r>
    </w:p>
  </w:footnote>
  <w:footnote w:id="160">
    <w:p w:rsidR="00665160" w:rsidRDefault="00665160" w:rsidP="00FB0A89">
      <w:pPr>
        <w:pStyle w:val="FootnoteText"/>
      </w:pPr>
      <w:r>
        <w:rPr>
          <w:rStyle w:val="FootnoteReference"/>
        </w:rPr>
        <w:footnoteRef/>
      </w:r>
      <w:r>
        <w:t xml:space="preserve"> </w:t>
      </w:r>
      <w:r>
        <w:rPr>
          <w:i/>
        </w:rPr>
        <w:t>See</w:t>
      </w:r>
      <w:r>
        <w:t xml:space="preserve"> 5 U.S.C. § 603(a).</w:t>
      </w:r>
    </w:p>
  </w:footnote>
  <w:footnote w:id="161">
    <w:p w:rsidR="00665160" w:rsidRDefault="00665160" w:rsidP="00FB0A89">
      <w:pPr>
        <w:pStyle w:val="FootnoteText"/>
      </w:pPr>
      <w:r>
        <w:rPr>
          <w:rStyle w:val="FootnoteReference"/>
        </w:rPr>
        <w:footnoteRef/>
      </w:r>
      <w:r>
        <w:t xml:space="preserve"> </w:t>
      </w:r>
      <w:r>
        <w:rPr>
          <w:i/>
        </w:rPr>
        <w:t>See</w:t>
      </w:r>
      <w:r>
        <w:t xml:space="preserve"> 5 U.S.C. § 603(a).</w:t>
      </w:r>
    </w:p>
  </w:footnote>
  <w:footnote w:id="162">
    <w:p w:rsidR="00665160" w:rsidRDefault="00665160" w:rsidP="00FB0A89">
      <w:pPr>
        <w:pStyle w:val="FootnoteText"/>
      </w:pPr>
      <w:r>
        <w:rPr>
          <w:rStyle w:val="FootnoteReference"/>
        </w:rPr>
        <w:footnoteRef/>
      </w:r>
      <w:r>
        <w:t xml:space="preserve"> </w:t>
      </w:r>
      <w:proofErr w:type="gramStart"/>
      <w:r>
        <w:rPr>
          <w:i/>
        </w:rPr>
        <w:t xml:space="preserve">See </w:t>
      </w:r>
      <w:r>
        <w:t>5 U.S.C. § 603(b)(3).</w:t>
      </w:r>
      <w:proofErr w:type="gramEnd"/>
    </w:p>
  </w:footnote>
  <w:footnote w:id="163">
    <w:p w:rsidR="00665160" w:rsidRDefault="00665160" w:rsidP="00FB0A89">
      <w:pPr>
        <w:pStyle w:val="FootnoteText"/>
      </w:pPr>
      <w:r>
        <w:rPr>
          <w:rStyle w:val="FootnoteReference"/>
        </w:rPr>
        <w:footnoteRef/>
      </w:r>
      <w:r>
        <w:t xml:space="preserve"> </w:t>
      </w:r>
      <w:r>
        <w:rPr>
          <w:i/>
        </w:rPr>
        <w:t>See</w:t>
      </w:r>
      <w:r>
        <w:t xml:space="preserve"> 5 U.S.C. § 601(6).</w:t>
      </w:r>
    </w:p>
  </w:footnote>
  <w:footnote w:id="164">
    <w:p w:rsidR="00665160" w:rsidRDefault="00665160" w:rsidP="00FB0A89">
      <w:pPr>
        <w:pStyle w:val="FootnoteText"/>
      </w:pPr>
      <w:r>
        <w:rPr>
          <w:rStyle w:val="FootnoteReference"/>
        </w:rPr>
        <w:footnoteRef/>
      </w:r>
      <w:r>
        <w:t xml:space="preserve"> </w:t>
      </w:r>
      <w:r>
        <w:rPr>
          <w:i/>
        </w:rPr>
        <w:t xml:space="preserve">See </w:t>
      </w:r>
      <w:r>
        <w:t>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65">
    <w:p w:rsidR="00665160" w:rsidRDefault="00665160" w:rsidP="00FB0A89">
      <w:pPr>
        <w:pStyle w:val="FootnoteText"/>
      </w:pPr>
      <w:r>
        <w:rPr>
          <w:rStyle w:val="FootnoteReference"/>
        </w:rPr>
        <w:footnoteRef/>
      </w:r>
      <w:r>
        <w:t xml:space="preserve"> </w:t>
      </w:r>
      <w:r>
        <w:rPr>
          <w:i/>
        </w:rPr>
        <w:t xml:space="preserve">See </w:t>
      </w:r>
      <w:r>
        <w:t>15 U.S.C. § 632.</w:t>
      </w:r>
    </w:p>
  </w:footnote>
  <w:footnote w:id="166">
    <w:p w:rsidR="00665160" w:rsidRPr="00D15B65" w:rsidRDefault="00665160" w:rsidP="002F7F96">
      <w:pPr>
        <w:pStyle w:val="FootnoteText"/>
      </w:pPr>
      <w:r w:rsidRPr="00D15B65">
        <w:rPr>
          <w:rStyle w:val="FootnoteReference"/>
        </w:rPr>
        <w:footnoteRef/>
      </w:r>
      <w:r w:rsidRPr="00D15B65">
        <w:t xml:space="preserve"> The NAICS Code for this service 334220.  </w:t>
      </w:r>
      <w:r w:rsidRPr="00D15B65">
        <w:rPr>
          <w:i/>
        </w:rPr>
        <w:t>See</w:t>
      </w:r>
      <w:r w:rsidRPr="00D15B65">
        <w:t xml:space="preserve"> 13 C.F.R 121/201.  </w:t>
      </w:r>
      <w:r w:rsidRPr="00D15B65">
        <w:rPr>
          <w:i/>
        </w:rPr>
        <w:t>See also</w:t>
      </w:r>
      <w:r w:rsidRPr="00D15B65">
        <w:t xml:space="preserve"> </w:t>
      </w:r>
      <w:hyperlink r:id="rId16" w:history="1">
        <w:r w:rsidRPr="00D15B65">
          <w:rPr>
            <w:rStyle w:val="Hyperlink"/>
          </w:rPr>
          <w:t>http://factfinder.census.gov/servlet/IBQTable?_bm=y&amp;-fds_name=EC0700A1&amp;-geo_id=&amp;-_skip=300&amp;-ds_name=EC0731SG2&amp;-_lang=en</w:t>
        </w:r>
      </w:hyperlink>
      <w:r w:rsidRPr="00D15B65">
        <w:t xml:space="preserve"> </w:t>
      </w:r>
    </w:p>
  </w:footnote>
  <w:footnote w:id="167">
    <w:p w:rsidR="00665160" w:rsidRPr="00D15B65" w:rsidRDefault="00665160" w:rsidP="00FD759F">
      <w:pPr>
        <w:spacing w:after="120"/>
        <w:rPr>
          <w:sz w:val="20"/>
        </w:rPr>
      </w:pPr>
      <w:r w:rsidRPr="00D15B65">
        <w:rPr>
          <w:rStyle w:val="FootnoteReference"/>
          <w:sz w:val="20"/>
        </w:rPr>
        <w:footnoteRef/>
      </w:r>
      <w:r w:rsidRPr="00D15B65">
        <w:rPr>
          <w:sz w:val="20"/>
        </w:rPr>
        <w:t xml:space="preserve"> </w:t>
      </w:r>
      <w:r w:rsidRPr="00D15B65">
        <w:rPr>
          <w:i/>
          <w:sz w:val="20"/>
        </w:rPr>
        <w:t xml:space="preserve">See </w:t>
      </w:r>
      <w:hyperlink r:id="rId17" w:tooltip="http://factfinder.census.gov/servlet/IBQTable?_bm=y&amp;-geo_id=&amp;-fds_name=EC0700A1&amp;-_skip=4500&amp;-ds_name=EC0731SG3&amp;-_lang=en" w:history="1">
        <w:r w:rsidRPr="00D15B65">
          <w:rPr>
            <w:rStyle w:val="Hyperlink"/>
            <w:rFonts w:cs="Arial"/>
            <w:sz w:val="20"/>
          </w:rPr>
          <w:t>http://factfinder.census.gov/servlet/IBQTable?_bm=y&amp;-geo_id=&amp;-fds_name=EC0700A1&amp;-_skip=4500&amp;-ds_name=EC0731SG3&amp;-_lang=en</w:t>
        </w:r>
      </w:hyperlink>
    </w:p>
  </w:footnote>
  <w:footnote w:id="168">
    <w:p w:rsidR="00665160" w:rsidRDefault="00665160" w:rsidP="00854E57">
      <w:pPr>
        <w:pStyle w:val="FootnoteText"/>
      </w:pPr>
      <w:r>
        <w:rPr>
          <w:rStyle w:val="FootnoteReference"/>
        </w:rPr>
        <w:footnoteRef/>
      </w:r>
      <w:r>
        <w:t xml:space="preserve"> </w:t>
      </w:r>
      <w:r>
        <w:rPr>
          <w:i/>
        </w:rPr>
        <w:t>See</w:t>
      </w:r>
      <w:r>
        <w:t xml:space="preserve"> 47 C.F.R. § 2.907.</w:t>
      </w:r>
    </w:p>
  </w:footnote>
  <w:footnote w:id="169">
    <w:p w:rsidR="00665160" w:rsidRDefault="00665160" w:rsidP="002F41FE">
      <w:pPr>
        <w:pStyle w:val="FootnoteText"/>
      </w:pPr>
      <w:r>
        <w:rPr>
          <w:rStyle w:val="FootnoteReference"/>
        </w:rPr>
        <w:footnoteRef/>
      </w:r>
      <w:r w:rsidRPr="001332D5">
        <w:t xml:space="preserve"> </w:t>
      </w:r>
      <w:r>
        <w:rPr>
          <w:i/>
        </w:rPr>
        <w:t xml:space="preserve">See </w:t>
      </w:r>
      <w:r w:rsidRPr="001332D5">
        <w:t>47 C.F.R. § 2.906</w:t>
      </w:r>
      <w:r>
        <w:t xml:space="preserve">.  The party responsible for compliance is defined in </w:t>
      </w:r>
      <w:r w:rsidRPr="001332D5">
        <w:t>47 C.F.R. § 2.909.</w:t>
      </w:r>
    </w:p>
  </w:footnote>
  <w:footnote w:id="170">
    <w:p w:rsidR="00665160" w:rsidRDefault="00665160" w:rsidP="002F41FE">
      <w:pPr>
        <w:pStyle w:val="FootnoteText"/>
      </w:pPr>
      <w:r>
        <w:rPr>
          <w:rStyle w:val="FootnoteReference"/>
        </w:rPr>
        <w:footnoteRef/>
      </w:r>
      <w:r>
        <w:t xml:space="preserve"> </w:t>
      </w:r>
      <w:r>
        <w:rPr>
          <w:i/>
        </w:rPr>
        <w:t xml:space="preserve">See </w:t>
      </w:r>
      <w:r>
        <w:t>47 C.F.R. §§ 2.1077 and 15.19(a)(3)</w:t>
      </w:r>
      <w:r w:rsidRPr="001332D5">
        <w:t>.</w:t>
      </w:r>
    </w:p>
  </w:footnote>
  <w:footnote w:id="171">
    <w:p w:rsidR="00665160" w:rsidRDefault="00665160" w:rsidP="002F41FE">
      <w:pPr>
        <w:pStyle w:val="FootnoteText"/>
      </w:pPr>
      <w:r>
        <w:rPr>
          <w:rStyle w:val="FootnoteReference"/>
        </w:rPr>
        <w:footnoteRef/>
      </w:r>
      <w:r>
        <w:t xml:space="preserve"> </w:t>
      </w:r>
      <w:r w:rsidRPr="00651801">
        <w:rPr>
          <w:i/>
        </w:rPr>
        <w:t>See</w:t>
      </w:r>
      <w:r>
        <w:t xml:space="preserve"> </w:t>
      </w:r>
      <w:r w:rsidRPr="00651801">
        <w:t>47</w:t>
      </w:r>
      <w:r>
        <w:t xml:space="preserve"> C.F.R. § 2.956.</w:t>
      </w:r>
    </w:p>
  </w:footnote>
  <w:footnote w:id="172">
    <w:p w:rsidR="00665160" w:rsidRDefault="00665160" w:rsidP="002F41FE">
      <w:pPr>
        <w:pStyle w:val="FootnoteText"/>
      </w:pPr>
      <w:r>
        <w:rPr>
          <w:rStyle w:val="FootnoteReference"/>
        </w:rPr>
        <w:footnoteRef/>
      </w:r>
      <w:r>
        <w:t xml:space="preserve"> </w:t>
      </w:r>
      <w:proofErr w:type="gramStart"/>
      <w:r w:rsidRPr="00F10F3D">
        <w:rPr>
          <w:i/>
        </w:rPr>
        <w:t>See</w:t>
      </w:r>
      <w:r>
        <w:t xml:space="preserve"> 47 C.F.R. §§ 15.101(a) and 18.203(a).</w:t>
      </w:r>
      <w:proofErr w:type="gramEnd"/>
      <w:r>
        <w:t xml:space="preserve"> </w:t>
      </w:r>
      <w:r w:rsidRPr="00F10F3D">
        <w:t>Although</w:t>
      </w:r>
      <w:r>
        <w:t xml:space="preserve"> the Commission rules require Class B personal computers and peripherals to be authorized under either the DoC or certification procedure, the Commission does not certify such equipment.  Manufacturers may only obtain certification for Class B personal computers and peripherals through a TCB.  </w:t>
      </w:r>
      <w:r>
        <w:rPr>
          <w:i/>
        </w:rPr>
        <w:t xml:space="preserve">See </w:t>
      </w:r>
      <w:r w:rsidRPr="00C16853">
        <w:rPr>
          <w:i/>
        </w:rPr>
        <w:t>FCC Will No Longer Accept Equipment Authorization Applications For Class B Computers and Peripherals That Can Be Self-Approved</w:t>
      </w:r>
      <w:r>
        <w:t xml:space="preserve">, </w:t>
      </w:r>
      <w:r>
        <w:rPr>
          <w:i/>
        </w:rPr>
        <w:t>Public Notice</w:t>
      </w:r>
      <w:r>
        <w:t xml:space="preserve">, </w:t>
      </w:r>
      <w:r w:rsidRPr="002469C7">
        <w:rPr>
          <w:snapToGrid w:val="0"/>
          <w:color w:val="000000"/>
          <w:kern w:val="28"/>
        </w:rPr>
        <w:t>15 FCC Rcd. 25484</w:t>
      </w:r>
      <w:r>
        <w:t xml:space="preserve"> (rel. September 29, 2000).</w:t>
      </w:r>
    </w:p>
  </w:footnote>
  <w:footnote w:id="173">
    <w:p w:rsidR="00665160" w:rsidRDefault="00665160" w:rsidP="002F41FE">
      <w:pPr>
        <w:pStyle w:val="FootnoteText"/>
      </w:pPr>
      <w:r>
        <w:rPr>
          <w:rStyle w:val="FootnoteReference"/>
        </w:rPr>
        <w:footnoteRef/>
      </w:r>
      <w:r>
        <w:t xml:space="preserve"> </w:t>
      </w:r>
      <w:proofErr w:type="gramStart"/>
      <w:r>
        <w:rPr>
          <w:i/>
        </w:rPr>
        <w:t xml:space="preserve">See </w:t>
      </w:r>
      <w:r>
        <w:t>47 C.F.R. §§ 2.909(b) and 2.953.</w:t>
      </w:r>
      <w:proofErr w:type="gramEnd"/>
    </w:p>
  </w:footnote>
  <w:footnote w:id="174">
    <w:p w:rsidR="00665160" w:rsidRDefault="00665160" w:rsidP="002F41FE">
      <w:pPr>
        <w:pStyle w:val="FootnoteText"/>
      </w:pPr>
      <w:r>
        <w:rPr>
          <w:rStyle w:val="FootnoteReference"/>
        </w:rPr>
        <w:footnoteRef/>
      </w:r>
      <w:r>
        <w:t xml:space="preserve"> </w:t>
      </w:r>
      <w:r>
        <w:rPr>
          <w:i/>
        </w:rPr>
        <w:t>See</w:t>
      </w:r>
      <w:r>
        <w:t xml:space="preserve"> 47 C.F.R. § 2.956.</w:t>
      </w:r>
    </w:p>
  </w:footnote>
  <w:footnote w:id="175">
    <w:p w:rsidR="00665160" w:rsidRDefault="00665160" w:rsidP="002F41FE">
      <w:pPr>
        <w:pStyle w:val="FootnoteText"/>
      </w:pPr>
      <w:r>
        <w:rPr>
          <w:rStyle w:val="FootnoteReference"/>
        </w:rPr>
        <w:footnoteRef/>
      </w:r>
      <w:r>
        <w:t xml:space="preserve"> </w:t>
      </w:r>
      <w:r w:rsidRPr="00F10F3D">
        <w:rPr>
          <w:i/>
        </w:rPr>
        <w:t>See</w:t>
      </w:r>
      <w:r>
        <w:t xml:space="preserve"> 47 C.F.R. §§ 15.101(a) and 18.203(b).</w:t>
      </w:r>
    </w:p>
  </w:footnote>
  <w:footnote w:id="176">
    <w:p w:rsidR="00665160" w:rsidRDefault="00665160" w:rsidP="002F41FE">
      <w:pPr>
        <w:pStyle w:val="FootnoteText"/>
      </w:pPr>
      <w:r>
        <w:rPr>
          <w:rStyle w:val="FootnoteReference"/>
        </w:rPr>
        <w:footnoteRef/>
      </w:r>
      <w:r>
        <w:t xml:space="preserve"> </w:t>
      </w:r>
      <w:r w:rsidRPr="00320939">
        <w:rPr>
          <w:i/>
        </w:rPr>
        <w:t>See</w:t>
      </w:r>
      <w:r w:rsidRPr="00320939">
        <w:t xml:space="preserve"> 47 C.F.R. § 2.954</w:t>
      </w:r>
      <w:r>
        <w:t>.</w:t>
      </w:r>
    </w:p>
  </w:footnote>
  <w:footnote w:id="177">
    <w:p w:rsidR="00665160" w:rsidRDefault="00665160" w:rsidP="002F41FE">
      <w:pPr>
        <w:pStyle w:val="FootnoteText"/>
      </w:pPr>
      <w:r>
        <w:rPr>
          <w:rStyle w:val="FootnoteReference"/>
        </w:rPr>
        <w:footnoteRef/>
      </w:r>
      <w:r>
        <w:t xml:space="preserve"> </w:t>
      </w:r>
      <w:proofErr w:type="gramStart"/>
      <w:r>
        <w:rPr>
          <w:i/>
        </w:rPr>
        <w:t>See</w:t>
      </w:r>
      <w:r>
        <w:t xml:space="preserve"> 47 C.F.R. § 2.948(a)(3), (d).</w:t>
      </w:r>
      <w:proofErr w:type="gramEnd"/>
      <w:r>
        <w:t xml:space="preserve">  </w:t>
      </w:r>
      <w:proofErr w:type="gramStart"/>
      <w:r>
        <w:t>DoC-authorized devices must be tested by a test laboratory that has been accredited by the National Voluntary Laboratory Accreditation Program (NVLAP) or the American Association of Laboratory Accreditation (A2LA), or by an accredited laboratory designated by the Commission under the terms of a negotiated MRA</w:t>
      </w:r>
      <w:proofErr w:type="gramEnd"/>
      <w:r>
        <w:t xml:space="preserve">.  </w:t>
      </w:r>
      <w:proofErr w:type="gramStart"/>
      <w:r>
        <w:rPr>
          <w:i/>
        </w:rPr>
        <w:t>See</w:t>
      </w:r>
      <w:r>
        <w:t xml:space="preserve"> 47 C.F.R. § 2.948(a)(3), (d), (e).</w:t>
      </w:r>
      <w:proofErr w:type="gramEnd"/>
    </w:p>
  </w:footnote>
  <w:footnote w:id="178">
    <w:p w:rsidR="00665160" w:rsidRDefault="00665160" w:rsidP="002F41FE">
      <w:pPr>
        <w:pStyle w:val="FootnoteText"/>
      </w:pPr>
      <w:r>
        <w:rPr>
          <w:rStyle w:val="FootnoteReference"/>
        </w:rPr>
        <w:footnoteRef/>
      </w:r>
      <w:r>
        <w:t xml:space="preserve"> </w:t>
      </w:r>
      <w:r>
        <w:rPr>
          <w:i/>
        </w:rPr>
        <w:t>See</w:t>
      </w:r>
      <w:r>
        <w:t xml:space="preserve"> 47 C.F.R. § 2.948(a)(2).  To become listed with the Commission, a testing laboratory must file a description of its measurement facilities with the Commission’s Laboratory.  An accredited laboratory may become listed by filing certain information about itself, but does not need to file a complete description of its measurement facilities.</w:t>
      </w:r>
    </w:p>
  </w:footnote>
  <w:footnote w:id="179">
    <w:p w:rsidR="00665160" w:rsidRDefault="00665160" w:rsidP="002F41FE">
      <w:pPr>
        <w:pStyle w:val="FootnoteText"/>
      </w:pPr>
      <w:r>
        <w:rPr>
          <w:rStyle w:val="FootnoteReference"/>
        </w:rPr>
        <w:footnoteRef/>
      </w:r>
      <w:r>
        <w:t xml:space="preserve"> </w:t>
      </w:r>
      <w:proofErr w:type="gramStart"/>
      <w:r>
        <w:rPr>
          <w:i/>
        </w:rPr>
        <w:t>See</w:t>
      </w:r>
      <w:r>
        <w:t xml:space="preserve"> 47 C.F.R. §§ 2.947, 2.948(a)(1).</w:t>
      </w:r>
      <w:proofErr w:type="gramEnd"/>
      <w:r>
        <w:t xml:space="preserve"> </w:t>
      </w:r>
    </w:p>
  </w:footnote>
  <w:footnote w:id="180">
    <w:p w:rsidR="00665160" w:rsidRDefault="00665160" w:rsidP="002F41FE">
      <w:pPr>
        <w:pStyle w:val="FootnoteText"/>
      </w:pPr>
      <w:r>
        <w:rPr>
          <w:rStyle w:val="FootnoteReference"/>
        </w:rPr>
        <w:footnoteRef/>
      </w:r>
      <w:r>
        <w:t xml:space="preserve"> </w:t>
      </w:r>
      <w:r>
        <w:rPr>
          <w:i/>
        </w:rPr>
        <w:t>See</w:t>
      </w:r>
      <w:r>
        <w:t xml:space="preserve"> 47 C.F.R. §§ 2.946 and 2.1076.</w:t>
      </w:r>
    </w:p>
  </w:footnote>
  <w:footnote w:id="181">
    <w:p w:rsidR="00665160" w:rsidRPr="00CB1C06" w:rsidRDefault="00665160" w:rsidP="002F41FE">
      <w:pPr>
        <w:pStyle w:val="FootnoteText"/>
      </w:pPr>
      <w:r>
        <w:rPr>
          <w:rStyle w:val="FootnoteReference"/>
        </w:rPr>
        <w:footnoteRef/>
      </w:r>
      <w:r>
        <w:t xml:space="preserve"> </w:t>
      </w:r>
      <w:proofErr w:type="gramStart"/>
      <w:r>
        <w:rPr>
          <w:i/>
        </w:rPr>
        <w:t>See</w:t>
      </w:r>
      <w:r>
        <w:t xml:space="preserve"> 47 C.F.R. § 2.962(g)(2).</w:t>
      </w:r>
      <w:proofErr w:type="gramEnd"/>
    </w:p>
  </w:footnote>
  <w:footnote w:id="182">
    <w:p w:rsidR="00665160" w:rsidRDefault="00665160" w:rsidP="00FB0A89">
      <w:pPr>
        <w:pStyle w:val="FootnoteText"/>
      </w:pPr>
      <w:r>
        <w:rPr>
          <w:rStyle w:val="FootnoteReference"/>
        </w:rPr>
        <w:footnoteRef/>
      </w:r>
      <w:r>
        <w:t xml:space="preserve"> </w:t>
      </w:r>
      <w:proofErr w:type="gramStart"/>
      <w:r>
        <w:rPr>
          <w:i/>
        </w:rPr>
        <w:t>See</w:t>
      </w:r>
      <w:r>
        <w:t xml:space="preserve"> 5 U.S.C. § 603(c)(1) – (c)(4).</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77B" w:rsidRDefault="000D57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60" w:rsidRDefault="00665160">
    <w:pPr>
      <w:pStyle w:val="Header"/>
      <w:pBdr>
        <w:bottom w:val="single" w:sz="12" w:space="1" w:color="auto"/>
      </w:pBdr>
      <w:rPr>
        <w:b w:val="0"/>
      </w:rPr>
    </w:pPr>
    <w:r>
      <w:tab/>
      <w:t>Federal Communications Commission</w:t>
    </w:r>
    <w:r>
      <w:tab/>
      <w:t>FCC 13-19</w:t>
    </w:r>
  </w:p>
  <w:p w:rsidR="00665160" w:rsidRDefault="00665160">
    <w:pPr>
      <w:tabs>
        <w:tab w:val="left" w:pos="-720"/>
      </w:tabs>
      <w:suppressAutoHyphens/>
      <w:spacing w:line="19" w:lineRule="exact"/>
      <w:rPr>
        <w:spacing w:val="-2"/>
      </w:rPr>
    </w:pPr>
  </w:p>
  <w:p w:rsidR="00665160" w:rsidRPr="00804790" w:rsidRDefault="00665160">
    <w:pPr>
      <w:spacing w:after="389" w:line="100" w:lineRule="exact"/>
      <w:rPr>
        <w:b/>
        <w:sz w:val="1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60" w:rsidRDefault="00665160">
    <w:pPr>
      <w:pStyle w:val="Header"/>
      <w:pBdr>
        <w:bottom w:val="single" w:sz="12" w:space="1" w:color="auto"/>
      </w:pBdr>
      <w:rPr>
        <w:b w:val="0"/>
      </w:rPr>
    </w:pPr>
    <w:r>
      <w:tab/>
      <w:t>Federal Communications Commission</w:t>
    </w:r>
    <w:r>
      <w:tab/>
    </w:r>
    <w:r>
      <w:rPr>
        <w:spacing w:val="-2"/>
      </w:rPr>
      <w:t>FCC 13-19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7882"/>
    <w:multiLevelType w:val="singleLevel"/>
    <w:tmpl w:val="A0A683C2"/>
    <w:lvl w:ilvl="0">
      <w:start w:val="1"/>
      <w:numFmt w:val="decimal"/>
      <w:pStyle w:val="StyleParaNumLeft1"/>
      <w:lvlText w:val="%1."/>
      <w:lvlJc w:val="left"/>
      <w:pPr>
        <w:tabs>
          <w:tab w:val="num" w:pos="1080"/>
        </w:tabs>
        <w:ind w:left="0" w:firstLine="720"/>
      </w:pPr>
      <w:rPr>
        <w:rFonts w:ascii="Times New Roman" w:hAnsi="Times New Roman" w:cs="Times New Roman" w:hint="default"/>
        <w:b w:val="0"/>
        <w:i w:val="0"/>
        <w:sz w:val="22"/>
      </w:rPr>
    </w:lvl>
  </w:abstractNum>
  <w:abstractNum w:abstractNumId="1">
    <w:nsid w:val="10E1477B"/>
    <w:multiLevelType w:val="hybridMultilevel"/>
    <w:tmpl w:val="1BBC692E"/>
    <w:lvl w:ilvl="0" w:tplc="5218C196">
      <w:start w:val="1"/>
      <w:numFmt w:val="decimal"/>
      <w:lvlText w:val="%1."/>
      <w:lvlJc w:val="left"/>
      <w:pPr>
        <w:tabs>
          <w:tab w:val="num" w:pos="720"/>
        </w:tabs>
        <w:ind w:left="720" w:hanging="360"/>
      </w:pPr>
      <w:rPr>
        <w:rFonts w:hint="default"/>
      </w:rPr>
    </w:lvl>
    <w:lvl w:ilvl="1" w:tplc="2A9034EA">
      <w:start w:val="1"/>
      <w:numFmt w:val="lowerLetter"/>
      <w:lvlText w:val="%2."/>
      <w:lvlJc w:val="left"/>
      <w:pPr>
        <w:tabs>
          <w:tab w:val="num" w:pos="1440"/>
        </w:tabs>
        <w:ind w:left="1440" w:hanging="360"/>
      </w:pPr>
    </w:lvl>
    <w:lvl w:ilvl="2" w:tplc="3CF27806" w:tentative="1">
      <w:start w:val="1"/>
      <w:numFmt w:val="lowerRoman"/>
      <w:lvlText w:val="%3."/>
      <w:lvlJc w:val="right"/>
      <w:pPr>
        <w:tabs>
          <w:tab w:val="num" w:pos="2160"/>
        </w:tabs>
        <w:ind w:left="2160" w:hanging="180"/>
      </w:pPr>
    </w:lvl>
    <w:lvl w:ilvl="3" w:tplc="E7565A22" w:tentative="1">
      <w:start w:val="1"/>
      <w:numFmt w:val="decimal"/>
      <w:lvlText w:val="%4."/>
      <w:lvlJc w:val="left"/>
      <w:pPr>
        <w:tabs>
          <w:tab w:val="num" w:pos="2880"/>
        </w:tabs>
        <w:ind w:left="2880" w:hanging="360"/>
      </w:pPr>
    </w:lvl>
    <w:lvl w:ilvl="4" w:tplc="3482D1BE" w:tentative="1">
      <w:start w:val="1"/>
      <w:numFmt w:val="lowerLetter"/>
      <w:lvlText w:val="%5."/>
      <w:lvlJc w:val="left"/>
      <w:pPr>
        <w:tabs>
          <w:tab w:val="num" w:pos="3600"/>
        </w:tabs>
        <w:ind w:left="3600" w:hanging="360"/>
      </w:pPr>
    </w:lvl>
    <w:lvl w:ilvl="5" w:tplc="E4C4DAFC" w:tentative="1">
      <w:start w:val="1"/>
      <w:numFmt w:val="lowerRoman"/>
      <w:lvlText w:val="%6."/>
      <w:lvlJc w:val="right"/>
      <w:pPr>
        <w:tabs>
          <w:tab w:val="num" w:pos="4320"/>
        </w:tabs>
        <w:ind w:left="4320" w:hanging="180"/>
      </w:pPr>
    </w:lvl>
    <w:lvl w:ilvl="6" w:tplc="9ECC9CA6" w:tentative="1">
      <w:start w:val="1"/>
      <w:numFmt w:val="decimal"/>
      <w:lvlText w:val="%7."/>
      <w:lvlJc w:val="left"/>
      <w:pPr>
        <w:tabs>
          <w:tab w:val="num" w:pos="5040"/>
        </w:tabs>
        <w:ind w:left="5040" w:hanging="360"/>
      </w:pPr>
    </w:lvl>
    <w:lvl w:ilvl="7" w:tplc="1D386880" w:tentative="1">
      <w:start w:val="1"/>
      <w:numFmt w:val="lowerLetter"/>
      <w:lvlText w:val="%8."/>
      <w:lvlJc w:val="left"/>
      <w:pPr>
        <w:tabs>
          <w:tab w:val="num" w:pos="5760"/>
        </w:tabs>
        <w:ind w:left="5760" w:hanging="360"/>
      </w:pPr>
    </w:lvl>
    <w:lvl w:ilvl="8" w:tplc="637046DA" w:tentative="1">
      <w:start w:val="1"/>
      <w:numFmt w:val="lowerRoman"/>
      <w:lvlText w:val="%9."/>
      <w:lvlJc w:val="right"/>
      <w:pPr>
        <w:tabs>
          <w:tab w:val="num" w:pos="6480"/>
        </w:tabs>
        <w:ind w:left="6480" w:hanging="180"/>
      </w:pPr>
    </w:lvl>
  </w:abstractNum>
  <w:abstractNum w:abstractNumId="2">
    <w:nsid w:val="19C965F6"/>
    <w:multiLevelType w:val="hybridMultilevel"/>
    <w:tmpl w:val="29A86858"/>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4">
    <w:nsid w:val="27E06CBB"/>
    <w:multiLevelType w:val="multilevel"/>
    <w:tmpl w:val="D5163526"/>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38333CB5"/>
    <w:multiLevelType w:val="hybridMultilevel"/>
    <w:tmpl w:val="7B9A5D02"/>
    <w:lvl w:ilvl="0" w:tplc="9D3224E6">
      <w:start w:val="1"/>
      <w:numFmt w:val="bullet"/>
      <w:lvlText w:val=""/>
      <w:lvlJc w:val="left"/>
      <w:pPr>
        <w:tabs>
          <w:tab w:val="num" w:pos="720"/>
        </w:tabs>
        <w:ind w:left="720" w:hanging="360"/>
      </w:pPr>
      <w:rPr>
        <w:rFonts w:ascii="Wingdings" w:hAnsi="Wingdings" w:hint="default"/>
      </w:rPr>
    </w:lvl>
    <w:lvl w:ilvl="1" w:tplc="D4AC45C8">
      <w:start w:val="1"/>
      <w:numFmt w:val="decimal"/>
      <w:lvlText w:val="%2."/>
      <w:lvlJc w:val="left"/>
      <w:pPr>
        <w:tabs>
          <w:tab w:val="num" w:pos="1440"/>
        </w:tabs>
        <w:ind w:left="1440" w:hanging="360"/>
      </w:pPr>
    </w:lvl>
    <w:lvl w:ilvl="2" w:tplc="64DCBC88">
      <w:start w:val="1"/>
      <w:numFmt w:val="decimal"/>
      <w:lvlText w:val="%3."/>
      <w:lvlJc w:val="left"/>
      <w:pPr>
        <w:tabs>
          <w:tab w:val="num" w:pos="2160"/>
        </w:tabs>
        <w:ind w:left="2160" w:hanging="360"/>
      </w:pPr>
    </w:lvl>
    <w:lvl w:ilvl="3" w:tplc="207EC262">
      <w:start w:val="1"/>
      <w:numFmt w:val="decimal"/>
      <w:lvlText w:val="%4."/>
      <w:lvlJc w:val="left"/>
      <w:pPr>
        <w:tabs>
          <w:tab w:val="num" w:pos="2880"/>
        </w:tabs>
        <w:ind w:left="2880" w:hanging="360"/>
      </w:pPr>
    </w:lvl>
    <w:lvl w:ilvl="4" w:tplc="C0203CDC">
      <w:start w:val="1"/>
      <w:numFmt w:val="decimal"/>
      <w:lvlText w:val="%5."/>
      <w:lvlJc w:val="left"/>
      <w:pPr>
        <w:tabs>
          <w:tab w:val="num" w:pos="3600"/>
        </w:tabs>
        <w:ind w:left="3600" w:hanging="360"/>
      </w:pPr>
    </w:lvl>
    <w:lvl w:ilvl="5" w:tplc="158ACE9E">
      <w:start w:val="1"/>
      <w:numFmt w:val="decimal"/>
      <w:lvlText w:val="%6."/>
      <w:lvlJc w:val="left"/>
      <w:pPr>
        <w:tabs>
          <w:tab w:val="num" w:pos="4320"/>
        </w:tabs>
        <w:ind w:left="4320" w:hanging="360"/>
      </w:pPr>
    </w:lvl>
    <w:lvl w:ilvl="6" w:tplc="2D1283EC">
      <w:start w:val="1"/>
      <w:numFmt w:val="decimal"/>
      <w:lvlText w:val="%7."/>
      <w:lvlJc w:val="left"/>
      <w:pPr>
        <w:tabs>
          <w:tab w:val="num" w:pos="5040"/>
        </w:tabs>
        <w:ind w:left="5040" w:hanging="360"/>
      </w:pPr>
    </w:lvl>
    <w:lvl w:ilvl="7" w:tplc="624EC526">
      <w:start w:val="1"/>
      <w:numFmt w:val="decimal"/>
      <w:lvlText w:val="%8."/>
      <w:lvlJc w:val="left"/>
      <w:pPr>
        <w:tabs>
          <w:tab w:val="num" w:pos="5760"/>
        </w:tabs>
        <w:ind w:left="5760" w:hanging="360"/>
      </w:pPr>
    </w:lvl>
    <w:lvl w:ilvl="8" w:tplc="EC0066B2">
      <w:start w:val="1"/>
      <w:numFmt w:val="decimal"/>
      <w:lvlText w:val="%9."/>
      <w:lvlJc w:val="left"/>
      <w:pPr>
        <w:tabs>
          <w:tab w:val="num" w:pos="6480"/>
        </w:tabs>
        <w:ind w:left="6480" w:hanging="360"/>
      </w:pPr>
    </w:lvl>
  </w:abstractNum>
  <w:abstractNum w:abstractNumId="6">
    <w:nsid w:val="52595531"/>
    <w:multiLevelType w:val="hybridMultilevel"/>
    <w:tmpl w:val="FD9E2EA0"/>
    <w:lvl w:ilvl="0" w:tplc="B9D6CFB2">
      <w:start w:val="1"/>
      <w:numFmt w:val="bullet"/>
      <w:lvlText w:val=""/>
      <w:lvlJc w:val="left"/>
      <w:pPr>
        <w:tabs>
          <w:tab w:val="num" w:pos="720"/>
        </w:tabs>
        <w:ind w:left="720" w:hanging="360"/>
      </w:pPr>
      <w:rPr>
        <w:rFonts w:ascii="Wingdings" w:hAnsi="Wingdings" w:hint="default"/>
      </w:rPr>
    </w:lvl>
    <w:lvl w:ilvl="1" w:tplc="942AB5AC">
      <w:start w:val="1"/>
      <w:numFmt w:val="bullet"/>
      <w:lvlText w:val="o"/>
      <w:lvlJc w:val="left"/>
      <w:pPr>
        <w:tabs>
          <w:tab w:val="num" w:pos="1440"/>
        </w:tabs>
        <w:ind w:left="1440" w:hanging="360"/>
      </w:pPr>
      <w:rPr>
        <w:rFonts w:ascii="Courier New" w:hAnsi="Courier New" w:cs="Courier New" w:hint="default"/>
      </w:rPr>
    </w:lvl>
    <w:lvl w:ilvl="2" w:tplc="1A44EB8A">
      <w:start w:val="1"/>
      <w:numFmt w:val="decimal"/>
      <w:lvlText w:val="%3."/>
      <w:lvlJc w:val="left"/>
      <w:pPr>
        <w:tabs>
          <w:tab w:val="num" w:pos="2160"/>
        </w:tabs>
        <w:ind w:left="2160" w:hanging="360"/>
      </w:pPr>
      <w:rPr>
        <w:rFonts w:hint="default"/>
      </w:rPr>
    </w:lvl>
    <w:lvl w:ilvl="3" w:tplc="B326648C">
      <w:start w:val="1"/>
      <w:numFmt w:val="bullet"/>
      <w:lvlText w:val=""/>
      <w:lvlJc w:val="left"/>
      <w:pPr>
        <w:tabs>
          <w:tab w:val="num" w:pos="2880"/>
        </w:tabs>
        <w:ind w:left="2880" w:hanging="360"/>
      </w:pPr>
      <w:rPr>
        <w:rFonts w:ascii="Symbol" w:hAnsi="Symbol" w:hint="default"/>
        <w:b w:val="0"/>
        <w:i w:val="0"/>
      </w:rPr>
    </w:lvl>
    <w:lvl w:ilvl="4" w:tplc="B1BE7468" w:tentative="1">
      <w:start w:val="1"/>
      <w:numFmt w:val="bullet"/>
      <w:lvlText w:val="o"/>
      <w:lvlJc w:val="left"/>
      <w:pPr>
        <w:tabs>
          <w:tab w:val="num" w:pos="3600"/>
        </w:tabs>
        <w:ind w:left="3600" w:hanging="360"/>
      </w:pPr>
      <w:rPr>
        <w:rFonts w:ascii="Courier New" w:hAnsi="Courier New" w:cs="Courier New" w:hint="default"/>
      </w:rPr>
    </w:lvl>
    <w:lvl w:ilvl="5" w:tplc="465486E4" w:tentative="1">
      <w:start w:val="1"/>
      <w:numFmt w:val="bullet"/>
      <w:lvlText w:val=""/>
      <w:lvlJc w:val="left"/>
      <w:pPr>
        <w:tabs>
          <w:tab w:val="num" w:pos="4320"/>
        </w:tabs>
        <w:ind w:left="4320" w:hanging="360"/>
      </w:pPr>
      <w:rPr>
        <w:rFonts w:ascii="Wingdings" w:hAnsi="Wingdings" w:hint="default"/>
      </w:rPr>
    </w:lvl>
    <w:lvl w:ilvl="6" w:tplc="65E80C5A" w:tentative="1">
      <w:start w:val="1"/>
      <w:numFmt w:val="bullet"/>
      <w:lvlText w:val=""/>
      <w:lvlJc w:val="left"/>
      <w:pPr>
        <w:tabs>
          <w:tab w:val="num" w:pos="5040"/>
        </w:tabs>
        <w:ind w:left="5040" w:hanging="360"/>
      </w:pPr>
      <w:rPr>
        <w:rFonts w:ascii="Symbol" w:hAnsi="Symbol" w:hint="default"/>
      </w:rPr>
    </w:lvl>
    <w:lvl w:ilvl="7" w:tplc="12AE0AAC" w:tentative="1">
      <w:start w:val="1"/>
      <w:numFmt w:val="bullet"/>
      <w:lvlText w:val="o"/>
      <w:lvlJc w:val="left"/>
      <w:pPr>
        <w:tabs>
          <w:tab w:val="num" w:pos="5760"/>
        </w:tabs>
        <w:ind w:left="5760" w:hanging="360"/>
      </w:pPr>
      <w:rPr>
        <w:rFonts w:ascii="Courier New" w:hAnsi="Courier New" w:cs="Courier New" w:hint="default"/>
      </w:rPr>
    </w:lvl>
    <w:lvl w:ilvl="8" w:tplc="BF04A420" w:tentative="1">
      <w:start w:val="1"/>
      <w:numFmt w:val="bullet"/>
      <w:lvlText w:val=""/>
      <w:lvlJc w:val="left"/>
      <w:pPr>
        <w:tabs>
          <w:tab w:val="num" w:pos="6480"/>
        </w:tabs>
        <w:ind w:left="6480" w:hanging="360"/>
      </w:pPr>
      <w:rPr>
        <w:rFonts w:ascii="Wingdings" w:hAnsi="Wingdings" w:hint="default"/>
      </w:rPr>
    </w:lvl>
  </w:abstractNum>
  <w:abstractNum w:abstractNumId="7">
    <w:nsid w:val="61182925"/>
    <w:multiLevelType w:val="singleLevel"/>
    <w:tmpl w:val="38160FFC"/>
    <w:lvl w:ilvl="0">
      <w:start w:val="1"/>
      <w:numFmt w:val="decimal"/>
      <w:pStyle w:val="ParaNum"/>
      <w:lvlText w:val="%1."/>
      <w:lvlJc w:val="left"/>
      <w:pPr>
        <w:tabs>
          <w:tab w:val="num" w:pos="1080"/>
        </w:tabs>
        <w:ind w:left="0" w:firstLine="720"/>
      </w:pPr>
      <w:rPr>
        <w:i w:val="0"/>
      </w:rPr>
    </w:lvl>
  </w:abstractNum>
  <w:abstractNum w:abstractNumId="8">
    <w:nsid w:val="7A8E65EF"/>
    <w:multiLevelType w:val="hybridMultilevel"/>
    <w:tmpl w:val="8556D20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9">
    <w:nsid w:val="7F0406EE"/>
    <w:multiLevelType w:val="hybridMultilevel"/>
    <w:tmpl w:val="749E4CE6"/>
    <w:lvl w:ilvl="0" w:tplc="22A8E542">
      <w:start w:val="1"/>
      <w:numFmt w:val="bullet"/>
      <w:lvlText w:val=""/>
      <w:lvlJc w:val="left"/>
      <w:pPr>
        <w:tabs>
          <w:tab w:val="num" w:pos="1440"/>
        </w:tabs>
        <w:ind w:left="1440" w:hanging="360"/>
      </w:pPr>
      <w:rPr>
        <w:rFonts w:ascii="Wingdings" w:hAnsi="Wingdings" w:hint="default"/>
      </w:rPr>
    </w:lvl>
    <w:lvl w:ilvl="1" w:tplc="C52011B8">
      <w:start w:val="1"/>
      <w:numFmt w:val="decimal"/>
      <w:lvlText w:val="(%2)"/>
      <w:lvlJc w:val="left"/>
      <w:pPr>
        <w:tabs>
          <w:tab w:val="num" w:pos="2160"/>
        </w:tabs>
        <w:ind w:left="2160" w:hanging="360"/>
      </w:pPr>
    </w:lvl>
    <w:lvl w:ilvl="2" w:tplc="13505F14">
      <w:start w:val="1"/>
      <w:numFmt w:val="lowerRoman"/>
      <w:lvlText w:val="%3."/>
      <w:lvlJc w:val="right"/>
      <w:pPr>
        <w:tabs>
          <w:tab w:val="num" w:pos="2880"/>
        </w:tabs>
        <w:ind w:left="2880" w:hanging="180"/>
      </w:pPr>
    </w:lvl>
    <w:lvl w:ilvl="3" w:tplc="EBDA9C58">
      <w:numFmt w:val="bullet"/>
      <w:lvlText w:val="-"/>
      <w:lvlJc w:val="left"/>
      <w:pPr>
        <w:tabs>
          <w:tab w:val="num" w:pos="1440"/>
        </w:tabs>
        <w:ind w:left="1440" w:hanging="360"/>
      </w:pPr>
      <w:rPr>
        <w:rFonts w:ascii="Times New Roman" w:eastAsia="Times New Roman" w:hAnsi="Times New Roman" w:cs="Times New Roman" w:hint="default"/>
      </w:rPr>
    </w:lvl>
    <w:lvl w:ilvl="4" w:tplc="8D6E1DCA">
      <w:start w:val="1"/>
      <w:numFmt w:val="lowerLetter"/>
      <w:lvlText w:val="%5."/>
      <w:lvlJc w:val="left"/>
      <w:pPr>
        <w:tabs>
          <w:tab w:val="num" w:pos="4320"/>
        </w:tabs>
        <w:ind w:left="4320" w:hanging="360"/>
      </w:pPr>
    </w:lvl>
    <w:lvl w:ilvl="5" w:tplc="51A2191E">
      <w:start w:val="1"/>
      <w:numFmt w:val="decimal"/>
      <w:lvlText w:val="%6."/>
      <w:lvlJc w:val="left"/>
      <w:pPr>
        <w:tabs>
          <w:tab w:val="num" w:pos="4320"/>
        </w:tabs>
        <w:ind w:left="4320" w:hanging="360"/>
      </w:pPr>
    </w:lvl>
    <w:lvl w:ilvl="6" w:tplc="D1868354">
      <w:start w:val="1"/>
      <w:numFmt w:val="decimal"/>
      <w:lvlText w:val="%7."/>
      <w:lvlJc w:val="left"/>
      <w:pPr>
        <w:tabs>
          <w:tab w:val="num" w:pos="5040"/>
        </w:tabs>
        <w:ind w:left="5040" w:hanging="360"/>
      </w:pPr>
    </w:lvl>
    <w:lvl w:ilvl="7" w:tplc="C5CCB1C6">
      <w:start w:val="1"/>
      <w:numFmt w:val="decimal"/>
      <w:lvlText w:val="%8."/>
      <w:lvlJc w:val="left"/>
      <w:pPr>
        <w:tabs>
          <w:tab w:val="num" w:pos="5760"/>
        </w:tabs>
        <w:ind w:left="5760" w:hanging="360"/>
      </w:pPr>
    </w:lvl>
    <w:lvl w:ilvl="8" w:tplc="91CA929A">
      <w:start w:val="1"/>
      <w:numFmt w:val="decimal"/>
      <w:lvlText w:val="%9."/>
      <w:lvlJc w:val="left"/>
      <w:pPr>
        <w:tabs>
          <w:tab w:val="num" w:pos="6480"/>
        </w:tabs>
        <w:ind w:left="6480" w:hanging="360"/>
      </w:pPr>
    </w:lvl>
  </w:abstractNum>
  <w:num w:numId="1">
    <w:abstractNumId w:val="3"/>
  </w:num>
  <w:num w:numId="2">
    <w:abstractNumId w:val="7"/>
  </w:num>
  <w:num w:numId="3">
    <w:abstractNumId w:val="4"/>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 w:numId="10">
    <w:abstractNumId w:val="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4"/>
  </w:num>
  <w:num w:numId="35">
    <w:abstractNumId w:val="4"/>
  </w:num>
  <w:num w:numId="36">
    <w:abstractNumId w:val="7"/>
  </w:num>
  <w:num w:numId="37">
    <w:abstractNumId w:val="7"/>
  </w:num>
  <w:num w:numId="38">
    <w:abstractNumId w:val="7"/>
  </w:num>
  <w:num w:numId="39">
    <w:abstractNumId w:val="7"/>
  </w:num>
  <w:num w:numId="40">
    <w:abstractNumId w:val="7"/>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A96"/>
    <w:rsid w:val="00001A61"/>
    <w:rsid w:val="000116C7"/>
    <w:rsid w:val="0001340C"/>
    <w:rsid w:val="000138BA"/>
    <w:rsid w:val="00015C52"/>
    <w:rsid w:val="00017BED"/>
    <w:rsid w:val="0002069B"/>
    <w:rsid w:val="0002087C"/>
    <w:rsid w:val="0002112B"/>
    <w:rsid w:val="00021359"/>
    <w:rsid w:val="00021D6C"/>
    <w:rsid w:val="00024246"/>
    <w:rsid w:val="00025BCC"/>
    <w:rsid w:val="00027D04"/>
    <w:rsid w:val="000329BC"/>
    <w:rsid w:val="0003449F"/>
    <w:rsid w:val="000354AD"/>
    <w:rsid w:val="00035CF5"/>
    <w:rsid w:val="00036039"/>
    <w:rsid w:val="0003606F"/>
    <w:rsid w:val="000372C9"/>
    <w:rsid w:val="00037F90"/>
    <w:rsid w:val="0004348D"/>
    <w:rsid w:val="00043972"/>
    <w:rsid w:val="0004460D"/>
    <w:rsid w:val="0005213F"/>
    <w:rsid w:val="00054583"/>
    <w:rsid w:val="0005790A"/>
    <w:rsid w:val="0006057F"/>
    <w:rsid w:val="000606C1"/>
    <w:rsid w:val="000621A6"/>
    <w:rsid w:val="00065016"/>
    <w:rsid w:val="000654D2"/>
    <w:rsid w:val="00065D84"/>
    <w:rsid w:val="00077176"/>
    <w:rsid w:val="000811BC"/>
    <w:rsid w:val="00082E98"/>
    <w:rsid w:val="00083012"/>
    <w:rsid w:val="000859D5"/>
    <w:rsid w:val="00087016"/>
    <w:rsid w:val="000875BF"/>
    <w:rsid w:val="00093769"/>
    <w:rsid w:val="00093F23"/>
    <w:rsid w:val="00095F60"/>
    <w:rsid w:val="00096D8C"/>
    <w:rsid w:val="00097314"/>
    <w:rsid w:val="000A1D6B"/>
    <w:rsid w:val="000A36DB"/>
    <w:rsid w:val="000A3B81"/>
    <w:rsid w:val="000A4838"/>
    <w:rsid w:val="000A5A3D"/>
    <w:rsid w:val="000A67CC"/>
    <w:rsid w:val="000B15C5"/>
    <w:rsid w:val="000B422F"/>
    <w:rsid w:val="000B4840"/>
    <w:rsid w:val="000B4DF9"/>
    <w:rsid w:val="000B5812"/>
    <w:rsid w:val="000B5D82"/>
    <w:rsid w:val="000B6301"/>
    <w:rsid w:val="000B7E37"/>
    <w:rsid w:val="000C0754"/>
    <w:rsid w:val="000C0B65"/>
    <w:rsid w:val="000C0FBA"/>
    <w:rsid w:val="000C2DC7"/>
    <w:rsid w:val="000C4F18"/>
    <w:rsid w:val="000C6571"/>
    <w:rsid w:val="000C6D75"/>
    <w:rsid w:val="000D48FB"/>
    <w:rsid w:val="000D577B"/>
    <w:rsid w:val="000D586D"/>
    <w:rsid w:val="000E0158"/>
    <w:rsid w:val="000E2C45"/>
    <w:rsid w:val="000E3D42"/>
    <w:rsid w:val="000E7A4D"/>
    <w:rsid w:val="000F0433"/>
    <w:rsid w:val="000F1188"/>
    <w:rsid w:val="000F3847"/>
    <w:rsid w:val="000F41E5"/>
    <w:rsid w:val="000F645E"/>
    <w:rsid w:val="000F649B"/>
    <w:rsid w:val="000F685A"/>
    <w:rsid w:val="00100BE5"/>
    <w:rsid w:val="0010129D"/>
    <w:rsid w:val="001026F5"/>
    <w:rsid w:val="00102EB2"/>
    <w:rsid w:val="00103ECE"/>
    <w:rsid w:val="00104CD7"/>
    <w:rsid w:val="00107F83"/>
    <w:rsid w:val="00112D42"/>
    <w:rsid w:val="00113369"/>
    <w:rsid w:val="00113A96"/>
    <w:rsid w:val="00114499"/>
    <w:rsid w:val="001151B6"/>
    <w:rsid w:val="00117CD5"/>
    <w:rsid w:val="00120401"/>
    <w:rsid w:val="00122BD5"/>
    <w:rsid w:val="0012409A"/>
    <w:rsid w:val="00124D30"/>
    <w:rsid w:val="00125348"/>
    <w:rsid w:val="00130DF6"/>
    <w:rsid w:val="001338B0"/>
    <w:rsid w:val="0013497F"/>
    <w:rsid w:val="00135FB4"/>
    <w:rsid w:val="00135FC6"/>
    <w:rsid w:val="001408A9"/>
    <w:rsid w:val="00140B9E"/>
    <w:rsid w:val="001431A9"/>
    <w:rsid w:val="0014380B"/>
    <w:rsid w:val="00143A39"/>
    <w:rsid w:val="00143D28"/>
    <w:rsid w:val="00143D81"/>
    <w:rsid w:val="00143DAA"/>
    <w:rsid w:val="0014595B"/>
    <w:rsid w:val="00152D94"/>
    <w:rsid w:val="001532BC"/>
    <w:rsid w:val="00153C55"/>
    <w:rsid w:val="00154FE8"/>
    <w:rsid w:val="0015723D"/>
    <w:rsid w:val="00163283"/>
    <w:rsid w:val="001640E1"/>
    <w:rsid w:val="00164E0D"/>
    <w:rsid w:val="0016573E"/>
    <w:rsid w:val="0016759E"/>
    <w:rsid w:val="00171B14"/>
    <w:rsid w:val="001727E7"/>
    <w:rsid w:val="001762D7"/>
    <w:rsid w:val="00180E27"/>
    <w:rsid w:val="00182C54"/>
    <w:rsid w:val="001831C5"/>
    <w:rsid w:val="00183C72"/>
    <w:rsid w:val="0018676C"/>
    <w:rsid w:val="001901AC"/>
    <w:rsid w:val="0019530B"/>
    <w:rsid w:val="00196DAC"/>
    <w:rsid w:val="00197D57"/>
    <w:rsid w:val="001A20CF"/>
    <w:rsid w:val="001A395E"/>
    <w:rsid w:val="001A5F99"/>
    <w:rsid w:val="001B6DDA"/>
    <w:rsid w:val="001C0B46"/>
    <w:rsid w:val="001C1316"/>
    <w:rsid w:val="001C227D"/>
    <w:rsid w:val="001C26B6"/>
    <w:rsid w:val="001C37B9"/>
    <w:rsid w:val="001C42C0"/>
    <w:rsid w:val="001C66DC"/>
    <w:rsid w:val="001C696E"/>
    <w:rsid w:val="001D10C5"/>
    <w:rsid w:val="001D2E9D"/>
    <w:rsid w:val="001D31B1"/>
    <w:rsid w:val="001D3D38"/>
    <w:rsid w:val="001D6BCF"/>
    <w:rsid w:val="001E01CA"/>
    <w:rsid w:val="001E0B40"/>
    <w:rsid w:val="001E12D8"/>
    <w:rsid w:val="001E1E74"/>
    <w:rsid w:val="001E2BB3"/>
    <w:rsid w:val="001E587F"/>
    <w:rsid w:val="001E6D68"/>
    <w:rsid w:val="001E750E"/>
    <w:rsid w:val="001F319C"/>
    <w:rsid w:val="001F401B"/>
    <w:rsid w:val="001F4648"/>
    <w:rsid w:val="001F4C66"/>
    <w:rsid w:val="001F7498"/>
    <w:rsid w:val="001F7588"/>
    <w:rsid w:val="00200B49"/>
    <w:rsid w:val="00204483"/>
    <w:rsid w:val="00210260"/>
    <w:rsid w:val="00211194"/>
    <w:rsid w:val="00212FBE"/>
    <w:rsid w:val="00213BDC"/>
    <w:rsid w:val="00214B96"/>
    <w:rsid w:val="00215841"/>
    <w:rsid w:val="00224DDF"/>
    <w:rsid w:val="00225281"/>
    <w:rsid w:val="002267DD"/>
    <w:rsid w:val="00231985"/>
    <w:rsid w:val="00232422"/>
    <w:rsid w:val="002357BA"/>
    <w:rsid w:val="0023679F"/>
    <w:rsid w:val="00236A43"/>
    <w:rsid w:val="002402A5"/>
    <w:rsid w:val="0024210B"/>
    <w:rsid w:val="00244376"/>
    <w:rsid w:val="002461F0"/>
    <w:rsid w:val="00250B95"/>
    <w:rsid w:val="00250D55"/>
    <w:rsid w:val="00251FEB"/>
    <w:rsid w:val="0025268E"/>
    <w:rsid w:val="00253EA0"/>
    <w:rsid w:val="00254803"/>
    <w:rsid w:val="00257377"/>
    <w:rsid w:val="00261D86"/>
    <w:rsid w:val="00265F3F"/>
    <w:rsid w:val="00266BCC"/>
    <w:rsid w:val="00267069"/>
    <w:rsid w:val="00267FC3"/>
    <w:rsid w:val="0027326C"/>
    <w:rsid w:val="00273604"/>
    <w:rsid w:val="0027423E"/>
    <w:rsid w:val="00274E60"/>
    <w:rsid w:val="00276737"/>
    <w:rsid w:val="00277168"/>
    <w:rsid w:val="00281B2B"/>
    <w:rsid w:val="00281E9D"/>
    <w:rsid w:val="00284941"/>
    <w:rsid w:val="00285017"/>
    <w:rsid w:val="00285EEC"/>
    <w:rsid w:val="00286079"/>
    <w:rsid w:val="002878A4"/>
    <w:rsid w:val="00287A7F"/>
    <w:rsid w:val="00290083"/>
    <w:rsid w:val="0029017E"/>
    <w:rsid w:val="0029279E"/>
    <w:rsid w:val="00292D70"/>
    <w:rsid w:val="00294BAE"/>
    <w:rsid w:val="002A0685"/>
    <w:rsid w:val="002A16BD"/>
    <w:rsid w:val="002A2D2E"/>
    <w:rsid w:val="002A34C1"/>
    <w:rsid w:val="002A54A9"/>
    <w:rsid w:val="002B0A4E"/>
    <w:rsid w:val="002B1272"/>
    <w:rsid w:val="002B22E0"/>
    <w:rsid w:val="002B2BC2"/>
    <w:rsid w:val="002B2C55"/>
    <w:rsid w:val="002B3F0B"/>
    <w:rsid w:val="002B7014"/>
    <w:rsid w:val="002B7A98"/>
    <w:rsid w:val="002B7D30"/>
    <w:rsid w:val="002C042C"/>
    <w:rsid w:val="002C04AC"/>
    <w:rsid w:val="002C2007"/>
    <w:rsid w:val="002C58AD"/>
    <w:rsid w:val="002C6C18"/>
    <w:rsid w:val="002C726D"/>
    <w:rsid w:val="002C7852"/>
    <w:rsid w:val="002D01A5"/>
    <w:rsid w:val="002D4248"/>
    <w:rsid w:val="002D43B5"/>
    <w:rsid w:val="002D5E77"/>
    <w:rsid w:val="002D695D"/>
    <w:rsid w:val="002D7A4F"/>
    <w:rsid w:val="002E1459"/>
    <w:rsid w:val="002E207A"/>
    <w:rsid w:val="002E2656"/>
    <w:rsid w:val="002E5FB2"/>
    <w:rsid w:val="002E6007"/>
    <w:rsid w:val="002F390B"/>
    <w:rsid w:val="002F41FE"/>
    <w:rsid w:val="002F4289"/>
    <w:rsid w:val="002F56EC"/>
    <w:rsid w:val="002F5907"/>
    <w:rsid w:val="002F6DC4"/>
    <w:rsid w:val="002F7584"/>
    <w:rsid w:val="002F7B06"/>
    <w:rsid w:val="002F7F96"/>
    <w:rsid w:val="003006D3"/>
    <w:rsid w:val="00302901"/>
    <w:rsid w:val="00305FD5"/>
    <w:rsid w:val="00306920"/>
    <w:rsid w:val="003102D0"/>
    <w:rsid w:val="00311434"/>
    <w:rsid w:val="003132C7"/>
    <w:rsid w:val="00314FDE"/>
    <w:rsid w:val="0031641C"/>
    <w:rsid w:val="003172DF"/>
    <w:rsid w:val="003202AA"/>
    <w:rsid w:val="00321E58"/>
    <w:rsid w:val="00321FA5"/>
    <w:rsid w:val="0032316A"/>
    <w:rsid w:val="0032432B"/>
    <w:rsid w:val="0032598A"/>
    <w:rsid w:val="003267D3"/>
    <w:rsid w:val="00327D2F"/>
    <w:rsid w:val="0033018A"/>
    <w:rsid w:val="003316B8"/>
    <w:rsid w:val="003327E4"/>
    <w:rsid w:val="003418A6"/>
    <w:rsid w:val="00342B58"/>
    <w:rsid w:val="00343181"/>
    <w:rsid w:val="00343749"/>
    <w:rsid w:val="003500FD"/>
    <w:rsid w:val="00350875"/>
    <w:rsid w:val="00353699"/>
    <w:rsid w:val="0035523B"/>
    <w:rsid w:val="00355A7C"/>
    <w:rsid w:val="00357E2C"/>
    <w:rsid w:val="00370316"/>
    <w:rsid w:val="00370776"/>
    <w:rsid w:val="00372D0A"/>
    <w:rsid w:val="00373B66"/>
    <w:rsid w:val="00374D4E"/>
    <w:rsid w:val="00375070"/>
    <w:rsid w:val="00375744"/>
    <w:rsid w:val="00376AA9"/>
    <w:rsid w:val="003770B4"/>
    <w:rsid w:val="0038086C"/>
    <w:rsid w:val="00380EB6"/>
    <w:rsid w:val="003858A2"/>
    <w:rsid w:val="00385F5C"/>
    <w:rsid w:val="00385FE9"/>
    <w:rsid w:val="00386E97"/>
    <w:rsid w:val="0038704D"/>
    <w:rsid w:val="00390792"/>
    <w:rsid w:val="0039367C"/>
    <w:rsid w:val="00396974"/>
    <w:rsid w:val="003A44FD"/>
    <w:rsid w:val="003A54B5"/>
    <w:rsid w:val="003B0550"/>
    <w:rsid w:val="003B239C"/>
    <w:rsid w:val="003B517E"/>
    <w:rsid w:val="003B694F"/>
    <w:rsid w:val="003C02ED"/>
    <w:rsid w:val="003C0596"/>
    <w:rsid w:val="003C08B5"/>
    <w:rsid w:val="003C0D82"/>
    <w:rsid w:val="003C1EC7"/>
    <w:rsid w:val="003C3F23"/>
    <w:rsid w:val="003C5CD7"/>
    <w:rsid w:val="003C61BB"/>
    <w:rsid w:val="003C62C3"/>
    <w:rsid w:val="003C787B"/>
    <w:rsid w:val="003D1F64"/>
    <w:rsid w:val="003D1FA1"/>
    <w:rsid w:val="003D2244"/>
    <w:rsid w:val="003D412B"/>
    <w:rsid w:val="003D7EC8"/>
    <w:rsid w:val="003E02A3"/>
    <w:rsid w:val="003E189F"/>
    <w:rsid w:val="003E4412"/>
    <w:rsid w:val="003E51E5"/>
    <w:rsid w:val="003E5641"/>
    <w:rsid w:val="003E6221"/>
    <w:rsid w:val="003E689C"/>
    <w:rsid w:val="003E6B99"/>
    <w:rsid w:val="003F171C"/>
    <w:rsid w:val="003F1892"/>
    <w:rsid w:val="003F33FB"/>
    <w:rsid w:val="003F39B5"/>
    <w:rsid w:val="003F42D6"/>
    <w:rsid w:val="003F701D"/>
    <w:rsid w:val="00402EF8"/>
    <w:rsid w:val="004039A6"/>
    <w:rsid w:val="00403C66"/>
    <w:rsid w:val="004063EF"/>
    <w:rsid w:val="0041040B"/>
    <w:rsid w:val="00410490"/>
    <w:rsid w:val="00411172"/>
    <w:rsid w:val="004122BC"/>
    <w:rsid w:val="00412AEB"/>
    <w:rsid w:val="00412FC5"/>
    <w:rsid w:val="004137B1"/>
    <w:rsid w:val="004138A3"/>
    <w:rsid w:val="00421E0A"/>
    <w:rsid w:val="00422179"/>
    <w:rsid w:val="00422276"/>
    <w:rsid w:val="004242F1"/>
    <w:rsid w:val="00425EA9"/>
    <w:rsid w:val="004304F1"/>
    <w:rsid w:val="00430DE2"/>
    <w:rsid w:val="004315B7"/>
    <w:rsid w:val="00431D34"/>
    <w:rsid w:val="004331C7"/>
    <w:rsid w:val="004429AF"/>
    <w:rsid w:val="00445A00"/>
    <w:rsid w:val="00446124"/>
    <w:rsid w:val="00447874"/>
    <w:rsid w:val="00451B0F"/>
    <w:rsid w:val="004555F3"/>
    <w:rsid w:val="00456201"/>
    <w:rsid w:val="00462B8E"/>
    <w:rsid w:val="00463342"/>
    <w:rsid w:val="004636B6"/>
    <w:rsid w:val="004658CE"/>
    <w:rsid w:val="00467754"/>
    <w:rsid w:val="00467B86"/>
    <w:rsid w:val="00467C7B"/>
    <w:rsid w:val="00471718"/>
    <w:rsid w:val="00473F37"/>
    <w:rsid w:val="004754B1"/>
    <w:rsid w:val="00476E6F"/>
    <w:rsid w:val="0048021A"/>
    <w:rsid w:val="00480238"/>
    <w:rsid w:val="004805C2"/>
    <w:rsid w:val="00480F19"/>
    <w:rsid w:val="004821B4"/>
    <w:rsid w:val="0048460B"/>
    <w:rsid w:val="00485191"/>
    <w:rsid w:val="00491B2F"/>
    <w:rsid w:val="00493AA7"/>
    <w:rsid w:val="00494B8F"/>
    <w:rsid w:val="00497E42"/>
    <w:rsid w:val="004A009A"/>
    <w:rsid w:val="004A45B9"/>
    <w:rsid w:val="004A59CA"/>
    <w:rsid w:val="004A7EEA"/>
    <w:rsid w:val="004B1F6B"/>
    <w:rsid w:val="004B2DA7"/>
    <w:rsid w:val="004B6085"/>
    <w:rsid w:val="004B6721"/>
    <w:rsid w:val="004C10F7"/>
    <w:rsid w:val="004C2C39"/>
    <w:rsid w:val="004C2EE3"/>
    <w:rsid w:val="004C2FB1"/>
    <w:rsid w:val="004C48D6"/>
    <w:rsid w:val="004C73C1"/>
    <w:rsid w:val="004D0053"/>
    <w:rsid w:val="004D2254"/>
    <w:rsid w:val="004D3B0C"/>
    <w:rsid w:val="004D436D"/>
    <w:rsid w:val="004D6468"/>
    <w:rsid w:val="004D6976"/>
    <w:rsid w:val="004D7B04"/>
    <w:rsid w:val="004E0750"/>
    <w:rsid w:val="004E0930"/>
    <w:rsid w:val="004E14A2"/>
    <w:rsid w:val="004E1C7E"/>
    <w:rsid w:val="004E2155"/>
    <w:rsid w:val="004E276A"/>
    <w:rsid w:val="004E3933"/>
    <w:rsid w:val="004E4A22"/>
    <w:rsid w:val="004E625F"/>
    <w:rsid w:val="004F153F"/>
    <w:rsid w:val="004F4E99"/>
    <w:rsid w:val="004F71AD"/>
    <w:rsid w:val="005027F5"/>
    <w:rsid w:val="00502FB8"/>
    <w:rsid w:val="005031F9"/>
    <w:rsid w:val="00505EFD"/>
    <w:rsid w:val="0050697D"/>
    <w:rsid w:val="00510D6D"/>
    <w:rsid w:val="00511968"/>
    <w:rsid w:val="0051353C"/>
    <w:rsid w:val="00513813"/>
    <w:rsid w:val="00513CC7"/>
    <w:rsid w:val="0052137C"/>
    <w:rsid w:val="00524D23"/>
    <w:rsid w:val="005269E9"/>
    <w:rsid w:val="00537F52"/>
    <w:rsid w:val="00542EFC"/>
    <w:rsid w:val="00543441"/>
    <w:rsid w:val="00546BCC"/>
    <w:rsid w:val="005479E5"/>
    <w:rsid w:val="00551458"/>
    <w:rsid w:val="0055614C"/>
    <w:rsid w:val="00561F45"/>
    <w:rsid w:val="00563615"/>
    <w:rsid w:val="00564480"/>
    <w:rsid w:val="00565EEF"/>
    <w:rsid w:val="00566B90"/>
    <w:rsid w:val="00570657"/>
    <w:rsid w:val="00573584"/>
    <w:rsid w:val="00575286"/>
    <w:rsid w:val="005757D5"/>
    <w:rsid w:val="005775FB"/>
    <w:rsid w:val="005833A5"/>
    <w:rsid w:val="005860AF"/>
    <w:rsid w:val="00587122"/>
    <w:rsid w:val="00592457"/>
    <w:rsid w:val="005927B3"/>
    <w:rsid w:val="005930B5"/>
    <w:rsid w:val="00595105"/>
    <w:rsid w:val="005957EA"/>
    <w:rsid w:val="005A02A1"/>
    <w:rsid w:val="005A145C"/>
    <w:rsid w:val="005A26EE"/>
    <w:rsid w:val="005A3181"/>
    <w:rsid w:val="005A57AB"/>
    <w:rsid w:val="005A6A63"/>
    <w:rsid w:val="005B1E1D"/>
    <w:rsid w:val="005B2DCC"/>
    <w:rsid w:val="005B5339"/>
    <w:rsid w:val="005B6A90"/>
    <w:rsid w:val="005B72C1"/>
    <w:rsid w:val="005C068E"/>
    <w:rsid w:val="005C141D"/>
    <w:rsid w:val="005C1EA6"/>
    <w:rsid w:val="005C4062"/>
    <w:rsid w:val="005C5280"/>
    <w:rsid w:val="005C76F0"/>
    <w:rsid w:val="005D2391"/>
    <w:rsid w:val="005D28DB"/>
    <w:rsid w:val="005D3421"/>
    <w:rsid w:val="005D45A7"/>
    <w:rsid w:val="005D4B17"/>
    <w:rsid w:val="005D54B6"/>
    <w:rsid w:val="005D5F9A"/>
    <w:rsid w:val="005D7C7B"/>
    <w:rsid w:val="005E1FEE"/>
    <w:rsid w:val="005E26DD"/>
    <w:rsid w:val="005E595E"/>
    <w:rsid w:val="005E634D"/>
    <w:rsid w:val="005F01CA"/>
    <w:rsid w:val="005F2B69"/>
    <w:rsid w:val="005F3918"/>
    <w:rsid w:val="005F3F32"/>
    <w:rsid w:val="005F628C"/>
    <w:rsid w:val="005F7879"/>
    <w:rsid w:val="0060095D"/>
    <w:rsid w:val="00602515"/>
    <w:rsid w:val="00604B19"/>
    <w:rsid w:val="006051A1"/>
    <w:rsid w:val="00605522"/>
    <w:rsid w:val="00606708"/>
    <w:rsid w:val="00607BA5"/>
    <w:rsid w:val="0061430C"/>
    <w:rsid w:val="00615295"/>
    <w:rsid w:val="0061568F"/>
    <w:rsid w:val="00615C6C"/>
    <w:rsid w:val="00621CBC"/>
    <w:rsid w:val="006228A8"/>
    <w:rsid w:val="00623135"/>
    <w:rsid w:val="00623365"/>
    <w:rsid w:val="00624F58"/>
    <w:rsid w:val="006254D5"/>
    <w:rsid w:val="00626224"/>
    <w:rsid w:val="0062642F"/>
    <w:rsid w:val="00626EB6"/>
    <w:rsid w:val="0062707D"/>
    <w:rsid w:val="00627F73"/>
    <w:rsid w:val="00635545"/>
    <w:rsid w:val="006378D3"/>
    <w:rsid w:val="006402B8"/>
    <w:rsid w:val="00642357"/>
    <w:rsid w:val="00643377"/>
    <w:rsid w:val="006434B9"/>
    <w:rsid w:val="0064381B"/>
    <w:rsid w:val="00644805"/>
    <w:rsid w:val="00646148"/>
    <w:rsid w:val="00647580"/>
    <w:rsid w:val="00647824"/>
    <w:rsid w:val="00647C3C"/>
    <w:rsid w:val="00651FA4"/>
    <w:rsid w:val="006521EF"/>
    <w:rsid w:val="00653384"/>
    <w:rsid w:val="00655175"/>
    <w:rsid w:val="00655CFB"/>
    <w:rsid w:val="00655D03"/>
    <w:rsid w:val="0065609B"/>
    <w:rsid w:val="00657E4E"/>
    <w:rsid w:val="00662155"/>
    <w:rsid w:val="00663B00"/>
    <w:rsid w:val="00665160"/>
    <w:rsid w:val="006651C2"/>
    <w:rsid w:val="00666030"/>
    <w:rsid w:val="006671FF"/>
    <w:rsid w:val="006700A9"/>
    <w:rsid w:val="006715A2"/>
    <w:rsid w:val="00671D26"/>
    <w:rsid w:val="00671E93"/>
    <w:rsid w:val="00677471"/>
    <w:rsid w:val="00677C3E"/>
    <w:rsid w:val="00681265"/>
    <w:rsid w:val="00683F84"/>
    <w:rsid w:val="006846D1"/>
    <w:rsid w:val="00684722"/>
    <w:rsid w:val="00684F80"/>
    <w:rsid w:val="006855E9"/>
    <w:rsid w:val="0068688D"/>
    <w:rsid w:val="006873BE"/>
    <w:rsid w:val="00690577"/>
    <w:rsid w:val="00691005"/>
    <w:rsid w:val="00691704"/>
    <w:rsid w:val="00693215"/>
    <w:rsid w:val="00693A28"/>
    <w:rsid w:val="00695121"/>
    <w:rsid w:val="00695A7E"/>
    <w:rsid w:val="00696538"/>
    <w:rsid w:val="006979FF"/>
    <w:rsid w:val="006A09A3"/>
    <w:rsid w:val="006A0A35"/>
    <w:rsid w:val="006A2D26"/>
    <w:rsid w:val="006A3C92"/>
    <w:rsid w:val="006A666F"/>
    <w:rsid w:val="006A674D"/>
    <w:rsid w:val="006A6A81"/>
    <w:rsid w:val="006A71AC"/>
    <w:rsid w:val="006A7A66"/>
    <w:rsid w:val="006A7B8F"/>
    <w:rsid w:val="006B0F89"/>
    <w:rsid w:val="006B11DC"/>
    <w:rsid w:val="006B11E6"/>
    <w:rsid w:val="006B2582"/>
    <w:rsid w:val="006B2619"/>
    <w:rsid w:val="006B2B81"/>
    <w:rsid w:val="006B544F"/>
    <w:rsid w:val="006B5F89"/>
    <w:rsid w:val="006B5FEC"/>
    <w:rsid w:val="006B6FC2"/>
    <w:rsid w:val="006B7D42"/>
    <w:rsid w:val="006C1AC0"/>
    <w:rsid w:val="006C2382"/>
    <w:rsid w:val="006C5263"/>
    <w:rsid w:val="006C5F29"/>
    <w:rsid w:val="006C6595"/>
    <w:rsid w:val="006C741B"/>
    <w:rsid w:val="006D2252"/>
    <w:rsid w:val="006D3C65"/>
    <w:rsid w:val="006D3CAC"/>
    <w:rsid w:val="006D3ECB"/>
    <w:rsid w:val="006D485A"/>
    <w:rsid w:val="006D6628"/>
    <w:rsid w:val="006D6687"/>
    <w:rsid w:val="006D6D31"/>
    <w:rsid w:val="006D6D7F"/>
    <w:rsid w:val="006D701D"/>
    <w:rsid w:val="006E0033"/>
    <w:rsid w:val="006E1B8D"/>
    <w:rsid w:val="006E2AAF"/>
    <w:rsid w:val="006E3F34"/>
    <w:rsid w:val="006E5A25"/>
    <w:rsid w:val="006E5F4E"/>
    <w:rsid w:val="006F7393"/>
    <w:rsid w:val="0070124E"/>
    <w:rsid w:val="0070224F"/>
    <w:rsid w:val="00704FE0"/>
    <w:rsid w:val="007055C6"/>
    <w:rsid w:val="0070561D"/>
    <w:rsid w:val="00706150"/>
    <w:rsid w:val="007062E3"/>
    <w:rsid w:val="007068AE"/>
    <w:rsid w:val="007075AC"/>
    <w:rsid w:val="007109C4"/>
    <w:rsid w:val="007115A2"/>
    <w:rsid w:val="007115F7"/>
    <w:rsid w:val="00712D0F"/>
    <w:rsid w:val="00713EAF"/>
    <w:rsid w:val="0071521A"/>
    <w:rsid w:val="0071538A"/>
    <w:rsid w:val="007155CE"/>
    <w:rsid w:val="0071757F"/>
    <w:rsid w:val="007201E3"/>
    <w:rsid w:val="00732302"/>
    <w:rsid w:val="00734681"/>
    <w:rsid w:val="00734D6A"/>
    <w:rsid w:val="00741EC4"/>
    <w:rsid w:val="007422C2"/>
    <w:rsid w:val="007431CC"/>
    <w:rsid w:val="00743756"/>
    <w:rsid w:val="00746B07"/>
    <w:rsid w:val="00746DA0"/>
    <w:rsid w:val="007531EA"/>
    <w:rsid w:val="00753E7A"/>
    <w:rsid w:val="00754CFE"/>
    <w:rsid w:val="00761E31"/>
    <w:rsid w:val="007623BE"/>
    <w:rsid w:val="0076261A"/>
    <w:rsid w:val="00763119"/>
    <w:rsid w:val="00763F6F"/>
    <w:rsid w:val="00765BF9"/>
    <w:rsid w:val="007669DC"/>
    <w:rsid w:val="00771580"/>
    <w:rsid w:val="00772A57"/>
    <w:rsid w:val="00775E24"/>
    <w:rsid w:val="00781423"/>
    <w:rsid w:val="00785689"/>
    <w:rsid w:val="00785AC0"/>
    <w:rsid w:val="00787720"/>
    <w:rsid w:val="007903AA"/>
    <w:rsid w:val="007906AA"/>
    <w:rsid w:val="00790A55"/>
    <w:rsid w:val="00793B95"/>
    <w:rsid w:val="00794291"/>
    <w:rsid w:val="007949FA"/>
    <w:rsid w:val="00794D23"/>
    <w:rsid w:val="007951D0"/>
    <w:rsid w:val="007966D4"/>
    <w:rsid w:val="007968DD"/>
    <w:rsid w:val="00796F14"/>
    <w:rsid w:val="0079754B"/>
    <w:rsid w:val="007A17E7"/>
    <w:rsid w:val="007A1E6D"/>
    <w:rsid w:val="007A1EFE"/>
    <w:rsid w:val="007A758D"/>
    <w:rsid w:val="007A7F59"/>
    <w:rsid w:val="007B0C89"/>
    <w:rsid w:val="007B0EA9"/>
    <w:rsid w:val="007B13B8"/>
    <w:rsid w:val="007B3978"/>
    <w:rsid w:val="007B59DA"/>
    <w:rsid w:val="007B5B58"/>
    <w:rsid w:val="007B6171"/>
    <w:rsid w:val="007C2739"/>
    <w:rsid w:val="007C5FA4"/>
    <w:rsid w:val="007C7659"/>
    <w:rsid w:val="007D0F6C"/>
    <w:rsid w:val="007D2DFA"/>
    <w:rsid w:val="007D4337"/>
    <w:rsid w:val="007D43B6"/>
    <w:rsid w:val="007D4B3B"/>
    <w:rsid w:val="007D521D"/>
    <w:rsid w:val="007E0782"/>
    <w:rsid w:val="007E5895"/>
    <w:rsid w:val="007E5B4E"/>
    <w:rsid w:val="007E68FA"/>
    <w:rsid w:val="007F0237"/>
    <w:rsid w:val="007F4DD1"/>
    <w:rsid w:val="007F587C"/>
    <w:rsid w:val="007F6123"/>
    <w:rsid w:val="007F6D92"/>
    <w:rsid w:val="00800B79"/>
    <w:rsid w:val="00800CA0"/>
    <w:rsid w:val="00801388"/>
    <w:rsid w:val="008029AE"/>
    <w:rsid w:val="00804578"/>
    <w:rsid w:val="00804790"/>
    <w:rsid w:val="0080612A"/>
    <w:rsid w:val="008108A7"/>
    <w:rsid w:val="00810E3B"/>
    <w:rsid w:val="00811435"/>
    <w:rsid w:val="008146FB"/>
    <w:rsid w:val="008152F7"/>
    <w:rsid w:val="00815EB7"/>
    <w:rsid w:val="00817673"/>
    <w:rsid w:val="008208F0"/>
    <w:rsid w:val="00821B29"/>
    <w:rsid w:val="00822CDF"/>
    <w:rsid w:val="00822CE0"/>
    <w:rsid w:val="00826597"/>
    <w:rsid w:val="008273F1"/>
    <w:rsid w:val="00827CCB"/>
    <w:rsid w:val="00827E28"/>
    <w:rsid w:val="0083172E"/>
    <w:rsid w:val="00833A08"/>
    <w:rsid w:val="0083751F"/>
    <w:rsid w:val="00841AB1"/>
    <w:rsid w:val="00842A26"/>
    <w:rsid w:val="00843A43"/>
    <w:rsid w:val="00844494"/>
    <w:rsid w:val="00844B86"/>
    <w:rsid w:val="00846348"/>
    <w:rsid w:val="00846ED7"/>
    <w:rsid w:val="008474E6"/>
    <w:rsid w:val="00847558"/>
    <w:rsid w:val="00854E57"/>
    <w:rsid w:val="0086119E"/>
    <w:rsid w:val="00863316"/>
    <w:rsid w:val="00863C69"/>
    <w:rsid w:val="00864A54"/>
    <w:rsid w:val="00870DD3"/>
    <w:rsid w:val="00873EEC"/>
    <w:rsid w:val="00876B8B"/>
    <w:rsid w:val="00882254"/>
    <w:rsid w:val="00890262"/>
    <w:rsid w:val="00890622"/>
    <w:rsid w:val="00891BEB"/>
    <w:rsid w:val="008A13BF"/>
    <w:rsid w:val="008A13DE"/>
    <w:rsid w:val="008A2A8E"/>
    <w:rsid w:val="008A53C0"/>
    <w:rsid w:val="008A7CA1"/>
    <w:rsid w:val="008B2F1E"/>
    <w:rsid w:val="008B2F42"/>
    <w:rsid w:val="008B63B3"/>
    <w:rsid w:val="008B67E4"/>
    <w:rsid w:val="008C2587"/>
    <w:rsid w:val="008C3E0C"/>
    <w:rsid w:val="008D61BC"/>
    <w:rsid w:val="008E09E9"/>
    <w:rsid w:val="008E28C7"/>
    <w:rsid w:val="008E4B77"/>
    <w:rsid w:val="008F131B"/>
    <w:rsid w:val="008F6EBC"/>
    <w:rsid w:val="00901549"/>
    <w:rsid w:val="00901B32"/>
    <w:rsid w:val="00902E4A"/>
    <w:rsid w:val="009072B0"/>
    <w:rsid w:val="00910F18"/>
    <w:rsid w:val="009118CE"/>
    <w:rsid w:val="00912613"/>
    <w:rsid w:val="00913226"/>
    <w:rsid w:val="00914864"/>
    <w:rsid w:val="00914DDB"/>
    <w:rsid w:val="009159CD"/>
    <w:rsid w:val="00916F14"/>
    <w:rsid w:val="00917C6C"/>
    <w:rsid w:val="00917D01"/>
    <w:rsid w:val="00920C59"/>
    <w:rsid w:val="009215F2"/>
    <w:rsid w:val="00921803"/>
    <w:rsid w:val="0092348F"/>
    <w:rsid w:val="009237C1"/>
    <w:rsid w:val="009239C6"/>
    <w:rsid w:val="00926503"/>
    <w:rsid w:val="00930FF5"/>
    <w:rsid w:val="00933524"/>
    <w:rsid w:val="009354A6"/>
    <w:rsid w:val="0094069C"/>
    <w:rsid w:val="00941CB9"/>
    <w:rsid w:val="00946661"/>
    <w:rsid w:val="00950612"/>
    <w:rsid w:val="00951419"/>
    <w:rsid w:val="009527DD"/>
    <w:rsid w:val="00952FE3"/>
    <w:rsid w:val="009561A8"/>
    <w:rsid w:val="009678C8"/>
    <w:rsid w:val="00970649"/>
    <w:rsid w:val="00970962"/>
    <w:rsid w:val="00971FC4"/>
    <w:rsid w:val="009729C6"/>
    <w:rsid w:val="00973346"/>
    <w:rsid w:val="00974076"/>
    <w:rsid w:val="00974AF1"/>
    <w:rsid w:val="0097528F"/>
    <w:rsid w:val="00976048"/>
    <w:rsid w:val="009775B1"/>
    <w:rsid w:val="009806C6"/>
    <w:rsid w:val="00980C3F"/>
    <w:rsid w:val="00983C66"/>
    <w:rsid w:val="00984A20"/>
    <w:rsid w:val="009857C4"/>
    <w:rsid w:val="009867F4"/>
    <w:rsid w:val="00987977"/>
    <w:rsid w:val="00995110"/>
    <w:rsid w:val="0099541C"/>
    <w:rsid w:val="00995666"/>
    <w:rsid w:val="009964C2"/>
    <w:rsid w:val="009971E4"/>
    <w:rsid w:val="009A0564"/>
    <w:rsid w:val="009A0693"/>
    <w:rsid w:val="009A493F"/>
    <w:rsid w:val="009A4E6C"/>
    <w:rsid w:val="009A5854"/>
    <w:rsid w:val="009A5F41"/>
    <w:rsid w:val="009B200E"/>
    <w:rsid w:val="009B49CB"/>
    <w:rsid w:val="009B645C"/>
    <w:rsid w:val="009C0FBA"/>
    <w:rsid w:val="009C1889"/>
    <w:rsid w:val="009C2B20"/>
    <w:rsid w:val="009C35E7"/>
    <w:rsid w:val="009C3AF3"/>
    <w:rsid w:val="009C790D"/>
    <w:rsid w:val="009D156B"/>
    <w:rsid w:val="009D197B"/>
    <w:rsid w:val="009D2EAA"/>
    <w:rsid w:val="009D3065"/>
    <w:rsid w:val="009D33E4"/>
    <w:rsid w:val="009D5F37"/>
    <w:rsid w:val="009E2F8C"/>
    <w:rsid w:val="009E31E4"/>
    <w:rsid w:val="009E39BA"/>
    <w:rsid w:val="009E484C"/>
    <w:rsid w:val="009E593F"/>
    <w:rsid w:val="009E6E67"/>
    <w:rsid w:val="009F2261"/>
    <w:rsid w:val="009F5876"/>
    <w:rsid w:val="009F6506"/>
    <w:rsid w:val="00A00121"/>
    <w:rsid w:val="00A022BA"/>
    <w:rsid w:val="00A022ED"/>
    <w:rsid w:val="00A025AC"/>
    <w:rsid w:val="00A073F3"/>
    <w:rsid w:val="00A13F62"/>
    <w:rsid w:val="00A14E35"/>
    <w:rsid w:val="00A2113D"/>
    <w:rsid w:val="00A23203"/>
    <w:rsid w:val="00A23651"/>
    <w:rsid w:val="00A23FA3"/>
    <w:rsid w:val="00A265E0"/>
    <w:rsid w:val="00A266B3"/>
    <w:rsid w:val="00A27155"/>
    <w:rsid w:val="00A2747D"/>
    <w:rsid w:val="00A30BAD"/>
    <w:rsid w:val="00A31344"/>
    <w:rsid w:val="00A347DA"/>
    <w:rsid w:val="00A35399"/>
    <w:rsid w:val="00A36006"/>
    <w:rsid w:val="00A415C7"/>
    <w:rsid w:val="00A41B18"/>
    <w:rsid w:val="00A43E49"/>
    <w:rsid w:val="00A43E6F"/>
    <w:rsid w:val="00A45F4F"/>
    <w:rsid w:val="00A505E3"/>
    <w:rsid w:val="00A555DB"/>
    <w:rsid w:val="00A5626B"/>
    <w:rsid w:val="00A56623"/>
    <w:rsid w:val="00A600A9"/>
    <w:rsid w:val="00A61796"/>
    <w:rsid w:val="00A619F6"/>
    <w:rsid w:val="00A714A4"/>
    <w:rsid w:val="00A730A2"/>
    <w:rsid w:val="00A73FD6"/>
    <w:rsid w:val="00A81831"/>
    <w:rsid w:val="00A82358"/>
    <w:rsid w:val="00A848F4"/>
    <w:rsid w:val="00A84D9C"/>
    <w:rsid w:val="00A85A1B"/>
    <w:rsid w:val="00A860A4"/>
    <w:rsid w:val="00A9011C"/>
    <w:rsid w:val="00A93E41"/>
    <w:rsid w:val="00A960D0"/>
    <w:rsid w:val="00A9628D"/>
    <w:rsid w:val="00AA099C"/>
    <w:rsid w:val="00AA154D"/>
    <w:rsid w:val="00AA1D0E"/>
    <w:rsid w:val="00AA55B7"/>
    <w:rsid w:val="00AA5B9E"/>
    <w:rsid w:val="00AB180F"/>
    <w:rsid w:val="00AB2407"/>
    <w:rsid w:val="00AB2539"/>
    <w:rsid w:val="00AB4CB2"/>
    <w:rsid w:val="00AB53DF"/>
    <w:rsid w:val="00AB5841"/>
    <w:rsid w:val="00AB758F"/>
    <w:rsid w:val="00AC0E0C"/>
    <w:rsid w:val="00AC1145"/>
    <w:rsid w:val="00AC117A"/>
    <w:rsid w:val="00AC22AB"/>
    <w:rsid w:val="00AC2F08"/>
    <w:rsid w:val="00AD4A17"/>
    <w:rsid w:val="00AD5280"/>
    <w:rsid w:val="00AD55C8"/>
    <w:rsid w:val="00AD7BFC"/>
    <w:rsid w:val="00AE0132"/>
    <w:rsid w:val="00AE0337"/>
    <w:rsid w:val="00AE1D07"/>
    <w:rsid w:val="00AE4F94"/>
    <w:rsid w:val="00AE5954"/>
    <w:rsid w:val="00AE6604"/>
    <w:rsid w:val="00AF1DE5"/>
    <w:rsid w:val="00AF30AF"/>
    <w:rsid w:val="00AF425B"/>
    <w:rsid w:val="00AF5845"/>
    <w:rsid w:val="00AF65AF"/>
    <w:rsid w:val="00AF6905"/>
    <w:rsid w:val="00AF7C13"/>
    <w:rsid w:val="00B01853"/>
    <w:rsid w:val="00B0310A"/>
    <w:rsid w:val="00B077C3"/>
    <w:rsid w:val="00B07E5C"/>
    <w:rsid w:val="00B10324"/>
    <w:rsid w:val="00B1126A"/>
    <w:rsid w:val="00B1452A"/>
    <w:rsid w:val="00B16D85"/>
    <w:rsid w:val="00B212AF"/>
    <w:rsid w:val="00B23AEE"/>
    <w:rsid w:val="00B253D4"/>
    <w:rsid w:val="00B27429"/>
    <w:rsid w:val="00B30993"/>
    <w:rsid w:val="00B35B5A"/>
    <w:rsid w:val="00B525AC"/>
    <w:rsid w:val="00B5739A"/>
    <w:rsid w:val="00B62907"/>
    <w:rsid w:val="00B64C67"/>
    <w:rsid w:val="00B6785A"/>
    <w:rsid w:val="00B719FE"/>
    <w:rsid w:val="00B72879"/>
    <w:rsid w:val="00B73274"/>
    <w:rsid w:val="00B74132"/>
    <w:rsid w:val="00B75F20"/>
    <w:rsid w:val="00B766FC"/>
    <w:rsid w:val="00B811F7"/>
    <w:rsid w:val="00B81A5E"/>
    <w:rsid w:val="00B8227C"/>
    <w:rsid w:val="00B83CFC"/>
    <w:rsid w:val="00B84721"/>
    <w:rsid w:val="00B86403"/>
    <w:rsid w:val="00B867A1"/>
    <w:rsid w:val="00B86B0C"/>
    <w:rsid w:val="00B86BED"/>
    <w:rsid w:val="00B91E99"/>
    <w:rsid w:val="00B929B3"/>
    <w:rsid w:val="00B935AC"/>
    <w:rsid w:val="00B94267"/>
    <w:rsid w:val="00B944BC"/>
    <w:rsid w:val="00B94A4A"/>
    <w:rsid w:val="00B95697"/>
    <w:rsid w:val="00B95CF2"/>
    <w:rsid w:val="00B96507"/>
    <w:rsid w:val="00BA00B6"/>
    <w:rsid w:val="00BA5DC6"/>
    <w:rsid w:val="00BA6196"/>
    <w:rsid w:val="00BA69D1"/>
    <w:rsid w:val="00BA6B41"/>
    <w:rsid w:val="00BA703F"/>
    <w:rsid w:val="00BA70F6"/>
    <w:rsid w:val="00BA7184"/>
    <w:rsid w:val="00BA7B20"/>
    <w:rsid w:val="00BB2B31"/>
    <w:rsid w:val="00BB54D5"/>
    <w:rsid w:val="00BB5987"/>
    <w:rsid w:val="00BB7B75"/>
    <w:rsid w:val="00BC1547"/>
    <w:rsid w:val="00BC2155"/>
    <w:rsid w:val="00BC46BF"/>
    <w:rsid w:val="00BC6D8C"/>
    <w:rsid w:val="00BD06E7"/>
    <w:rsid w:val="00BD3913"/>
    <w:rsid w:val="00BD5BD7"/>
    <w:rsid w:val="00BD640D"/>
    <w:rsid w:val="00BD68BF"/>
    <w:rsid w:val="00BD6D36"/>
    <w:rsid w:val="00BD7A30"/>
    <w:rsid w:val="00BE00DC"/>
    <w:rsid w:val="00BE4906"/>
    <w:rsid w:val="00BF069B"/>
    <w:rsid w:val="00BF0DAE"/>
    <w:rsid w:val="00BF49EA"/>
    <w:rsid w:val="00BF6B15"/>
    <w:rsid w:val="00C011A9"/>
    <w:rsid w:val="00C01EA0"/>
    <w:rsid w:val="00C0305F"/>
    <w:rsid w:val="00C068D8"/>
    <w:rsid w:val="00C073AE"/>
    <w:rsid w:val="00C110FE"/>
    <w:rsid w:val="00C11744"/>
    <w:rsid w:val="00C13CE4"/>
    <w:rsid w:val="00C159A0"/>
    <w:rsid w:val="00C16853"/>
    <w:rsid w:val="00C17545"/>
    <w:rsid w:val="00C20BCB"/>
    <w:rsid w:val="00C226AC"/>
    <w:rsid w:val="00C23D19"/>
    <w:rsid w:val="00C34006"/>
    <w:rsid w:val="00C35E20"/>
    <w:rsid w:val="00C361A1"/>
    <w:rsid w:val="00C426B1"/>
    <w:rsid w:val="00C43357"/>
    <w:rsid w:val="00C43FD1"/>
    <w:rsid w:val="00C440BE"/>
    <w:rsid w:val="00C46664"/>
    <w:rsid w:val="00C46EBB"/>
    <w:rsid w:val="00C51002"/>
    <w:rsid w:val="00C51E0E"/>
    <w:rsid w:val="00C54473"/>
    <w:rsid w:val="00C57AE9"/>
    <w:rsid w:val="00C60AD6"/>
    <w:rsid w:val="00C61624"/>
    <w:rsid w:val="00C6194A"/>
    <w:rsid w:val="00C62412"/>
    <w:rsid w:val="00C637BA"/>
    <w:rsid w:val="00C67AD4"/>
    <w:rsid w:val="00C7009D"/>
    <w:rsid w:val="00C7183C"/>
    <w:rsid w:val="00C71D80"/>
    <w:rsid w:val="00C74FF3"/>
    <w:rsid w:val="00C75490"/>
    <w:rsid w:val="00C76EA3"/>
    <w:rsid w:val="00C8072A"/>
    <w:rsid w:val="00C81BCA"/>
    <w:rsid w:val="00C8323F"/>
    <w:rsid w:val="00C83569"/>
    <w:rsid w:val="00C83CEE"/>
    <w:rsid w:val="00C83E08"/>
    <w:rsid w:val="00C847EC"/>
    <w:rsid w:val="00C85CF7"/>
    <w:rsid w:val="00C866BF"/>
    <w:rsid w:val="00C879EC"/>
    <w:rsid w:val="00C906AA"/>
    <w:rsid w:val="00C90D6A"/>
    <w:rsid w:val="00C90EAD"/>
    <w:rsid w:val="00C938D7"/>
    <w:rsid w:val="00C93A32"/>
    <w:rsid w:val="00C93C8F"/>
    <w:rsid w:val="00C972C5"/>
    <w:rsid w:val="00CA247E"/>
    <w:rsid w:val="00CA2AAD"/>
    <w:rsid w:val="00CA5173"/>
    <w:rsid w:val="00CA5EB3"/>
    <w:rsid w:val="00CA630F"/>
    <w:rsid w:val="00CA6DC7"/>
    <w:rsid w:val="00CA70B8"/>
    <w:rsid w:val="00CB027E"/>
    <w:rsid w:val="00CB0C27"/>
    <w:rsid w:val="00CB12BC"/>
    <w:rsid w:val="00CB1C06"/>
    <w:rsid w:val="00CB7C86"/>
    <w:rsid w:val="00CC4B8D"/>
    <w:rsid w:val="00CC4F4E"/>
    <w:rsid w:val="00CC55AA"/>
    <w:rsid w:val="00CC618E"/>
    <w:rsid w:val="00CC72B6"/>
    <w:rsid w:val="00CD0E7B"/>
    <w:rsid w:val="00CD1266"/>
    <w:rsid w:val="00CD1B2E"/>
    <w:rsid w:val="00CD2015"/>
    <w:rsid w:val="00CD646A"/>
    <w:rsid w:val="00CD7B7E"/>
    <w:rsid w:val="00CE0B9C"/>
    <w:rsid w:val="00CE13F3"/>
    <w:rsid w:val="00CE3AC2"/>
    <w:rsid w:val="00CE7F13"/>
    <w:rsid w:val="00CF00AC"/>
    <w:rsid w:val="00CF025B"/>
    <w:rsid w:val="00CF2818"/>
    <w:rsid w:val="00D0218D"/>
    <w:rsid w:val="00D02FA8"/>
    <w:rsid w:val="00D04BE3"/>
    <w:rsid w:val="00D11E54"/>
    <w:rsid w:val="00D12A34"/>
    <w:rsid w:val="00D20B6F"/>
    <w:rsid w:val="00D21AF6"/>
    <w:rsid w:val="00D23BE4"/>
    <w:rsid w:val="00D27993"/>
    <w:rsid w:val="00D27F39"/>
    <w:rsid w:val="00D33A60"/>
    <w:rsid w:val="00D343C0"/>
    <w:rsid w:val="00D365FE"/>
    <w:rsid w:val="00D41DC2"/>
    <w:rsid w:val="00D45613"/>
    <w:rsid w:val="00D45CEF"/>
    <w:rsid w:val="00D47448"/>
    <w:rsid w:val="00D47E24"/>
    <w:rsid w:val="00D50DDB"/>
    <w:rsid w:val="00D51EA1"/>
    <w:rsid w:val="00D54332"/>
    <w:rsid w:val="00D571F3"/>
    <w:rsid w:val="00D6014E"/>
    <w:rsid w:val="00D62A03"/>
    <w:rsid w:val="00D65109"/>
    <w:rsid w:val="00D65BC5"/>
    <w:rsid w:val="00D6694F"/>
    <w:rsid w:val="00D670BF"/>
    <w:rsid w:val="00D7084D"/>
    <w:rsid w:val="00D70A08"/>
    <w:rsid w:val="00D73ACC"/>
    <w:rsid w:val="00D752F7"/>
    <w:rsid w:val="00D77BC1"/>
    <w:rsid w:val="00D80837"/>
    <w:rsid w:val="00D8124E"/>
    <w:rsid w:val="00D83832"/>
    <w:rsid w:val="00D83C93"/>
    <w:rsid w:val="00D851C0"/>
    <w:rsid w:val="00D86CEA"/>
    <w:rsid w:val="00D90CBD"/>
    <w:rsid w:val="00D9539F"/>
    <w:rsid w:val="00D97E99"/>
    <w:rsid w:val="00DA025C"/>
    <w:rsid w:val="00DA0703"/>
    <w:rsid w:val="00DA2529"/>
    <w:rsid w:val="00DB0247"/>
    <w:rsid w:val="00DB130A"/>
    <w:rsid w:val="00DB19C7"/>
    <w:rsid w:val="00DB368F"/>
    <w:rsid w:val="00DB495F"/>
    <w:rsid w:val="00DB5774"/>
    <w:rsid w:val="00DC0432"/>
    <w:rsid w:val="00DC064C"/>
    <w:rsid w:val="00DC10A1"/>
    <w:rsid w:val="00DC1228"/>
    <w:rsid w:val="00DC3780"/>
    <w:rsid w:val="00DC655F"/>
    <w:rsid w:val="00DD0B59"/>
    <w:rsid w:val="00DD3A68"/>
    <w:rsid w:val="00DD7122"/>
    <w:rsid w:val="00DD7EBD"/>
    <w:rsid w:val="00DE0829"/>
    <w:rsid w:val="00DE180E"/>
    <w:rsid w:val="00DE23DE"/>
    <w:rsid w:val="00DE71FD"/>
    <w:rsid w:val="00DE7839"/>
    <w:rsid w:val="00DF2CD0"/>
    <w:rsid w:val="00DF2E71"/>
    <w:rsid w:val="00DF310F"/>
    <w:rsid w:val="00DF422B"/>
    <w:rsid w:val="00DF47F8"/>
    <w:rsid w:val="00DF61B1"/>
    <w:rsid w:val="00DF62B6"/>
    <w:rsid w:val="00DF7B71"/>
    <w:rsid w:val="00E00395"/>
    <w:rsid w:val="00E03B38"/>
    <w:rsid w:val="00E06BFB"/>
    <w:rsid w:val="00E07225"/>
    <w:rsid w:val="00E14196"/>
    <w:rsid w:val="00E149D0"/>
    <w:rsid w:val="00E1553C"/>
    <w:rsid w:val="00E1772E"/>
    <w:rsid w:val="00E17FA1"/>
    <w:rsid w:val="00E206FF"/>
    <w:rsid w:val="00E21BF3"/>
    <w:rsid w:val="00E3208F"/>
    <w:rsid w:val="00E33597"/>
    <w:rsid w:val="00E335BB"/>
    <w:rsid w:val="00E37C0D"/>
    <w:rsid w:val="00E42A6B"/>
    <w:rsid w:val="00E444C0"/>
    <w:rsid w:val="00E4499C"/>
    <w:rsid w:val="00E45792"/>
    <w:rsid w:val="00E51244"/>
    <w:rsid w:val="00E53198"/>
    <w:rsid w:val="00E533E6"/>
    <w:rsid w:val="00E5409F"/>
    <w:rsid w:val="00E5421F"/>
    <w:rsid w:val="00E550D0"/>
    <w:rsid w:val="00E55917"/>
    <w:rsid w:val="00E60638"/>
    <w:rsid w:val="00E62469"/>
    <w:rsid w:val="00E650FC"/>
    <w:rsid w:val="00E66A93"/>
    <w:rsid w:val="00E66E76"/>
    <w:rsid w:val="00E66F2A"/>
    <w:rsid w:val="00E702A2"/>
    <w:rsid w:val="00E7074D"/>
    <w:rsid w:val="00E73078"/>
    <w:rsid w:val="00E74AC1"/>
    <w:rsid w:val="00E74AF1"/>
    <w:rsid w:val="00E75186"/>
    <w:rsid w:val="00E75FCF"/>
    <w:rsid w:val="00E81C0C"/>
    <w:rsid w:val="00E83612"/>
    <w:rsid w:val="00E83F9D"/>
    <w:rsid w:val="00E85D93"/>
    <w:rsid w:val="00E87EDD"/>
    <w:rsid w:val="00E90496"/>
    <w:rsid w:val="00E93C20"/>
    <w:rsid w:val="00E93E53"/>
    <w:rsid w:val="00E9482B"/>
    <w:rsid w:val="00E94938"/>
    <w:rsid w:val="00EA2DCF"/>
    <w:rsid w:val="00EA3A11"/>
    <w:rsid w:val="00EA3E82"/>
    <w:rsid w:val="00EA4633"/>
    <w:rsid w:val="00EA5F54"/>
    <w:rsid w:val="00EA6183"/>
    <w:rsid w:val="00EB0243"/>
    <w:rsid w:val="00EB2D70"/>
    <w:rsid w:val="00EB4F5D"/>
    <w:rsid w:val="00EC1A67"/>
    <w:rsid w:val="00EC42C1"/>
    <w:rsid w:val="00EC5DF0"/>
    <w:rsid w:val="00ED038A"/>
    <w:rsid w:val="00ED1E4E"/>
    <w:rsid w:val="00ED2BD2"/>
    <w:rsid w:val="00ED2BE7"/>
    <w:rsid w:val="00ED5BB8"/>
    <w:rsid w:val="00ED6ABD"/>
    <w:rsid w:val="00EE39D1"/>
    <w:rsid w:val="00EE52A8"/>
    <w:rsid w:val="00EE560D"/>
    <w:rsid w:val="00EE5BD7"/>
    <w:rsid w:val="00EE6488"/>
    <w:rsid w:val="00EF54B6"/>
    <w:rsid w:val="00EF6051"/>
    <w:rsid w:val="00EF6F87"/>
    <w:rsid w:val="00F01527"/>
    <w:rsid w:val="00F021FA"/>
    <w:rsid w:val="00F026A3"/>
    <w:rsid w:val="00F06CB8"/>
    <w:rsid w:val="00F0744B"/>
    <w:rsid w:val="00F10305"/>
    <w:rsid w:val="00F10F3D"/>
    <w:rsid w:val="00F12A79"/>
    <w:rsid w:val="00F1368B"/>
    <w:rsid w:val="00F157DD"/>
    <w:rsid w:val="00F15A7E"/>
    <w:rsid w:val="00F173B3"/>
    <w:rsid w:val="00F20E69"/>
    <w:rsid w:val="00F30AD7"/>
    <w:rsid w:val="00F31C87"/>
    <w:rsid w:val="00F33657"/>
    <w:rsid w:val="00F35F6F"/>
    <w:rsid w:val="00F43436"/>
    <w:rsid w:val="00F43C81"/>
    <w:rsid w:val="00F452FC"/>
    <w:rsid w:val="00F45F4E"/>
    <w:rsid w:val="00F468AE"/>
    <w:rsid w:val="00F50AE1"/>
    <w:rsid w:val="00F510E4"/>
    <w:rsid w:val="00F51462"/>
    <w:rsid w:val="00F52547"/>
    <w:rsid w:val="00F55ED9"/>
    <w:rsid w:val="00F61AC3"/>
    <w:rsid w:val="00F62E54"/>
    <w:rsid w:val="00F62E97"/>
    <w:rsid w:val="00F64081"/>
    <w:rsid w:val="00F64209"/>
    <w:rsid w:val="00F6505E"/>
    <w:rsid w:val="00F67997"/>
    <w:rsid w:val="00F710E6"/>
    <w:rsid w:val="00F73E06"/>
    <w:rsid w:val="00F73E96"/>
    <w:rsid w:val="00F7621B"/>
    <w:rsid w:val="00F8205E"/>
    <w:rsid w:val="00F83F8E"/>
    <w:rsid w:val="00F84F8D"/>
    <w:rsid w:val="00F85429"/>
    <w:rsid w:val="00F85703"/>
    <w:rsid w:val="00F91162"/>
    <w:rsid w:val="00F93BF5"/>
    <w:rsid w:val="00F95498"/>
    <w:rsid w:val="00F96992"/>
    <w:rsid w:val="00F97377"/>
    <w:rsid w:val="00F97568"/>
    <w:rsid w:val="00FA0F19"/>
    <w:rsid w:val="00FA2FF3"/>
    <w:rsid w:val="00FA3B1C"/>
    <w:rsid w:val="00FA50AC"/>
    <w:rsid w:val="00FA71DD"/>
    <w:rsid w:val="00FB07E4"/>
    <w:rsid w:val="00FB0A89"/>
    <w:rsid w:val="00FB2445"/>
    <w:rsid w:val="00FB4DFE"/>
    <w:rsid w:val="00FB56D6"/>
    <w:rsid w:val="00FC28F7"/>
    <w:rsid w:val="00FC6274"/>
    <w:rsid w:val="00FC7A9B"/>
    <w:rsid w:val="00FD07DA"/>
    <w:rsid w:val="00FD3276"/>
    <w:rsid w:val="00FD3C23"/>
    <w:rsid w:val="00FD4241"/>
    <w:rsid w:val="00FD598A"/>
    <w:rsid w:val="00FD5C70"/>
    <w:rsid w:val="00FD759F"/>
    <w:rsid w:val="00FE2E34"/>
    <w:rsid w:val="00FE317B"/>
    <w:rsid w:val="00FE4832"/>
    <w:rsid w:val="00FE4C83"/>
    <w:rsid w:val="00FE5AF9"/>
    <w:rsid w:val="00FE654A"/>
    <w:rsid w:val="00FF03E7"/>
    <w:rsid w:val="00FF1A39"/>
    <w:rsid w:val="00FF267B"/>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2E207A"/>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1,Footnote Text Char Char,Footnote Text Char1 Char Char,Footnote Text Char Char Char Char,Footnote Text Char1 Char Char Char1 Char,Footnote Text Char Char Char Char Char1 Char,Footnote Text Char,Footnote Text Char1 Char2"/>
    <w:link w:val="FootnoteTextChar2"/>
    <w:semiHidden/>
    <w:rsid w:val="000E3D42"/>
    <w:pPr>
      <w:spacing w:after="120"/>
    </w:pPr>
  </w:style>
  <w:style w:type="character" w:styleId="FootnoteReference">
    <w:name w:val="footnote reference"/>
    <w:aliases w:val="Appel note de bas de p,o,fr,(NECG) Footnote Reference,Style 12,Style 124,Style 3,Style 17,FR,Style 13,Footnote Reference/,Style 6"/>
    <w:semiHidden/>
    <w:rPr>
      <w:rFonts w:ascii="Times New Roman" w:hAnsi="Times New Roman"/>
      <w:dstrike w:val="0"/>
      <w:color w:val="auto"/>
      <w:sz w:val="22"/>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2">
    <w:name w:val="Footnote Text Char2"/>
    <w:aliases w:val="Footnote Text Char1 Char,Footnote Text Char Char Char,Footnote Text Char1 Char Char Char,Footnote Text Char Char Char Char Char,Footnote Text Char1 Char Char Char1 Char Char,Footnote Text Char Char Char Char Char1 Char Char"/>
    <w:link w:val="FootnoteText"/>
    <w:semiHidden/>
    <w:locked/>
    <w:rsid w:val="006873BE"/>
    <w:rPr>
      <w:lang w:val="en-US" w:eastAsia="en-US" w:bidi="ar-SA"/>
    </w:rPr>
  </w:style>
  <w:style w:type="character" w:customStyle="1" w:styleId="ParaNumChar">
    <w:name w:val="ParaNum Char"/>
    <w:link w:val="ParaNum"/>
    <w:locked/>
    <w:rsid w:val="006873BE"/>
    <w:rPr>
      <w:snapToGrid w:val="0"/>
      <w:kern w:val="28"/>
      <w:sz w:val="22"/>
      <w:lang w:val="en-US" w:eastAsia="en-US" w:bidi="ar-SA"/>
    </w:rPr>
  </w:style>
  <w:style w:type="paragraph" w:styleId="NormalWeb">
    <w:name w:val="Normal (Web)"/>
    <w:basedOn w:val="Normal"/>
    <w:rsid w:val="007B5B58"/>
    <w:pPr>
      <w:widowControl/>
      <w:spacing w:before="100" w:beforeAutospacing="1" w:after="100" w:afterAutospacing="1"/>
    </w:pPr>
    <w:rPr>
      <w:rFonts w:ascii="Verdana" w:hAnsi="Verdana"/>
      <w:snapToGrid/>
      <w:color w:val="000000"/>
      <w:kern w:val="0"/>
      <w:sz w:val="20"/>
    </w:rPr>
  </w:style>
  <w:style w:type="character" w:customStyle="1" w:styleId="FootnoteTextChar4">
    <w:name w:val="Footnote Text Char4"/>
    <w:aliases w:val="Footnote Text Char2 Char1,Footnote Text Char1 Char Char1,Footnote Text Char Char Char Char1,Footnote Text Char2 Char Char Char Char1,Footnote Text Char1 Char3 Char Char Char Char1,Footnote Text Char Char Char Char Char Char Char1"/>
    <w:semiHidden/>
    <w:locked/>
    <w:rsid w:val="007B5B58"/>
    <w:rPr>
      <w:rFonts w:cs="Times New Roman"/>
      <w:lang w:val="en-US" w:eastAsia="en-US" w:bidi="ar-SA"/>
    </w:rPr>
  </w:style>
  <w:style w:type="paragraph" w:customStyle="1" w:styleId="StyleParaNumItalic">
    <w:name w:val="Style ParaNum + Italic"/>
    <w:basedOn w:val="ParaNum"/>
    <w:link w:val="StyleParaNumItalicChar"/>
    <w:rsid w:val="00FD3C23"/>
    <w:pPr>
      <w:widowControl/>
      <w:numPr>
        <w:numId w:val="0"/>
      </w:numPr>
      <w:tabs>
        <w:tab w:val="num" w:pos="1080"/>
      </w:tabs>
      <w:ind w:firstLine="720"/>
    </w:pPr>
    <w:rPr>
      <w:i/>
      <w:iCs/>
    </w:rPr>
  </w:style>
  <w:style w:type="character" w:customStyle="1" w:styleId="StyleParaNumItalicChar">
    <w:name w:val="Style ParaNum + Italic Char"/>
    <w:link w:val="StyleParaNumItalic"/>
    <w:rsid w:val="00FD3C23"/>
    <w:rPr>
      <w:i/>
      <w:iCs/>
      <w:snapToGrid w:val="0"/>
      <w:kern w:val="28"/>
      <w:sz w:val="22"/>
    </w:rPr>
  </w:style>
  <w:style w:type="character" w:customStyle="1" w:styleId="Heading1Char">
    <w:name w:val="Heading 1 Char"/>
    <w:link w:val="Heading1"/>
    <w:locked/>
    <w:rsid w:val="0048021A"/>
    <w:rPr>
      <w:rFonts w:ascii="Times New Roman Bold" w:hAnsi="Times New Roman Bold"/>
      <w:b/>
      <w:caps/>
      <w:snapToGrid w:val="0"/>
      <w:kern w:val="28"/>
      <w:sz w:val="22"/>
      <w:lang w:val="en-US" w:eastAsia="en-US" w:bidi="ar-SA"/>
    </w:rPr>
  </w:style>
  <w:style w:type="paragraph" w:customStyle="1" w:styleId="StyleParaNumLeft1">
    <w:name w:val="Style ParaNum + Left1"/>
    <w:basedOn w:val="ParaNum"/>
    <w:rsid w:val="00F10305"/>
    <w:pPr>
      <w:widowControl/>
      <w:numPr>
        <w:numId w:val="4"/>
      </w:numPr>
    </w:pPr>
  </w:style>
  <w:style w:type="paragraph" w:styleId="Caption">
    <w:name w:val="caption"/>
    <w:basedOn w:val="Normal"/>
    <w:next w:val="Normal"/>
    <w:qFormat/>
    <w:rsid w:val="001E2BB3"/>
    <w:pPr>
      <w:widowControl/>
      <w:spacing w:before="120" w:after="120"/>
    </w:pPr>
    <w:rPr>
      <w:b/>
      <w:snapToGrid/>
      <w:kern w:val="0"/>
      <w:sz w:val="24"/>
      <w:szCs w:val="24"/>
    </w:rPr>
  </w:style>
  <w:style w:type="character" w:styleId="Emphasis">
    <w:name w:val="Emphasis"/>
    <w:qFormat/>
    <w:rsid w:val="001E2BB3"/>
    <w:rPr>
      <w:i/>
      <w:iCs/>
    </w:rPr>
  </w:style>
  <w:style w:type="character" w:styleId="FollowedHyperlink">
    <w:name w:val="FollowedHyperlink"/>
    <w:rsid w:val="006A2D26"/>
    <w:rPr>
      <w:color w:val="800080"/>
      <w:u w:val="single"/>
    </w:rPr>
  </w:style>
  <w:style w:type="character" w:styleId="CommentReference">
    <w:name w:val="annotation reference"/>
    <w:semiHidden/>
    <w:rsid w:val="00C60AD6"/>
    <w:rPr>
      <w:sz w:val="16"/>
      <w:szCs w:val="16"/>
    </w:rPr>
  </w:style>
  <w:style w:type="paragraph" w:styleId="CommentText">
    <w:name w:val="annotation text"/>
    <w:basedOn w:val="Normal"/>
    <w:semiHidden/>
    <w:rsid w:val="00C60AD6"/>
    <w:rPr>
      <w:sz w:val="20"/>
    </w:rPr>
  </w:style>
  <w:style w:type="paragraph" w:styleId="CommentSubject">
    <w:name w:val="annotation subject"/>
    <w:basedOn w:val="CommentText"/>
    <w:next w:val="CommentText"/>
    <w:semiHidden/>
    <w:rsid w:val="00C60AD6"/>
    <w:rPr>
      <w:b/>
      <w:bCs/>
    </w:rPr>
  </w:style>
  <w:style w:type="paragraph" w:styleId="BalloonText">
    <w:name w:val="Balloon Text"/>
    <w:basedOn w:val="Normal"/>
    <w:semiHidden/>
    <w:rsid w:val="00C60AD6"/>
    <w:rPr>
      <w:rFonts w:ascii="Tahoma" w:hAnsi="Tahoma" w:cs="Tahoma"/>
      <w:sz w:val="16"/>
      <w:szCs w:val="16"/>
    </w:rPr>
  </w:style>
  <w:style w:type="paragraph" w:customStyle="1" w:styleId="Default">
    <w:name w:val="Default"/>
    <w:rsid w:val="005833A5"/>
    <w:pPr>
      <w:autoSpaceDE w:val="0"/>
      <w:autoSpaceDN w:val="0"/>
      <w:adjustRightInd w:val="0"/>
    </w:pPr>
    <w:rPr>
      <w:color w:val="000000"/>
      <w:sz w:val="24"/>
      <w:szCs w:val="24"/>
    </w:rPr>
  </w:style>
  <w:style w:type="paragraph" w:styleId="DocumentMap">
    <w:name w:val="Document Map"/>
    <w:basedOn w:val="Normal"/>
    <w:semiHidden/>
    <w:rsid w:val="002D695D"/>
    <w:pPr>
      <w:shd w:val="clear" w:color="auto" w:fill="000080"/>
    </w:pPr>
    <w:rPr>
      <w:rFonts w:ascii="Tahoma" w:hAnsi="Tahoma" w:cs="Tahoma"/>
      <w:sz w:val="20"/>
    </w:rPr>
  </w:style>
  <w:style w:type="paragraph" w:styleId="Revision">
    <w:name w:val="Revision"/>
    <w:hidden/>
    <w:uiPriority w:val="99"/>
    <w:semiHidden/>
    <w:rsid w:val="00F43C81"/>
    <w:rPr>
      <w:snapToGrid w:val="0"/>
      <w:kern w:val="28"/>
      <w:sz w:val="22"/>
    </w:rPr>
  </w:style>
  <w:style w:type="character" w:customStyle="1" w:styleId="ParaNumChar1">
    <w:name w:val="ParaNum Char1"/>
    <w:rsid w:val="0035523B"/>
    <w:rPr>
      <w:snapToGrid w:val="0"/>
      <w:kern w:val="28"/>
      <w:sz w:val="22"/>
      <w:lang w:val="en-US" w:eastAsia="en-US" w:bidi="ar-SA"/>
    </w:rPr>
  </w:style>
  <w:style w:type="character" w:customStyle="1" w:styleId="FootnoteTextChar2Char2">
    <w:name w:val="Footnote Text Char2 Char2"/>
    <w:aliases w:val="Footnote Text Char Char4 Char2,Footnote Text Char2 Char Char Char2,Footnote Text Char1 Char1 Char Char Char3,Footnote Text Char Char Char Char Char Char3,Footnote Text Char1 Char Char Char Char Char Char3,fn Char2,f Char Char"/>
    <w:semiHidden/>
    <w:locked/>
    <w:rsid w:val="0035523B"/>
    <w:rPr>
      <w:lang w:val="en-US" w:eastAsia="en-US" w:bidi="ar-SA"/>
    </w:rPr>
  </w:style>
  <w:style w:type="character" w:customStyle="1" w:styleId="FootnoteTextChar2CharCharCharCharChar1Char">
    <w:name w:val="Footnote Text Char2 Char Char Char Char Char1 Char"/>
    <w:semiHidden/>
    <w:rsid w:val="002F7F96"/>
    <w:rPr>
      <w:lang w:val="en-US" w:eastAsia="en-US" w:bidi="ar-SA"/>
    </w:rPr>
  </w:style>
  <w:style w:type="character" w:customStyle="1" w:styleId="FootnoteTextCharChar2">
    <w:name w:val="Footnote Text Char Char2"/>
    <w:aliases w:val="Footnote Text Char3 Char Char1,Footnote Text Char4 Char1 Char Char1,Footnote Text Char Char2 Char Char Char2,Footnote Text Char3 Char Char Char2 Char Char1,Footnote Text Char Char2 Char Char Char2 Char Char1,fn Char Char Char2"/>
    <w:semiHidden/>
    <w:locked/>
    <w:rsid w:val="002F7F96"/>
    <w:rPr>
      <w:lang w:val="en-US" w:eastAsia="en-US" w:bidi="ar-SA"/>
    </w:rPr>
  </w:style>
  <w:style w:type="paragraph" w:styleId="ListParagraph">
    <w:name w:val="List Paragraph"/>
    <w:basedOn w:val="Normal"/>
    <w:uiPriority w:val="34"/>
    <w:qFormat/>
    <w:rsid w:val="00277168"/>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7F90"/>
    <w:pPr>
      <w:widowControl w:val="0"/>
    </w:pPr>
    <w:rPr>
      <w:snapToGrid w:val="0"/>
      <w:kern w:val="28"/>
      <w:sz w:val="22"/>
    </w:rPr>
  </w:style>
  <w:style w:type="paragraph" w:styleId="Heading1">
    <w:name w:val="heading 1"/>
    <w:basedOn w:val="Normal"/>
    <w:next w:val="ParaNum"/>
    <w:link w:val="Heading1Char"/>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2E207A"/>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E07225"/>
    <w:pPr>
      <w:numPr>
        <w:numId w:val="2"/>
      </w:numPr>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aliases w:val="Footnote Text Char1,Footnote Text Char Char,Footnote Text Char1 Char Char,Footnote Text Char Char Char Char,Footnote Text Char1 Char Char Char1 Char,Footnote Text Char Char Char Char Char1 Char,Footnote Text Char,Footnote Text Char1 Char2"/>
    <w:link w:val="FootnoteTextChar2"/>
    <w:semiHidden/>
    <w:rsid w:val="000E3D42"/>
    <w:pPr>
      <w:spacing w:after="120"/>
    </w:pPr>
  </w:style>
  <w:style w:type="character" w:styleId="FootnoteReference">
    <w:name w:val="footnote reference"/>
    <w:aliases w:val="Appel note de bas de p,o,fr,(NECG) Footnote Reference,Style 12,Style 124,Style 3,Style 17,FR,Style 13,Footnote Reference/,Style 6"/>
    <w:semiHidden/>
    <w:rPr>
      <w:rFonts w:ascii="Times New Roman" w:hAnsi="Times New Roman"/>
      <w:dstrike w:val="0"/>
      <w:color w:val="auto"/>
      <w:sz w:val="22"/>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numPr>
        <w:numId w:val="1"/>
      </w:numPr>
      <w:tabs>
        <w:tab w:val="clear" w:pos="360"/>
        <w:tab w:val="left" w:pos="2160"/>
      </w:tabs>
      <w:spacing w:after="220"/>
      <w:ind w:left="2160" w:hanging="720"/>
    </w:pPr>
  </w:style>
  <w:style w:type="paragraph" w:customStyle="1" w:styleId="TableFormat">
    <w:name w:val="TableFormat"/>
    <w:basedOn w:val="Bullet"/>
    <w:pPr>
      <w:numPr>
        <w:numId w:val="0"/>
      </w:num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character" w:customStyle="1" w:styleId="FootnoteTextChar2">
    <w:name w:val="Footnote Text Char2"/>
    <w:aliases w:val="Footnote Text Char1 Char,Footnote Text Char Char Char,Footnote Text Char1 Char Char Char,Footnote Text Char Char Char Char Char,Footnote Text Char1 Char Char Char1 Char Char,Footnote Text Char Char Char Char Char1 Char Char"/>
    <w:link w:val="FootnoteText"/>
    <w:semiHidden/>
    <w:locked/>
    <w:rsid w:val="006873BE"/>
    <w:rPr>
      <w:lang w:val="en-US" w:eastAsia="en-US" w:bidi="ar-SA"/>
    </w:rPr>
  </w:style>
  <w:style w:type="character" w:customStyle="1" w:styleId="ParaNumChar">
    <w:name w:val="ParaNum Char"/>
    <w:link w:val="ParaNum"/>
    <w:locked/>
    <w:rsid w:val="006873BE"/>
    <w:rPr>
      <w:snapToGrid w:val="0"/>
      <w:kern w:val="28"/>
      <w:sz w:val="22"/>
      <w:lang w:val="en-US" w:eastAsia="en-US" w:bidi="ar-SA"/>
    </w:rPr>
  </w:style>
  <w:style w:type="paragraph" w:styleId="NormalWeb">
    <w:name w:val="Normal (Web)"/>
    <w:basedOn w:val="Normal"/>
    <w:rsid w:val="007B5B58"/>
    <w:pPr>
      <w:widowControl/>
      <w:spacing w:before="100" w:beforeAutospacing="1" w:after="100" w:afterAutospacing="1"/>
    </w:pPr>
    <w:rPr>
      <w:rFonts w:ascii="Verdana" w:hAnsi="Verdana"/>
      <w:snapToGrid/>
      <w:color w:val="000000"/>
      <w:kern w:val="0"/>
      <w:sz w:val="20"/>
    </w:rPr>
  </w:style>
  <w:style w:type="character" w:customStyle="1" w:styleId="FootnoteTextChar4">
    <w:name w:val="Footnote Text Char4"/>
    <w:aliases w:val="Footnote Text Char2 Char1,Footnote Text Char1 Char Char1,Footnote Text Char Char Char Char1,Footnote Text Char2 Char Char Char Char1,Footnote Text Char1 Char3 Char Char Char Char1,Footnote Text Char Char Char Char Char Char Char1"/>
    <w:semiHidden/>
    <w:locked/>
    <w:rsid w:val="007B5B58"/>
    <w:rPr>
      <w:rFonts w:cs="Times New Roman"/>
      <w:lang w:val="en-US" w:eastAsia="en-US" w:bidi="ar-SA"/>
    </w:rPr>
  </w:style>
  <w:style w:type="paragraph" w:customStyle="1" w:styleId="StyleParaNumItalic">
    <w:name w:val="Style ParaNum + Italic"/>
    <w:basedOn w:val="ParaNum"/>
    <w:link w:val="StyleParaNumItalicChar"/>
    <w:rsid w:val="00FD3C23"/>
    <w:pPr>
      <w:widowControl/>
      <w:numPr>
        <w:numId w:val="0"/>
      </w:numPr>
      <w:tabs>
        <w:tab w:val="num" w:pos="1080"/>
      </w:tabs>
      <w:ind w:firstLine="720"/>
    </w:pPr>
    <w:rPr>
      <w:i/>
      <w:iCs/>
    </w:rPr>
  </w:style>
  <w:style w:type="character" w:customStyle="1" w:styleId="StyleParaNumItalicChar">
    <w:name w:val="Style ParaNum + Italic Char"/>
    <w:link w:val="StyleParaNumItalic"/>
    <w:rsid w:val="00FD3C23"/>
    <w:rPr>
      <w:i/>
      <w:iCs/>
      <w:snapToGrid w:val="0"/>
      <w:kern w:val="28"/>
      <w:sz w:val="22"/>
    </w:rPr>
  </w:style>
  <w:style w:type="character" w:customStyle="1" w:styleId="Heading1Char">
    <w:name w:val="Heading 1 Char"/>
    <w:link w:val="Heading1"/>
    <w:locked/>
    <w:rsid w:val="0048021A"/>
    <w:rPr>
      <w:rFonts w:ascii="Times New Roman Bold" w:hAnsi="Times New Roman Bold"/>
      <w:b/>
      <w:caps/>
      <w:snapToGrid w:val="0"/>
      <w:kern w:val="28"/>
      <w:sz w:val="22"/>
      <w:lang w:val="en-US" w:eastAsia="en-US" w:bidi="ar-SA"/>
    </w:rPr>
  </w:style>
  <w:style w:type="paragraph" w:customStyle="1" w:styleId="StyleParaNumLeft1">
    <w:name w:val="Style ParaNum + Left1"/>
    <w:basedOn w:val="ParaNum"/>
    <w:rsid w:val="00F10305"/>
    <w:pPr>
      <w:widowControl/>
      <w:numPr>
        <w:numId w:val="4"/>
      </w:numPr>
    </w:pPr>
  </w:style>
  <w:style w:type="paragraph" w:styleId="Caption">
    <w:name w:val="caption"/>
    <w:basedOn w:val="Normal"/>
    <w:next w:val="Normal"/>
    <w:qFormat/>
    <w:rsid w:val="001E2BB3"/>
    <w:pPr>
      <w:widowControl/>
      <w:spacing w:before="120" w:after="120"/>
    </w:pPr>
    <w:rPr>
      <w:b/>
      <w:snapToGrid/>
      <w:kern w:val="0"/>
      <w:sz w:val="24"/>
      <w:szCs w:val="24"/>
    </w:rPr>
  </w:style>
  <w:style w:type="character" w:styleId="Emphasis">
    <w:name w:val="Emphasis"/>
    <w:qFormat/>
    <w:rsid w:val="001E2BB3"/>
    <w:rPr>
      <w:i/>
      <w:iCs/>
    </w:rPr>
  </w:style>
  <w:style w:type="character" w:styleId="FollowedHyperlink">
    <w:name w:val="FollowedHyperlink"/>
    <w:rsid w:val="006A2D26"/>
    <w:rPr>
      <w:color w:val="800080"/>
      <w:u w:val="single"/>
    </w:rPr>
  </w:style>
  <w:style w:type="character" w:styleId="CommentReference">
    <w:name w:val="annotation reference"/>
    <w:semiHidden/>
    <w:rsid w:val="00C60AD6"/>
    <w:rPr>
      <w:sz w:val="16"/>
      <w:szCs w:val="16"/>
    </w:rPr>
  </w:style>
  <w:style w:type="paragraph" w:styleId="CommentText">
    <w:name w:val="annotation text"/>
    <w:basedOn w:val="Normal"/>
    <w:semiHidden/>
    <w:rsid w:val="00C60AD6"/>
    <w:rPr>
      <w:sz w:val="20"/>
    </w:rPr>
  </w:style>
  <w:style w:type="paragraph" w:styleId="CommentSubject">
    <w:name w:val="annotation subject"/>
    <w:basedOn w:val="CommentText"/>
    <w:next w:val="CommentText"/>
    <w:semiHidden/>
    <w:rsid w:val="00C60AD6"/>
    <w:rPr>
      <w:b/>
      <w:bCs/>
    </w:rPr>
  </w:style>
  <w:style w:type="paragraph" w:styleId="BalloonText">
    <w:name w:val="Balloon Text"/>
    <w:basedOn w:val="Normal"/>
    <w:semiHidden/>
    <w:rsid w:val="00C60AD6"/>
    <w:rPr>
      <w:rFonts w:ascii="Tahoma" w:hAnsi="Tahoma" w:cs="Tahoma"/>
      <w:sz w:val="16"/>
      <w:szCs w:val="16"/>
    </w:rPr>
  </w:style>
  <w:style w:type="paragraph" w:customStyle="1" w:styleId="Default">
    <w:name w:val="Default"/>
    <w:rsid w:val="005833A5"/>
    <w:pPr>
      <w:autoSpaceDE w:val="0"/>
      <w:autoSpaceDN w:val="0"/>
      <w:adjustRightInd w:val="0"/>
    </w:pPr>
    <w:rPr>
      <w:color w:val="000000"/>
      <w:sz w:val="24"/>
      <w:szCs w:val="24"/>
    </w:rPr>
  </w:style>
  <w:style w:type="paragraph" w:styleId="DocumentMap">
    <w:name w:val="Document Map"/>
    <w:basedOn w:val="Normal"/>
    <w:semiHidden/>
    <w:rsid w:val="002D695D"/>
    <w:pPr>
      <w:shd w:val="clear" w:color="auto" w:fill="000080"/>
    </w:pPr>
    <w:rPr>
      <w:rFonts w:ascii="Tahoma" w:hAnsi="Tahoma" w:cs="Tahoma"/>
      <w:sz w:val="20"/>
    </w:rPr>
  </w:style>
  <w:style w:type="paragraph" w:styleId="Revision">
    <w:name w:val="Revision"/>
    <w:hidden/>
    <w:uiPriority w:val="99"/>
    <w:semiHidden/>
    <w:rsid w:val="00F43C81"/>
    <w:rPr>
      <w:snapToGrid w:val="0"/>
      <w:kern w:val="28"/>
      <w:sz w:val="22"/>
    </w:rPr>
  </w:style>
  <w:style w:type="character" w:customStyle="1" w:styleId="ParaNumChar1">
    <w:name w:val="ParaNum Char1"/>
    <w:rsid w:val="0035523B"/>
    <w:rPr>
      <w:snapToGrid w:val="0"/>
      <w:kern w:val="28"/>
      <w:sz w:val="22"/>
      <w:lang w:val="en-US" w:eastAsia="en-US" w:bidi="ar-SA"/>
    </w:rPr>
  </w:style>
  <w:style w:type="character" w:customStyle="1" w:styleId="FootnoteTextChar2Char2">
    <w:name w:val="Footnote Text Char2 Char2"/>
    <w:aliases w:val="Footnote Text Char Char4 Char2,Footnote Text Char2 Char Char Char2,Footnote Text Char1 Char1 Char Char Char3,Footnote Text Char Char Char Char Char Char3,Footnote Text Char1 Char Char Char Char Char Char3,fn Char2,f Char Char"/>
    <w:semiHidden/>
    <w:locked/>
    <w:rsid w:val="0035523B"/>
    <w:rPr>
      <w:lang w:val="en-US" w:eastAsia="en-US" w:bidi="ar-SA"/>
    </w:rPr>
  </w:style>
  <w:style w:type="character" w:customStyle="1" w:styleId="FootnoteTextChar2CharCharCharCharChar1Char">
    <w:name w:val="Footnote Text Char2 Char Char Char Char Char1 Char"/>
    <w:semiHidden/>
    <w:rsid w:val="002F7F96"/>
    <w:rPr>
      <w:lang w:val="en-US" w:eastAsia="en-US" w:bidi="ar-SA"/>
    </w:rPr>
  </w:style>
  <w:style w:type="character" w:customStyle="1" w:styleId="FootnoteTextCharChar2">
    <w:name w:val="Footnote Text Char Char2"/>
    <w:aliases w:val="Footnote Text Char3 Char Char1,Footnote Text Char4 Char1 Char Char1,Footnote Text Char Char2 Char Char Char2,Footnote Text Char3 Char Char Char2 Char Char1,Footnote Text Char Char2 Char Char Char2 Char Char1,fn Char Char Char2"/>
    <w:semiHidden/>
    <w:locked/>
    <w:rsid w:val="002F7F96"/>
    <w:rPr>
      <w:lang w:val="en-US" w:eastAsia="en-US" w:bidi="ar-SA"/>
    </w:rPr>
  </w:style>
  <w:style w:type="paragraph" w:styleId="ListParagraph">
    <w:name w:val="List Paragraph"/>
    <w:basedOn w:val="Normal"/>
    <w:uiPriority w:val="34"/>
    <w:qFormat/>
    <w:rsid w:val="002771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30268">
      <w:bodyDiv w:val="1"/>
      <w:marLeft w:val="0"/>
      <w:marRight w:val="0"/>
      <w:marTop w:val="0"/>
      <w:marBottom w:val="0"/>
      <w:divBdr>
        <w:top w:val="none" w:sz="0" w:space="0" w:color="auto"/>
        <w:left w:val="none" w:sz="0" w:space="0" w:color="auto"/>
        <w:bottom w:val="none" w:sz="0" w:space="0" w:color="auto"/>
        <w:right w:val="none" w:sz="0" w:space="0" w:color="auto"/>
      </w:divBdr>
    </w:div>
    <w:div w:id="884368249">
      <w:bodyDiv w:val="1"/>
      <w:marLeft w:val="0"/>
      <w:marRight w:val="0"/>
      <w:marTop w:val="0"/>
      <w:marBottom w:val="0"/>
      <w:divBdr>
        <w:top w:val="none" w:sz="0" w:space="0" w:color="auto"/>
        <w:left w:val="none" w:sz="0" w:space="0" w:color="auto"/>
        <w:bottom w:val="none" w:sz="0" w:space="0" w:color="auto"/>
        <w:right w:val="none" w:sz="0" w:space="0" w:color="auto"/>
      </w:divBdr>
    </w:div>
    <w:div w:id="1340541047">
      <w:bodyDiv w:val="1"/>
      <w:marLeft w:val="0"/>
      <w:marRight w:val="0"/>
      <w:marTop w:val="0"/>
      <w:marBottom w:val="0"/>
      <w:divBdr>
        <w:top w:val="none" w:sz="0" w:space="0" w:color="auto"/>
        <w:left w:val="none" w:sz="0" w:space="0" w:color="auto"/>
        <w:bottom w:val="none" w:sz="0" w:space="0" w:color="auto"/>
        <w:right w:val="none" w:sz="0" w:space="0" w:color="auto"/>
      </w:divBdr>
    </w:div>
    <w:div w:id="1545942101">
      <w:bodyDiv w:val="1"/>
      <w:marLeft w:val="0"/>
      <w:marRight w:val="0"/>
      <w:marTop w:val="0"/>
      <w:marBottom w:val="0"/>
      <w:divBdr>
        <w:top w:val="none" w:sz="0" w:space="0" w:color="auto"/>
        <w:left w:val="none" w:sz="0" w:space="0" w:color="auto"/>
        <w:bottom w:val="none" w:sz="0" w:space="0" w:color="auto"/>
        <w:right w:val="none" w:sz="0" w:space="0" w:color="auto"/>
      </w:divBdr>
    </w:div>
    <w:div w:id="2089423276">
      <w:bodyDiv w:val="1"/>
      <w:marLeft w:val="0"/>
      <w:marRight w:val="0"/>
      <w:marTop w:val="0"/>
      <w:marBottom w:val="0"/>
      <w:divBdr>
        <w:top w:val="none" w:sz="0" w:space="0" w:color="auto"/>
        <w:left w:val="none" w:sz="0" w:space="0" w:color="auto"/>
        <w:bottom w:val="none" w:sz="0" w:space="0" w:color="auto"/>
        <w:right w:val="none" w:sz="0" w:space="0" w:color="auto"/>
      </w:divBdr>
    </w:div>
    <w:div w:id="2102070460">
      <w:bodyDiv w:val="1"/>
      <w:marLeft w:val="0"/>
      <w:marRight w:val="0"/>
      <w:marTop w:val="0"/>
      <w:marBottom w:val="0"/>
      <w:divBdr>
        <w:top w:val="none" w:sz="0" w:space="0" w:color="auto"/>
        <w:left w:val="none" w:sz="0" w:space="0" w:color="auto"/>
        <w:bottom w:val="none" w:sz="0" w:space="0" w:color="auto"/>
        <w:right w:val="none" w:sz="0" w:space="0" w:color="auto"/>
      </w:divBdr>
    </w:div>
    <w:div w:id="21400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cc.gov/ea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cc504@fcc.gov" TargetMode="External"/><Relationship Id="rId9" Type="http://schemas.openxmlformats.org/officeDocument/2006/relationships/hyperlink" Target="mailto:Hugh.VanTuyl@fcc.gov" TargetMode="External"/><Relationship Id="rId10" Type="http://schemas.openxmlformats.org/officeDocument/2006/relationships/hyperlink" Target="http://www.fcc.gov/eas"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www.fcc.gov/oet/ea/" TargetMode="External"/><Relationship Id="rId12" Type="http://schemas.openxmlformats.org/officeDocument/2006/relationships/hyperlink" Target="http://www.ilac.org/" TargetMode="External"/><Relationship Id="rId13" Type="http://schemas.openxmlformats.org/officeDocument/2006/relationships/hyperlink" Target="http://www.ilac.org/ilacarrangement.html" TargetMode="External"/><Relationship Id="rId14" Type="http://schemas.openxmlformats.org/officeDocument/2006/relationships/hyperlink" Target="http://webstore.ansi.org/" TargetMode="External"/><Relationship Id="rId15" Type="http://schemas.openxmlformats.org/officeDocument/2006/relationships/hyperlink" Target="http://webstore.ansi.org/" TargetMode="External"/><Relationship Id="rId16" Type="http://schemas.openxmlformats.org/officeDocument/2006/relationships/hyperlink" Target="http://factfinder.census.gov/servlet/IBQTable?_bm=y&amp;-fds_name=EC0700A1&amp;-geo_id=&amp;-_skip=300&amp;-ds_name=EC0731SG2&amp;-_lang=en" TargetMode="External"/><Relationship Id="rId17" Type="http://schemas.openxmlformats.org/officeDocument/2006/relationships/hyperlink" Target="http://factfinder.census.gov/servlet/IBQTable?_bm=y&amp;-geo_id=&amp;-fds_name=EC0700A1&amp;-_skip=4500&amp;-ds_name=EC0731SG3&amp;-_lang=en" TargetMode="External"/><Relationship Id="rId1" Type="http://schemas.openxmlformats.org/officeDocument/2006/relationships/hyperlink" Target="http://www.fcc.gov/oet/ea/FCC-Overview-TCB-Program.pdf" TargetMode="External"/><Relationship Id="rId2" Type="http://schemas.openxmlformats.org/officeDocument/2006/relationships/hyperlink" Target="http://www.fcc.gov/oet/ea/fccid/" TargetMode="External"/><Relationship Id="rId3" Type="http://schemas.openxmlformats.org/officeDocument/2006/relationships/hyperlink" Target="https://apps.fcc.gov/oetcf/kdb/forms/FTSSearchResultPage.cfm?switch=P&amp;id=20247" TargetMode="External"/><Relationship Id="rId4" Type="http://schemas.openxmlformats.org/officeDocument/2006/relationships/hyperlink" Target="https://apps.fcc.gov/oetcf/kdb/forms/FTSSearchResultPage.cfm?switch=P&amp;id=20247" TargetMode="External"/><Relationship Id="rId5" Type="http://schemas.openxmlformats.org/officeDocument/2006/relationships/hyperlink" Target="https://apps.fcc.gov/oetcf/kdb/forms/FTSSearchResultPage.cfm?switch=P&amp;id=28319" TargetMode="External"/><Relationship Id="rId6" Type="http://schemas.openxmlformats.org/officeDocument/2006/relationships/hyperlink" Target="http://www.fcc.gov/oet/ea/" TargetMode="External"/><Relationship Id="rId7" Type="http://schemas.openxmlformats.org/officeDocument/2006/relationships/hyperlink" Target="https://apps.fcc.gov/oetcf/kdb/forms/FTSSearchResultPage.cfm?switch=P&amp;id=20540" TargetMode="External"/><Relationship Id="rId8" Type="http://schemas.openxmlformats.org/officeDocument/2006/relationships/hyperlink" Target="http://www.fcc.gov/ea" TargetMode="External"/><Relationship Id="rId9" Type="http://schemas.openxmlformats.org/officeDocument/2006/relationships/hyperlink" Target="http://www.fcc.gov/oet/ea" TargetMode="External"/><Relationship Id="rId10" Type="http://schemas.openxmlformats.org/officeDocument/2006/relationships/hyperlink" Target="http://gsi.nist.gov/global/index.cfm/L1-4/L2-38/L3-98/A-3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55</Pages>
  <Words>23777</Words>
  <Characters>135535</Characters>
  <Application>Microsoft Macintosh Word</Application>
  <DocSecurity>4</DocSecurity>
  <Lines>1129</Lines>
  <Paragraphs>317</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158995</CharactersWithSpaces>
  <SharedDoc>false</SharedDoc>
  <HyperlinkBase> </HyperlinkBase>
  <HLinks>
    <vt:vector size="132" baseType="variant">
      <vt:variant>
        <vt:i4>2687036</vt:i4>
      </vt:variant>
      <vt:variant>
        <vt:i4>16</vt:i4>
      </vt:variant>
      <vt:variant>
        <vt:i4>0</vt:i4>
      </vt:variant>
      <vt:variant>
        <vt:i4>5</vt:i4>
      </vt:variant>
      <vt:variant>
        <vt:lpwstr>http://www.fcc.gov/eas</vt:lpwstr>
      </vt:variant>
      <vt:variant>
        <vt:lpwstr/>
      </vt:variant>
      <vt:variant>
        <vt:i4>2687036</vt:i4>
      </vt:variant>
      <vt:variant>
        <vt:i4>13</vt:i4>
      </vt:variant>
      <vt:variant>
        <vt:i4>0</vt:i4>
      </vt:variant>
      <vt:variant>
        <vt:i4>5</vt:i4>
      </vt:variant>
      <vt:variant>
        <vt:lpwstr>http://www.fcc.gov/eas</vt:lpwstr>
      </vt:variant>
      <vt:variant>
        <vt:lpwstr/>
      </vt:variant>
      <vt:variant>
        <vt:i4>5046324</vt:i4>
      </vt:variant>
      <vt:variant>
        <vt:i4>10</vt:i4>
      </vt:variant>
      <vt:variant>
        <vt:i4>0</vt:i4>
      </vt:variant>
      <vt:variant>
        <vt:i4>5</vt:i4>
      </vt:variant>
      <vt:variant>
        <vt:lpwstr>mailto:Hugh.VanTuyl@fcc.gov</vt:lpwstr>
      </vt:variant>
      <vt:variant>
        <vt:lpwstr/>
      </vt:variant>
      <vt:variant>
        <vt:i4>3473482</vt:i4>
      </vt:variant>
      <vt:variant>
        <vt:i4>7</vt:i4>
      </vt:variant>
      <vt:variant>
        <vt:i4>0</vt:i4>
      </vt:variant>
      <vt:variant>
        <vt:i4>5</vt:i4>
      </vt:variant>
      <vt:variant>
        <vt:lpwstr>mailto:fcc504@fcc.gov</vt:lpwstr>
      </vt:variant>
      <vt:variant>
        <vt:lpwstr/>
      </vt:variant>
      <vt:variant>
        <vt:i4>7929897</vt:i4>
      </vt:variant>
      <vt:variant>
        <vt:i4>4</vt:i4>
      </vt:variant>
      <vt:variant>
        <vt:i4>0</vt:i4>
      </vt:variant>
      <vt:variant>
        <vt:i4>5</vt:i4>
      </vt:variant>
      <vt:variant>
        <vt:lpwstr>http://fjallfoss.fcc.gov/ecfs2/</vt:lpwstr>
      </vt:variant>
      <vt:variant>
        <vt:lpwstr/>
      </vt:variant>
      <vt:variant>
        <vt:i4>3932202</vt:i4>
      </vt:variant>
      <vt:variant>
        <vt:i4>75</vt:i4>
      </vt:variant>
      <vt:variant>
        <vt:i4>0</vt:i4>
      </vt:variant>
      <vt:variant>
        <vt:i4>5</vt:i4>
      </vt:variant>
      <vt:variant>
        <vt:lpwstr>http://factfinder.census.gov/servlet/IBQTable?_bm=y&amp;-geo_id=&amp;-fds_name=EC0700A1&amp;-_skip=4500&amp;-ds_name=EC0731SG3&amp;-_lang=en</vt:lpwstr>
      </vt:variant>
      <vt:variant>
        <vt:lpwstr/>
      </vt:variant>
      <vt:variant>
        <vt:i4>4653068</vt:i4>
      </vt:variant>
      <vt:variant>
        <vt:i4>72</vt:i4>
      </vt:variant>
      <vt:variant>
        <vt:i4>0</vt:i4>
      </vt:variant>
      <vt:variant>
        <vt:i4>5</vt:i4>
      </vt:variant>
      <vt:variant>
        <vt:lpwstr>http://factfinder.census.gov/servlet/IBQTable?_bm=y&amp;-fds_name=EC0700A1&amp;-geo_id=&amp;-_skip=300&amp;-ds_name=EC0731SG2&amp;-_lang=en</vt:lpwstr>
      </vt:variant>
      <vt:variant>
        <vt:lpwstr/>
      </vt:variant>
      <vt:variant>
        <vt:i4>1638491</vt:i4>
      </vt:variant>
      <vt:variant>
        <vt:i4>69</vt:i4>
      </vt:variant>
      <vt:variant>
        <vt:i4>0</vt:i4>
      </vt:variant>
      <vt:variant>
        <vt:i4>5</vt:i4>
      </vt:variant>
      <vt:variant>
        <vt:lpwstr>http://webstore.ansi.org/</vt:lpwstr>
      </vt:variant>
      <vt:variant>
        <vt:lpwstr/>
      </vt:variant>
      <vt:variant>
        <vt:i4>1638491</vt:i4>
      </vt:variant>
      <vt:variant>
        <vt:i4>66</vt:i4>
      </vt:variant>
      <vt:variant>
        <vt:i4>0</vt:i4>
      </vt:variant>
      <vt:variant>
        <vt:i4>5</vt:i4>
      </vt:variant>
      <vt:variant>
        <vt:lpwstr>http://webstore.ansi.org/</vt:lpwstr>
      </vt:variant>
      <vt:variant>
        <vt:lpwstr/>
      </vt:variant>
      <vt:variant>
        <vt:i4>1966163</vt:i4>
      </vt:variant>
      <vt:variant>
        <vt:i4>63</vt:i4>
      </vt:variant>
      <vt:variant>
        <vt:i4>0</vt:i4>
      </vt:variant>
      <vt:variant>
        <vt:i4>5</vt:i4>
      </vt:variant>
      <vt:variant>
        <vt:lpwstr>http://www.ilac.org/ilacarrangement.html</vt:lpwstr>
      </vt:variant>
      <vt:variant>
        <vt:lpwstr/>
      </vt:variant>
      <vt:variant>
        <vt:i4>5242967</vt:i4>
      </vt:variant>
      <vt:variant>
        <vt:i4>60</vt:i4>
      </vt:variant>
      <vt:variant>
        <vt:i4>0</vt:i4>
      </vt:variant>
      <vt:variant>
        <vt:i4>5</vt:i4>
      </vt:variant>
      <vt:variant>
        <vt:lpwstr>http://www.ilac.org/</vt:lpwstr>
      </vt:variant>
      <vt:variant>
        <vt:lpwstr/>
      </vt:variant>
      <vt:variant>
        <vt:i4>7209078</vt:i4>
      </vt:variant>
      <vt:variant>
        <vt:i4>57</vt:i4>
      </vt:variant>
      <vt:variant>
        <vt:i4>0</vt:i4>
      </vt:variant>
      <vt:variant>
        <vt:i4>5</vt:i4>
      </vt:variant>
      <vt:variant>
        <vt:lpwstr>http://www.fcc.gov/oet/ea/</vt:lpwstr>
      </vt:variant>
      <vt:variant>
        <vt:lpwstr/>
      </vt:variant>
      <vt:variant>
        <vt:i4>2031635</vt:i4>
      </vt:variant>
      <vt:variant>
        <vt:i4>54</vt:i4>
      </vt:variant>
      <vt:variant>
        <vt:i4>0</vt:i4>
      </vt:variant>
      <vt:variant>
        <vt:i4>5</vt:i4>
      </vt:variant>
      <vt:variant>
        <vt:lpwstr>http://gsi.nist.gov/global/index.cfm/L1-4/L2-38/L3-98/A-376/</vt:lpwstr>
      </vt:variant>
      <vt:variant>
        <vt:lpwstr/>
      </vt:variant>
      <vt:variant>
        <vt:i4>4259863</vt:i4>
      </vt:variant>
      <vt:variant>
        <vt:i4>51</vt:i4>
      </vt:variant>
      <vt:variant>
        <vt:i4>0</vt:i4>
      </vt:variant>
      <vt:variant>
        <vt:i4>5</vt:i4>
      </vt:variant>
      <vt:variant>
        <vt:lpwstr>http://www.fcc.gov/oet/ea</vt:lpwstr>
      </vt:variant>
      <vt:variant>
        <vt:lpwstr/>
      </vt:variant>
      <vt:variant>
        <vt:i4>5898333</vt:i4>
      </vt:variant>
      <vt:variant>
        <vt:i4>48</vt:i4>
      </vt:variant>
      <vt:variant>
        <vt:i4>0</vt:i4>
      </vt:variant>
      <vt:variant>
        <vt:i4>5</vt:i4>
      </vt:variant>
      <vt:variant>
        <vt:lpwstr>http://www.fcc.gov/ea</vt:lpwstr>
      </vt:variant>
      <vt:variant>
        <vt:lpwstr/>
      </vt:variant>
      <vt:variant>
        <vt:i4>2097278</vt:i4>
      </vt:variant>
      <vt:variant>
        <vt:i4>42</vt:i4>
      </vt:variant>
      <vt:variant>
        <vt:i4>0</vt:i4>
      </vt:variant>
      <vt:variant>
        <vt:i4>5</vt:i4>
      </vt:variant>
      <vt:variant>
        <vt:lpwstr>https://apps.fcc.gov/oetcf/kdb/forms/FTSSearchResultPage.cfm?switch=P&amp;id=20540</vt:lpwstr>
      </vt:variant>
      <vt:variant>
        <vt:lpwstr/>
      </vt:variant>
      <vt:variant>
        <vt:i4>7209078</vt:i4>
      </vt:variant>
      <vt:variant>
        <vt:i4>33</vt:i4>
      </vt:variant>
      <vt:variant>
        <vt:i4>0</vt:i4>
      </vt:variant>
      <vt:variant>
        <vt:i4>5</vt:i4>
      </vt:variant>
      <vt:variant>
        <vt:lpwstr>http://www.fcc.gov/oet/ea/</vt:lpwstr>
      </vt:variant>
      <vt:variant>
        <vt:lpwstr/>
      </vt:variant>
      <vt:variant>
        <vt:i4>3080307</vt:i4>
      </vt:variant>
      <vt:variant>
        <vt:i4>30</vt:i4>
      </vt:variant>
      <vt:variant>
        <vt:i4>0</vt:i4>
      </vt:variant>
      <vt:variant>
        <vt:i4>5</vt:i4>
      </vt:variant>
      <vt:variant>
        <vt:lpwstr>https://apps.fcc.gov/oetcf/kdb/forms/FTSSearchResultPage.cfm?switch=P&amp;id=28319</vt:lpwstr>
      </vt:variant>
      <vt:variant>
        <vt:lpwstr/>
      </vt:variant>
      <vt:variant>
        <vt:i4>2097278</vt:i4>
      </vt:variant>
      <vt:variant>
        <vt:i4>27</vt:i4>
      </vt:variant>
      <vt:variant>
        <vt:i4>0</vt:i4>
      </vt:variant>
      <vt:variant>
        <vt:i4>5</vt:i4>
      </vt:variant>
      <vt:variant>
        <vt:lpwstr>https://apps.fcc.gov/oetcf/kdb/forms/FTSSearchResultPage.cfm?switch=P&amp;id=20247</vt:lpwstr>
      </vt:variant>
      <vt:variant>
        <vt:lpwstr/>
      </vt:variant>
      <vt:variant>
        <vt:i4>2097278</vt:i4>
      </vt:variant>
      <vt:variant>
        <vt:i4>24</vt:i4>
      </vt:variant>
      <vt:variant>
        <vt:i4>0</vt:i4>
      </vt:variant>
      <vt:variant>
        <vt:i4>5</vt:i4>
      </vt:variant>
      <vt:variant>
        <vt:lpwstr>https://apps.fcc.gov/oetcf/kdb/forms/FTSSearchResultPage.cfm?switch=P&amp;id=20247</vt:lpwstr>
      </vt:variant>
      <vt:variant>
        <vt:lpwstr/>
      </vt:variant>
      <vt:variant>
        <vt:i4>4915223</vt:i4>
      </vt:variant>
      <vt:variant>
        <vt:i4>21</vt:i4>
      </vt:variant>
      <vt:variant>
        <vt:i4>0</vt:i4>
      </vt:variant>
      <vt:variant>
        <vt:i4>5</vt:i4>
      </vt:variant>
      <vt:variant>
        <vt:lpwstr>http://www.fcc.gov/oet/ea/fccid/</vt:lpwstr>
      </vt:variant>
      <vt:variant>
        <vt:lpwstr/>
      </vt:variant>
      <vt:variant>
        <vt:i4>3801143</vt:i4>
      </vt:variant>
      <vt:variant>
        <vt:i4>9</vt:i4>
      </vt:variant>
      <vt:variant>
        <vt:i4>0</vt:i4>
      </vt:variant>
      <vt:variant>
        <vt:i4>5</vt:i4>
      </vt:variant>
      <vt:variant>
        <vt:lpwstr>http://www.fcc.gov/oet/ea/FCC-Overview-TCB-Program.pdf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2013-01-10T16:19:00Z</cp:lastPrinted>
  <dcterms:created xsi:type="dcterms:W3CDTF">2013-02-15T17:52:00Z</dcterms:created>
  <dcterms:modified xsi:type="dcterms:W3CDTF">2013-02-15T17:52:00Z</dcterms:modified>
  <cp:category> </cp:category>
  <cp:contentStatus> </cp:contentStatus>
</cp:coreProperties>
</file>