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54" w:rsidRDefault="00EA3554"/>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EA3554">
        <w:trPr>
          <w:cantSplit/>
          <w:trHeight w:val="1135"/>
        </w:trPr>
        <w:tc>
          <w:tcPr>
            <w:tcW w:w="6580" w:type="dxa"/>
            <w:vAlign w:val="center"/>
          </w:tcPr>
          <w:p w:rsidR="00EA3554" w:rsidRDefault="00177724">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EA3554" w:rsidRDefault="00177724">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EA3554">
        <w:trPr>
          <w:cantSplit/>
        </w:trPr>
        <w:tc>
          <w:tcPr>
            <w:tcW w:w="6580" w:type="dxa"/>
            <w:tcBorders>
              <w:bottom w:val="single" w:sz="12" w:space="0" w:color="auto"/>
            </w:tcBorders>
          </w:tcPr>
          <w:p w:rsidR="00EA3554" w:rsidRDefault="00EA3554">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EA3554" w:rsidRDefault="00EA3554">
            <w:pPr>
              <w:shd w:val="solid" w:color="FFFFFF" w:fill="FFFFFF"/>
              <w:spacing w:before="0" w:after="48" w:line="240" w:lineRule="atLeast"/>
              <w:rPr>
                <w:sz w:val="22"/>
                <w:szCs w:val="22"/>
                <w:lang w:val="en-US"/>
              </w:rPr>
            </w:pPr>
          </w:p>
        </w:tc>
      </w:tr>
      <w:tr w:rsidR="00EA3554">
        <w:trPr>
          <w:cantSplit/>
        </w:trPr>
        <w:tc>
          <w:tcPr>
            <w:tcW w:w="6580" w:type="dxa"/>
            <w:tcBorders>
              <w:top w:val="single" w:sz="12" w:space="0" w:color="auto"/>
            </w:tcBorders>
          </w:tcPr>
          <w:p w:rsidR="00EA3554" w:rsidRDefault="00EA3554">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EA3554" w:rsidRDefault="00EA3554">
            <w:pPr>
              <w:shd w:val="solid" w:color="FFFFFF" w:fill="FFFFFF"/>
              <w:spacing w:before="0" w:after="48" w:line="240" w:lineRule="atLeast"/>
              <w:rPr>
                <w:lang w:val="en-US"/>
              </w:rPr>
            </w:pPr>
          </w:p>
        </w:tc>
      </w:tr>
      <w:tr w:rsidR="00EA3554" w:rsidRPr="00BE7BC8">
        <w:trPr>
          <w:cantSplit/>
        </w:trPr>
        <w:tc>
          <w:tcPr>
            <w:tcW w:w="6580" w:type="dxa"/>
            <w:vMerge w:val="restart"/>
          </w:tcPr>
          <w:p w:rsidR="00EA3554" w:rsidRPr="00BE7BC8" w:rsidRDefault="00794410" w:rsidP="00BE7BC8">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BE7BC8">
              <w:rPr>
                <w:rFonts w:ascii="Verdana" w:hAnsi="Verdana"/>
                <w:sz w:val="20"/>
                <w:lang w:val="fr-CH"/>
              </w:rPr>
              <w:t>Source:</w:t>
            </w:r>
            <w:r w:rsidR="00BE7BC8" w:rsidRPr="00BE7BC8">
              <w:rPr>
                <w:rFonts w:ascii="Verdana" w:hAnsi="Verdana"/>
                <w:sz w:val="20"/>
                <w:lang w:val="fr-CH"/>
              </w:rPr>
              <w:tab/>
            </w:r>
            <w:r w:rsidR="00BE7BC8" w:rsidRPr="00BE7BC8">
              <w:rPr>
                <w:rFonts w:ascii="Verdana" w:hAnsi="Verdana"/>
                <w:bCs/>
                <w:sz w:val="20"/>
                <w:lang w:val="fr-CH" w:eastAsia="zh-CN"/>
              </w:rPr>
              <w:t>Document 5D/</w:t>
            </w:r>
            <w:proofErr w:type="spellStart"/>
            <w:r w:rsidR="00BE7BC8" w:rsidRPr="00BE7BC8">
              <w:rPr>
                <w:rFonts w:ascii="Verdana" w:hAnsi="Verdana"/>
                <w:bCs/>
                <w:sz w:val="20"/>
                <w:lang w:val="fr-CH" w:eastAsia="zh-CN"/>
              </w:rPr>
              <w:t>TEMP</w:t>
            </w:r>
            <w:proofErr w:type="spellEnd"/>
            <w:r w:rsidR="00BE7BC8" w:rsidRPr="00BE7BC8">
              <w:rPr>
                <w:rFonts w:ascii="Verdana" w:hAnsi="Verdana"/>
                <w:bCs/>
                <w:sz w:val="20"/>
                <w:lang w:val="fr-CH" w:eastAsia="zh-CN"/>
              </w:rPr>
              <w:t>/91(Rev.1)</w:t>
            </w:r>
          </w:p>
        </w:tc>
        <w:tc>
          <w:tcPr>
            <w:tcW w:w="3451" w:type="dxa"/>
          </w:tcPr>
          <w:p w:rsidR="00EA3554" w:rsidRPr="00BE7BC8" w:rsidRDefault="00EA3554">
            <w:pPr>
              <w:shd w:val="solid" w:color="FFFFFF" w:fill="FFFFFF"/>
              <w:spacing w:before="0" w:line="240" w:lineRule="atLeast"/>
              <w:rPr>
                <w:rFonts w:ascii="Verdana" w:hAnsi="Verdana"/>
                <w:sz w:val="20"/>
                <w:lang w:val="fr-CH" w:eastAsia="zh-CN"/>
              </w:rPr>
            </w:pPr>
          </w:p>
        </w:tc>
      </w:tr>
      <w:tr w:rsidR="00EA3554">
        <w:trPr>
          <w:cantSplit/>
        </w:trPr>
        <w:tc>
          <w:tcPr>
            <w:tcW w:w="6580" w:type="dxa"/>
            <w:vMerge/>
          </w:tcPr>
          <w:p w:rsidR="00EA3554" w:rsidRPr="00BE7BC8" w:rsidRDefault="00EA3554">
            <w:pPr>
              <w:spacing w:before="60"/>
              <w:jc w:val="center"/>
              <w:rPr>
                <w:b/>
                <w:smallCaps/>
                <w:sz w:val="32"/>
                <w:lang w:val="fr-CH" w:eastAsia="zh-CN"/>
              </w:rPr>
            </w:pPr>
            <w:bookmarkStart w:id="3" w:name="ddate" w:colFirst="1" w:colLast="1"/>
            <w:bookmarkEnd w:id="2"/>
          </w:p>
        </w:tc>
        <w:tc>
          <w:tcPr>
            <w:tcW w:w="3451" w:type="dxa"/>
          </w:tcPr>
          <w:p w:rsidR="00EA3554" w:rsidRDefault="00BE7BC8">
            <w:pPr>
              <w:shd w:val="solid" w:color="FFFFFF" w:fill="FFFFFF"/>
              <w:spacing w:before="0" w:line="240" w:lineRule="atLeast"/>
              <w:rPr>
                <w:rFonts w:ascii="Verdana" w:hAnsi="Verdana"/>
                <w:sz w:val="20"/>
                <w:lang w:eastAsia="zh-CN"/>
              </w:rPr>
            </w:pPr>
            <w:r>
              <w:rPr>
                <w:rFonts w:ascii="Verdana" w:hAnsi="Verdana"/>
                <w:b/>
                <w:sz w:val="20"/>
                <w:lang w:eastAsia="zh-CN"/>
              </w:rPr>
              <w:t>17</w:t>
            </w:r>
            <w:r w:rsidR="00177724">
              <w:rPr>
                <w:rFonts w:ascii="Verdana" w:hAnsi="Verdana"/>
                <w:b/>
                <w:sz w:val="20"/>
                <w:lang w:eastAsia="zh-CN"/>
              </w:rPr>
              <w:t xml:space="preserve"> October 2012</w:t>
            </w:r>
          </w:p>
        </w:tc>
      </w:tr>
      <w:tr w:rsidR="00EA3554">
        <w:trPr>
          <w:cantSplit/>
        </w:trPr>
        <w:tc>
          <w:tcPr>
            <w:tcW w:w="6580" w:type="dxa"/>
            <w:vMerge/>
          </w:tcPr>
          <w:p w:rsidR="00EA3554" w:rsidRDefault="00EA3554">
            <w:pPr>
              <w:spacing w:before="60"/>
              <w:jc w:val="center"/>
              <w:rPr>
                <w:b/>
                <w:smallCaps/>
                <w:sz w:val="32"/>
                <w:lang w:eastAsia="zh-CN"/>
              </w:rPr>
            </w:pPr>
            <w:bookmarkStart w:id="4" w:name="dorlang" w:colFirst="1" w:colLast="1"/>
            <w:bookmarkEnd w:id="3"/>
          </w:p>
        </w:tc>
        <w:tc>
          <w:tcPr>
            <w:tcW w:w="3451" w:type="dxa"/>
          </w:tcPr>
          <w:p w:rsidR="00EA3554" w:rsidRDefault="00177724">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EA3554">
        <w:trPr>
          <w:cantSplit/>
        </w:trPr>
        <w:tc>
          <w:tcPr>
            <w:tcW w:w="10031" w:type="dxa"/>
            <w:gridSpan w:val="2"/>
          </w:tcPr>
          <w:p w:rsidR="00EA3554" w:rsidRDefault="00794410">
            <w:pPr>
              <w:pStyle w:val="Source"/>
              <w:rPr>
                <w:lang w:eastAsia="zh-CN"/>
              </w:rPr>
            </w:pPr>
            <w:bookmarkStart w:id="5" w:name="dsource" w:colFirst="0" w:colLast="0"/>
            <w:bookmarkEnd w:id="4"/>
            <w:r>
              <w:t>Working Party 5D</w:t>
            </w:r>
          </w:p>
        </w:tc>
      </w:tr>
      <w:tr w:rsidR="00EA3554">
        <w:trPr>
          <w:cantSplit/>
        </w:trPr>
        <w:tc>
          <w:tcPr>
            <w:tcW w:w="10031" w:type="dxa"/>
            <w:gridSpan w:val="2"/>
          </w:tcPr>
          <w:p w:rsidR="00EA3554" w:rsidRPr="00BE7BC8" w:rsidRDefault="00177724" w:rsidP="00BE7BC8">
            <w:pPr>
              <w:pStyle w:val="Title1"/>
            </w:pPr>
            <w:bookmarkStart w:id="6" w:name="drec" w:colFirst="0" w:colLast="0"/>
            <w:bookmarkEnd w:id="5"/>
            <w:r w:rsidRPr="00BE7BC8">
              <w:t>Liaison statement to 3GPP and IEEE</w:t>
            </w:r>
          </w:p>
        </w:tc>
      </w:tr>
      <w:tr w:rsidR="00EA3554">
        <w:trPr>
          <w:cantSplit/>
        </w:trPr>
        <w:tc>
          <w:tcPr>
            <w:tcW w:w="10031" w:type="dxa"/>
            <w:gridSpan w:val="2"/>
          </w:tcPr>
          <w:p w:rsidR="00EA3554" w:rsidRDefault="00177724" w:rsidP="00BE7BC8">
            <w:pPr>
              <w:pStyle w:val="Title2"/>
              <w:rPr>
                <w:lang w:eastAsia="zh-CN"/>
              </w:rPr>
            </w:pPr>
            <w:bookmarkStart w:id="7" w:name="dtitle1" w:colFirst="0" w:colLast="0"/>
            <w:bookmarkEnd w:id="6"/>
            <w:r>
              <w:t xml:space="preserve">Parameters for LTE-Advanced and WirelessMAN </w:t>
            </w:r>
            <w:r>
              <w:br/>
              <w:t>Advanced for use in sharing studies</w:t>
            </w:r>
          </w:p>
        </w:tc>
      </w:tr>
    </w:tbl>
    <w:p w:rsidR="00EA3554" w:rsidRDefault="00177724">
      <w:bookmarkStart w:id="8" w:name="dbreak"/>
      <w:bookmarkEnd w:id="7"/>
      <w:bookmarkEnd w:id="8"/>
      <w:r>
        <w:t>W</w:t>
      </w:r>
      <w:r w:rsidR="00BE7BC8">
        <w:t xml:space="preserve">orking </w:t>
      </w:r>
      <w:r>
        <w:t>P</w:t>
      </w:r>
      <w:r w:rsidR="00BE7BC8">
        <w:t>arty</w:t>
      </w:r>
      <w:r>
        <w:t xml:space="preserve"> 5D </w:t>
      </w:r>
      <w:r w:rsidR="00BE7BC8">
        <w:t xml:space="preserve">(WP 5D) </w:t>
      </w:r>
      <w:r>
        <w:t>would like to thank 3GPP and IEEE for providing information regarding IMT-Advanced parameters for use in sharing studies in particular related to WRC-15 Agenda items 1.1 and 1.2. As described in our liaison statement from the last WP 5D meeting, the sharing parameters for IMT systems in the frequency range 694-790 MHz (designated as “Part 1” in our previous liaison statement) have been finalised during the 14th meeting of WP 5D and submitted to JTG4-5-6-7. The submitted material is reproduced below for your information.</w:t>
      </w:r>
    </w:p>
    <w:p w:rsidR="00EA3554" w:rsidRDefault="00177724">
      <w:r>
        <w:t>As also indicated in our previous liaison statement, WP 5D is still in the process of compiling the relevant sharing parameters for IMT systems for the studies related to WRC-15 Agenda item 1.1  (designated as “Part 2” in our previous liaison statement) and will provide the final submission of these parameters to JTG 4-5-6-7 before the 31 July 2013 deadline.</w:t>
      </w:r>
    </w:p>
    <w:p w:rsidR="00EA3554" w:rsidRDefault="00177724">
      <w:r>
        <w:t>In the context of WRC-15 Agenda item 1.1, WP 5D would like to draw the attention of 3GPP and IEEE to footnote 18 of Table A. WP 5D would appreciate feedback on the validity of this footnote, for base stations and terminals.</w:t>
      </w:r>
    </w:p>
    <w:p w:rsidR="00EA3554" w:rsidRDefault="00177724">
      <w:r>
        <w:t>Therefore WP 5D looks forward to further contributions from 3GPP and IEEE to the 15th and 16th meetings of WP 5D rega</w:t>
      </w:r>
      <w:r w:rsidR="00BE7BC8">
        <w:t>r</w:t>
      </w:r>
      <w:r>
        <w:t>ding “Part 2” as indicated in your submissions to this WP 5D meeting in order to be able to complete this critical deliverable for the work of JTG 4-5-6-7 within the defined timeframe.</w:t>
      </w:r>
    </w:p>
    <w:p w:rsidR="00EA3554" w:rsidRDefault="00177724" w:rsidP="00BE7BC8">
      <w:pPr>
        <w:pStyle w:val="Headingb"/>
      </w:pPr>
      <w:r>
        <w:t>Specification-related parameters</w:t>
      </w:r>
    </w:p>
    <w:p w:rsidR="00EA3554" w:rsidRDefault="00177724" w:rsidP="00BE7BC8">
      <w:r>
        <w:t xml:space="preserve">The following parameters in Table A are relevant for the studies in response to WRC-15 Agenda item 1.2 and the band 694-790 </w:t>
      </w:r>
      <w:proofErr w:type="spellStart"/>
      <w:r>
        <w:t>MHz.</w:t>
      </w:r>
      <w:proofErr w:type="spellEnd"/>
    </w:p>
    <w:p w:rsidR="00EA3554" w:rsidRDefault="00177724">
      <w:pPr>
        <w:tabs>
          <w:tab w:val="clear" w:pos="1134"/>
          <w:tab w:val="clear" w:pos="1871"/>
          <w:tab w:val="clear" w:pos="2268"/>
        </w:tabs>
        <w:overflowPunct/>
        <w:autoSpaceDE/>
        <w:autoSpaceDN/>
        <w:adjustRightInd/>
        <w:spacing w:before="0"/>
        <w:textAlignment w:val="auto"/>
        <w:rPr>
          <w:b/>
        </w:rPr>
      </w:pPr>
      <w:r>
        <w:rPr>
          <w:b/>
        </w:rPr>
        <w:br w:type="page"/>
      </w:r>
    </w:p>
    <w:p w:rsidR="00EA3554" w:rsidRDefault="00177724">
      <w:pPr>
        <w:pStyle w:val="TableNo"/>
      </w:pPr>
      <w:r>
        <w:lastRenderedPageBreak/>
        <w:t>Table A</w:t>
      </w:r>
    </w:p>
    <w:p w:rsidR="00EA3554" w:rsidRDefault="00177724">
      <w:pPr>
        <w:pStyle w:val="Tabletitle"/>
      </w:pPr>
      <w:r>
        <w:t>Specification-related parameters for the band 694-790 MHz</w:t>
      </w:r>
    </w:p>
    <w:tbl>
      <w:tblPr>
        <w:tblW w:w="7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1840"/>
        <w:gridCol w:w="25"/>
        <w:gridCol w:w="1816"/>
      </w:tblGrid>
      <w:tr w:rsidR="00EA3554">
        <w:trPr>
          <w:cantSplit/>
          <w:jc w:val="center"/>
        </w:trPr>
        <w:tc>
          <w:tcPr>
            <w:tcW w:w="3337" w:type="dxa"/>
          </w:tcPr>
          <w:p w:rsidR="00EA3554" w:rsidRDefault="00177724">
            <w:pPr>
              <w:pStyle w:val="Tablehead"/>
              <w:rPr>
                <w:rFonts w:eastAsia="SimSun"/>
              </w:rPr>
            </w:pPr>
            <w:r>
              <w:rPr>
                <w:rFonts w:eastAsia="SimSun"/>
              </w:rPr>
              <w:t>Parameter</w:t>
            </w:r>
          </w:p>
        </w:tc>
        <w:tc>
          <w:tcPr>
            <w:tcW w:w="1865" w:type="dxa"/>
            <w:gridSpan w:val="2"/>
          </w:tcPr>
          <w:p w:rsidR="00EA3554" w:rsidRDefault="00177724">
            <w:pPr>
              <w:pStyle w:val="Tablehead"/>
              <w:rPr>
                <w:rFonts w:eastAsia="SimSun"/>
              </w:rPr>
            </w:pPr>
            <w:r>
              <w:rPr>
                <w:rFonts w:eastAsia="SimSun"/>
              </w:rPr>
              <w:t>Base station</w:t>
            </w:r>
            <w:r>
              <w:rPr>
                <w:rFonts w:eastAsia="SimSun"/>
                <w:vertAlign w:val="superscript"/>
              </w:rPr>
              <w:t>(1)</w:t>
            </w:r>
          </w:p>
        </w:tc>
        <w:tc>
          <w:tcPr>
            <w:tcW w:w="1816" w:type="dxa"/>
          </w:tcPr>
          <w:p w:rsidR="00EA3554" w:rsidRDefault="00177724">
            <w:pPr>
              <w:pStyle w:val="Tablehead"/>
              <w:rPr>
                <w:rFonts w:eastAsia="SimSun"/>
              </w:rPr>
            </w:pPr>
            <w:r>
              <w:rPr>
                <w:rFonts w:eastAsia="SimSun"/>
              </w:rPr>
              <w:t>Mobile station</w:t>
            </w:r>
          </w:p>
        </w:tc>
      </w:tr>
      <w:tr w:rsidR="00EA3554">
        <w:trPr>
          <w:cantSplit/>
          <w:jc w:val="center"/>
        </w:trPr>
        <w:tc>
          <w:tcPr>
            <w:tcW w:w="3337" w:type="dxa"/>
          </w:tcPr>
          <w:p w:rsidR="00EA3554" w:rsidRDefault="00177724">
            <w:pPr>
              <w:pStyle w:val="Tabletext"/>
            </w:pPr>
            <w:r>
              <w:t>Class of emission</w:t>
            </w:r>
          </w:p>
        </w:tc>
        <w:tc>
          <w:tcPr>
            <w:tcW w:w="1865" w:type="dxa"/>
            <w:gridSpan w:val="2"/>
          </w:tcPr>
          <w:p w:rsidR="00EA3554" w:rsidRDefault="00177724">
            <w:pPr>
              <w:pStyle w:val="Tabletext"/>
              <w:rPr>
                <w:lang w:val="en-US"/>
              </w:rPr>
            </w:pPr>
            <w:r>
              <w:rPr>
                <w:lang w:val="en-US"/>
              </w:rPr>
              <w:t>For 1.4 MHz, 1M40V7WEW</w:t>
            </w:r>
            <w:r>
              <w:rPr>
                <w:lang w:val="en-US"/>
              </w:rPr>
              <w:br/>
              <w:t>For 3 MHz, 3M00V7WEW</w:t>
            </w:r>
            <w:r>
              <w:rPr>
                <w:lang w:val="en-US"/>
              </w:rPr>
              <w:br/>
              <w:t>For 5 MHz, 5M00V7WEW</w:t>
            </w:r>
            <w:r>
              <w:rPr>
                <w:lang w:val="en-US"/>
              </w:rPr>
              <w:br/>
              <w:t>For 10 MHz, 10M0V7WEW</w:t>
            </w:r>
            <w:r>
              <w:rPr>
                <w:lang w:val="en-US"/>
              </w:rPr>
              <w:br/>
              <w:t>For 15 MHz, 15M0V7WEW</w:t>
            </w:r>
            <w:r>
              <w:rPr>
                <w:lang w:val="en-US"/>
              </w:rPr>
              <w:br/>
              <w:t>For 20 MHz, 20M0V7WEW</w:t>
            </w:r>
          </w:p>
        </w:tc>
        <w:tc>
          <w:tcPr>
            <w:tcW w:w="1816" w:type="dxa"/>
          </w:tcPr>
          <w:p w:rsidR="00EA3554" w:rsidRDefault="00177724">
            <w:pPr>
              <w:pStyle w:val="Tabletext"/>
              <w:rPr>
                <w:b/>
                <w:lang w:val="en-US"/>
              </w:rPr>
            </w:pPr>
            <w:r>
              <w:rPr>
                <w:lang w:val="en-US"/>
              </w:rPr>
              <w:t>For 1.4 MHz, 1M40V7WEW</w:t>
            </w:r>
            <w:r>
              <w:rPr>
                <w:lang w:val="en-US"/>
              </w:rPr>
              <w:br/>
              <w:t>For 3 MHz, 3M00V7WEW</w:t>
            </w:r>
            <w:r>
              <w:rPr>
                <w:lang w:val="en-US"/>
              </w:rPr>
              <w:br/>
              <w:t>For 5 MHz, 5M00V7WEW</w:t>
            </w:r>
            <w:r>
              <w:rPr>
                <w:lang w:val="en-US"/>
              </w:rPr>
              <w:br/>
              <w:t>For 10 MHz, 10M0V7WEW</w:t>
            </w:r>
            <w:r>
              <w:rPr>
                <w:lang w:val="en-US"/>
              </w:rPr>
              <w:br/>
              <w:t>For 15 MHz, 15M0V7WEW For 20 MHz, 20M0V7WEW</w:t>
            </w:r>
          </w:p>
        </w:tc>
      </w:tr>
      <w:tr w:rsidR="00EA3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337" w:type="dxa"/>
            <w:tcBorders>
              <w:top w:val="single" w:sz="4" w:space="0" w:color="auto"/>
              <w:left w:val="single" w:sz="4" w:space="0" w:color="auto"/>
              <w:bottom w:val="single" w:sz="4" w:space="0" w:color="auto"/>
              <w:right w:val="single" w:sz="4" w:space="0" w:color="auto"/>
            </w:tcBorders>
          </w:tcPr>
          <w:p w:rsidR="00EA3554" w:rsidRDefault="00177724">
            <w:pPr>
              <w:pStyle w:val="Tabletext"/>
            </w:pPr>
            <w:r>
              <w:t>Modulation parameters</w:t>
            </w:r>
          </w:p>
        </w:tc>
        <w:tc>
          <w:tcPr>
            <w:tcW w:w="1865" w:type="dxa"/>
            <w:gridSpan w:val="2"/>
            <w:tcBorders>
              <w:top w:val="single" w:sz="4" w:space="0" w:color="auto"/>
              <w:left w:val="single" w:sz="4" w:space="0" w:color="auto"/>
              <w:bottom w:val="single" w:sz="4" w:space="0" w:color="auto"/>
              <w:right w:val="single" w:sz="4" w:space="0" w:color="auto"/>
            </w:tcBorders>
          </w:tcPr>
          <w:p w:rsidR="00EA3554" w:rsidRDefault="00177724">
            <w:pPr>
              <w:pStyle w:val="Tabletext"/>
              <w:jc w:val="center"/>
            </w:pPr>
            <w:r>
              <w:t>QPSK</w:t>
            </w:r>
            <w:r>
              <w:br/>
              <w:t>16-QAM</w:t>
            </w:r>
            <w:r>
              <w:br/>
              <w:t>64-QAM</w:t>
            </w:r>
          </w:p>
        </w:tc>
        <w:tc>
          <w:tcPr>
            <w:tcW w:w="1816" w:type="dxa"/>
            <w:tcBorders>
              <w:top w:val="single" w:sz="4" w:space="0" w:color="auto"/>
              <w:left w:val="single" w:sz="4" w:space="0" w:color="auto"/>
              <w:bottom w:val="single" w:sz="4" w:space="0" w:color="auto"/>
              <w:right w:val="single" w:sz="4" w:space="0" w:color="auto"/>
            </w:tcBorders>
          </w:tcPr>
          <w:p w:rsidR="00EA3554" w:rsidRDefault="00177724">
            <w:pPr>
              <w:pStyle w:val="Tabletext"/>
              <w:jc w:val="center"/>
            </w:pPr>
            <w:r>
              <w:t>QPSK</w:t>
            </w:r>
            <w:r>
              <w:br/>
              <w:t>16-QAM</w:t>
            </w:r>
            <w:r>
              <w:br/>
              <w:t>64-QAM</w:t>
            </w:r>
          </w:p>
        </w:tc>
      </w:tr>
      <w:tr w:rsidR="00EA3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337" w:type="dxa"/>
            <w:tcBorders>
              <w:top w:val="single" w:sz="4" w:space="0" w:color="auto"/>
              <w:left w:val="single" w:sz="4" w:space="0" w:color="auto"/>
              <w:bottom w:val="single" w:sz="4" w:space="0" w:color="auto"/>
              <w:right w:val="single" w:sz="4" w:space="0" w:color="auto"/>
            </w:tcBorders>
          </w:tcPr>
          <w:p w:rsidR="00EA3554" w:rsidRDefault="00177724">
            <w:pPr>
              <w:pStyle w:val="Tabletext"/>
              <w:rPr>
                <w:lang w:val="en-US"/>
              </w:rPr>
            </w:pPr>
            <w:r>
              <w:rPr>
                <w:lang w:val="en-US"/>
              </w:rPr>
              <w:t>Duplex mode</w:t>
            </w:r>
          </w:p>
        </w:tc>
        <w:tc>
          <w:tcPr>
            <w:tcW w:w="3681" w:type="dxa"/>
            <w:gridSpan w:val="3"/>
            <w:tcBorders>
              <w:top w:val="single" w:sz="4" w:space="0" w:color="auto"/>
              <w:left w:val="single" w:sz="4" w:space="0" w:color="auto"/>
              <w:bottom w:val="single" w:sz="4" w:space="0" w:color="auto"/>
              <w:right w:val="single" w:sz="4" w:space="0" w:color="auto"/>
            </w:tcBorders>
          </w:tcPr>
          <w:p w:rsidR="00EA3554" w:rsidRDefault="00177724">
            <w:pPr>
              <w:pStyle w:val="Tabletext"/>
              <w:jc w:val="center"/>
              <w:rPr>
                <w:lang w:val="en-US"/>
              </w:rPr>
            </w:pPr>
            <w:r>
              <w:rPr>
                <w:lang w:val="en-US"/>
              </w:rPr>
              <w:t>FDD and TDD</w:t>
            </w:r>
          </w:p>
        </w:tc>
      </w:tr>
      <w:tr w:rsidR="00EA3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337" w:type="dxa"/>
            <w:tcBorders>
              <w:top w:val="single" w:sz="4" w:space="0" w:color="auto"/>
              <w:left w:val="single" w:sz="4" w:space="0" w:color="auto"/>
              <w:bottom w:val="single" w:sz="4" w:space="0" w:color="auto"/>
              <w:right w:val="single" w:sz="4" w:space="0" w:color="auto"/>
            </w:tcBorders>
          </w:tcPr>
          <w:p w:rsidR="00EA3554" w:rsidRDefault="00177724">
            <w:pPr>
              <w:pStyle w:val="Tabletext"/>
              <w:rPr>
                <w:lang w:val="en-US"/>
              </w:rPr>
            </w:pPr>
            <w:r>
              <w:rPr>
                <w:lang w:val="en-US"/>
              </w:rPr>
              <w:t>Spectral mask of signals, including</w:t>
            </w:r>
          </w:p>
        </w:tc>
        <w:tc>
          <w:tcPr>
            <w:tcW w:w="1840" w:type="dxa"/>
            <w:tcBorders>
              <w:top w:val="single" w:sz="4" w:space="0" w:color="auto"/>
              <w:left w:val="single" w:sz="4" w:space="0" w:color="auto"/>
              <w:bottom w:val="single" w:sz="4" w:space="0" w:color="auto"/>
              <w:right w:val="single" w:sz="4" w:space="0" w:color="auto"/>
            </w:tcBorders>
          </w:tcPr>
          <w:p w:rsidR="00EA3554" w:rsidRDefault="00177724">
            <w:pPr>
              <w:pStyle w:val="Tabletext"/>
              <w:jc w:val="center"/>
              <w:rPr>
                <w:b/>
                <w:vertAlign w:val="superscript"/>
                <w:lang w:val="en-US"/>
              </w:rPr>
            </w:pPr>
            <w:r>
              <w:rPr>
                <w:b/>
                <w:vertAlign w:val="superscript"/>
                <w:lang w:val="en-US"/>
              </w:rPr>
              <w:t>(2)</w:t>
            </w:r>
          </w:p>
        </w:tc>
        <w:tc>
          <w:tcPr>
            <w:tcW w:w="1841" w:type="dxa"/>
            <w:gridSpan w:val="2"/>
            <w:tcBorders>
              <w:top w:val="single" w:sz="4" w:space="0" w:color="auto"/>
              <w:left w:val="single" w:sz="4" w:space="0" w:color="auto"/>
              <w:bottom w:val="single" w:sz="4" w:space="0" w:color="auto"/>
              <w:right w:val="single" w:sz="4" w:space="0" w:color="auto"/>
            </w:tcBorders>
          </w:tcPr>
          <w:p w:rsidR="00EA3554" w:rsidRDefault="00177724">
            <w:pPr>
              <w:pStyle w:val="Tabletext"/>
              <w:jc w:val="center"/>
              <w:rPr>
                <w:b/>
                <w:vertAlign w:val="superscript"/>
                <w:lang w:val="en-US"/>
              </w:rPr>
            </w:pPr>
            <w:r>
              <w:rPr>
                <w:b/>
                <w:vertAlign w:val="superscript"/>
                <w:lang w:val="en-US"/>
              </w:rPr>
              <w:t>(3)</w:t>
            </w:r>
          </w:p>
        </w:tc>
      </w:tr>
      <w:tr w:rsidR="00EA3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337" w:type="dxa"/>
            <w:tcBorders>
              <w:top w:val="single" w:sz="4" w:space="0" w:color="auto"/>
              <w:left w:val="single" w:sz="4" w:space="0" w:color="auto"/>
              <w:bottom w:val="single" w:sz="4" w:space="0" w:color="auto"/>
              <w:right w:val="single" w:sz="4" w:space="0" w:color="auto"/>
            </w:tcBorders>
          </w:tcPr>
          <w:p w:rsidR="00EA3554" w:rsidRDefault="00177724">
            <w:pPr>
              <w:pStyle w:val="Tabletext"/>
              <w:rPr>
                <w:lang w:val="en-US"/>
              </w:rPr>
            </w:pPr>
            <w:r>
              <w:rPr>
                <w:lang w:val="en-US"/>
              </w:rPr>
              <w:t>Maximum spectral power density, dB(</w:t>
            </w:r>
            <w:proofErr w:type="spellStart"/>
            <w:r>
              <w:rPr>
                <w:lang w:val="en-US"/>
              </w:rPr>
              <w:t>mW</w:t>
            </w:r>
            <w:proofErr w:type="spellEnd"/>
            <w:r>
              <w:rPr>
                <w:lang w:val="en-US"/>
              </w:rPr>
              <w:t>/Hz)</w:t>
            </w:r>
          </w:p>
        </w:tc>
        <w:tc>
          <w:tcPr>
            <w:tcW w:w="1840" w:type="dxa"/>
            <w:tcBorders>
              <w:top w:val="single" w:sz="4" w:space="0" w:color="auto"/>
              <w:left w:val="single" w:sz="4" w:space="0" w:color="auto"/>
              <w:bottom w:val="single" w:sz="4" w:space="0" w:color="auto"/>
              <w:right w:val="single" w:sz="4" w:space="0" w:color="auto"/>
            </w:tcBorders>
          </w:tcPr>
          <w:p w:rsidR="00EA3554" w:rsidRDefault="00177724">
            <w:pPr>
              <w:pStyle w:val="Tabletext"/>
              <w:jc w:val="center"/>
            </w:pPr>
            <w:r>
              <w:t>−23.5</w:t>
            </w:r>
          </w:p>
        </w:tc>
        <w:tc>
          <w:tcPr>
            <w:tcW w:w="1841" w:type="dxa"/>
            <w:gridSpan w:val="2"/>
            <w:tcBorders>
              <w:top w:val="single" w:sz="4" w:space="0" w:color="auto"/>
              <w:left w:val="single" w:sz="4" w:space="0" w:color="auto"/>
              <w:bottom w:val="single" w:sz="4" w:space="0" w:color="auto"/>
              <w:right w:val="single" w:sz="4" w:space="0" w:color="auto"/>
            </w:tcBorders>
          </w:tcPr>
          <w:p w:rsidR="00EA3554" w:rsidRDefault="00177724">
            <w:pPr>
              <w:pStyle w:val="Tabletext"/>
              <w:jc w:val="center"/>
            </w:pPr>
            <w:r>
              <w:t>−43.5</w:t>
            </w:r>
            <w:r>
              <w:rPr>
                <w:b/>
                <w:vertAlign w:val="superscript"/>
              </w:rPr>
              <w:t>(4)</w:t>
            </w:r>
          </w:p>
        </w:tc>
      </w:tr>
      <w:tr w:rsidR="00EA3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337" w:type="dxa"/>
            <w:tcBorders>
              <w:top w:val="single" w:sz="4" w:space="0" w:color="auto"/>
              <w:left w:val="single" w:sz="4" w:space="0" w:color="auto"/>
              <w:bottom w:val="single" w:sz="4" w:space="0" w:color="auto"/>
              <w:right w:val="single" w:sz="4" w:space="0" w:color="auto"/>
            </w:tcBorders>
          </w:tcPr>
          <w:p w:rsidR="00EA3554" w:rsidRDefault="00177724">
            <w:pPr>
              <w:pStyle w:val="Tabletext"/>
            </w:pPr>
            <w:r>
              <w:t>Signal bandwidth (MHz)</w:t>
            </w:r>
          </w:p>
        </w:tc>
        <w:tc>
          <w:tcPr>
            <w:tcW w:w="1840" w:type="dxa"/>
            <w:tcBorders>
              <w:top w:val="single" w:sz="4" w:space="0" w:color="auto"/>
              <w:left w:val="single" w:sz="4" w:space="0" w:color="auto"/>
              <w:bottom w:val="single" w:sz="4" w:space="0" w:color="auto"/>
              <w:right w:val="single" w:sz="4" w:space="0" w:color="auto"/>
            </w:tcBorders>
          </w:tcPr>
          <w:p w:rsidR="00EA3554" w:rsidRDefault="00177724">
            <w:pPr>
              <w:pStyle w:val="Tabletext"/>
              <w:jc w:val="center"/>
            </w:pPr>
            <w:r>
              <w:t>1.08, 2.7, 4.5, 9, 13.5 and 18</w:t>
            </w:r>
          </w:p>
        </w:tc>
        <w:tc>
          <w:tcPr>
            <w:tcW w:w="1841" w:type="dxa"/>
            <w:gridSpan w:val="2"/>
            <w:tcBorders>
              <w:top w:val="single" w:sz="4" w:space="0" w:color="auto"/>
              <w:left w:val="single" w:sz="4" w:space="0" w:color="auto"/>
              <w:bottom w:val="single" w:sz="4" w:space="0" w:color="auto"/>
              <w:right w:val="single" w:sz="4" w:space="0" w:color="auto"/>
            </w:tcBorders>
          </w:tcPr>
          <w:p w:rsidR="00EA3554" w:rsidRDefault="00177724">
            <w:pPr>
              <w:pStyle w:val="Tabletext"/>
              <w:jc w:val="center"/>
            </w:pPr>
            <w:r>
              <w:t>1.08, 2.7, 4.5, 9, 13.5 and 18</w:t>
            </w:r>
          </w:p>
        </w:tc>
      </w:tr>
      <w:tr w:rsidR="00EA3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337" w:type="dxa"/>
            <w:tcBorders>
              <w:top w:val="single" w:sz="4" w:space="0" w:color="auto"/>
              <w:left w:val="single" w:sz="4" w:space="0" w:color="auto"/>
              <w:bottom w:val="single" w:sz="4" w:space="0" w:color="auto"/>
              <w:right w:val="single" w:sz="4" w:space="0" w:color="auto"/>
            </w:tcBorders>
          </w:tcPr>
          <w:p w:rsidR="00EA3554" w:rsidRDefault="00177724">
            <w:pPr>
              <w:pStyle w:val="Tabletext"/>
            </w:pPr>
            <w:r>
              <w:t>Channel bandwidth (MHz)</w:t>
            </w:r>
            <w:r>
              <w:rPr>
                <w:b/>
                <w:vertAlign w:val="superscript"/>
              </w:rPr>
              <w:t>(7</w:t>
            </w:r>
            <w:r>
              <w:rPr>
                <w:vertAlign w:val="superscript"/>
              </w:rPr>
              <w:t>)</w:t>
            </w:r>
          </w:p>
        </w:tc>
        <w:tc>
          <w:tcPr>
            <w:tcW w:w="1840" w:type="dxa"/>
            <w:tcBorders>
              <w:top w:val="single" w:sz="4" w:space="0" w:color="auto"/>
              <w:left w:val="single" w:sz="4" w:space="0" w:color="auto"/>
              <w:bottom w:val="single" w:sz="4" w:space="0" w:color="auto"/>
              <w:right w:val="single" w:sz="4" w:space="0" w:color="auto"/>
            </w:tcBorders>
          </w:tcPr>
          <w:p w:rsidR="00EA3554" w:rsidRDefault="00177724">
            <w:pPr>
              <w:pStyle w:val="Tabletext"/>
              <w:jc w:val="center"/>
            </w:pPr>
            <w:r>
              <w:t xml:space="preserve">1.4, 3, 5, 10, 15, 20 </w:t>
            </w:r>
          </w:p>
        </w:tc>
        <w:tc>
          <w:tcPr>
            <w:tcW w:w="1841" w:type="dxa"/>
            <w:gridSpan w:val="2"/>
            <w:tcBorders>
              <w:top w:val="single" w:sz="4" w:space="0" w:color="auto"/>
              <w:left w:val="single" w:sz="4" w:space="0" w:color="auto"/>
              <w:bottom w:val="single" w:sz="4" w:space="0" w:color="auto"/>
              <w:right w:val="single" w:sz="4" w:space="0" w:color="auto"/>
            </w:tcBorders>
          </w:tcPr>
          <w:p w:rsidR="00EA3554" w:rsidRDefault="00177724">
            <w:pPr>
              <w:pStyle w:val="Tabletext"/>
              <w:jc w:val="center"/>
            </w:pPr>
            <w:r>
              <w:t xml:space="preserve">1.4, 3, 5, 10, 15, 20 </w:t>
            </w:r>
          </w:p>
        </w:tc>
      </w:tr>
      <w:tr w:rsidR="00EA3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337" w:type="dxa"/>
            <w:tcBorders>
              <w:top w:val="single" w:sz="4" w:space="0" w:color="auto"/>
              <w:left w:val="single" w:sz="4" w:space="0" w:color="auto"/>
              <w:bottom w:val="single" w:sz="4" w:space="0" w:color="auto"/>
              <w:right w:val="single" w:sz="4" w:space="0" w:color="auto"/>
            </w:tcBorders>
          </w:tcPr>
          <w:p w:rsidR="00EA3554" w:rsidRDefault="00177724">
            <w:pPr>
              <w:pStyle w:val="Tabletext"/>
            </w:pPr>
            <w:r>
              <w:t>Power control range (dB)</w:t>
            </w:r>
          </w:p>
        </w:tc>
        <w:tc>
          <w:tcPr>
            <w:tcW w:w="1840" w:type="dxa"/>
            <w:tcBorders>
              <w:top w:val="single" w:sz="4" w:space="0" w:color="auto"/>
              <w:left w:val="single" w:sz="4" w:space="0" w:color="auto"/>
              <w:bottom w:val="single" w:sz="4" w:space="0" w:color="auto"/>
              <w:right w:val="single" w:sz="4" w:space="0" w:color="auto"/>
            </w:tcBorders>
          </w:tcPr>
          <w:p w:rsidR="00EA3554" w:rsidRDefault="00177724">
            <w:pPr>
              <w:pStyle w:val="Tabletext"/>
              <w:jc w:val="center"/>
              <w:rPr>
                <w:b/>
                <w:vertAlign w:val="superscript"/>
              </w:rPr>
            </w:pPr>
            <w:r>
              <w:rPr>
                <w:b/>
                <w:vertAlign w:val="superscript"/>
              </w:rPr>
              <w:t>(8)</w:t>
            </w:r>
          </w:p>
        </w:tc>
        <w:tc>
          <w:tcPr>
            <w:tcW w:w="1841" w:type="dxa"/>
            <w:gridSpan w:val="2"/>
            <w:tcBorders>
              <w:top w:val="single" w:sz="4" w:space="0" w:color="auto"/>
              <w:left w:val="single" w:sz="4" w:space="0" w:color="auto"/>
              <w:bottom w:val="single" w:sz="4" w:space="0" w:color="auto"/>
              <w:right w:val="single" w:sz="4" w:space="0" w:color="auto"/>
            </w:tcBorders>
          </w:tcPr>
          <w:p w:rsidR="00EA3554" w:rsidRDefault="00177724">
            <w:pPr>
              <w:pStyle w:val="Tabletext"/>
              <w:jc w:val="center"/>
            </w:pPr>
            <w:r>
              <w:t>63</w:t>
            </w:r>
          </w:p>
        </w:tc>
      </w:tr>
      <w:tr w:rsidR="00EA3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337" w:type="dxa"/>
            <w:tcBorders>
              <w:top w:val="single" w:sz="4" w:space="0" w:color="auto"/>
              <w:left w:val="single" w:sz="4" w:space="0" w:color="auto"/>
              <w:bottom w:val="single" w:sz="4" w:space="0" w:color="auto"/>
              <w:right w:val="single" w:sz="4" w:space="0" w:color="auto"/>
            </w:tcBorders>
          </w:tcPr>
          <w:p w:rsidR="00EA3554" w:rsidRDefault="00177724">
            <w:pPr>
              <w:pStyle w:val="Tabletext"/>
            </w:pPr>
            <w:r>
              <w:t>Polarization discrimination (dB)</w:t>
            </w:r>
          </w:p>
        </w:tc>
        <w:tc>
          <w:tcPr>
            <w:tcW w:w="1840" w:type="dxa"/>
            <w:tcBorders>
              <w:top w:val="single" w:sz="4" w:space="0" w:color="auto"/>
              <w:left w:val="single" w:sz="4" w:space="0" w:color="auto"/>
              <w:bottom w:val="single" w:sz="4" w:space="0" w:color="auto"/>
              <w:right w:val="single" w:sz="4" w:space="0" w:color="auto"/>
            </w:tcBorders>
          </w:tcPr>
          <w:p w:rsidR="00EA3554" w:rsidRDefault="00177724">
            <w:pPr>
              <w:pStyle w:val="Tabletext"/>
              <w:jc w:val="center"/>
            </w:pPr>
            <w:r>
              <w:t>3</w:t>
            </w:r>
            <w:r>
              <w:rPr>
                <w:b/>
                <w:vertAlign w:val="superscript"/>
              </w:rPr>
              <w:t>(9)</w:t>
            </w:r>
          </w:p>
        </w:tc>
        <w:tc>
          <w:tcPr>
            <w:tcW w:w="1841" w:type="dxa"/>
            <w:gridSpan w:val="2"/>
            <w:tcBorders>
              <w:top w:val="single" w:sz="4" w:space="0" w:color="auto"/>
              <w:left w:val="single" w:sz="4" w:space="0" w:color="auto"/>
              <w:bottom w:val="single" w:sz="4" w:space="0" w:color="auto"/>
              <w:right w:val="single" w:sz="4" w:space="0" w:color="auto"/>
            </w:tcBorders>
          </w:tcPr>
          <w:p w:rsidR="00EA3554" w:rsidRDefault="00177724">
            <w:pPr>
              <w:pStyle w:val="Tabletext"/>
              <w:jc w:val="center"/>
            </w:pPr>
            <w:r>
              <w:t>0</w:t>
            </w:r>
          </w:p>
        </w:tc>
      </w:tr>
      <w:tr w:rsidR="00EA3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337" w:type="dxa"/>
            <w:tcBorders>
              <w:top w:val="single" w:sz="4" w:space="0" w:color="auto"/>
              <w:left w:val="single" w:sz="4" w:space="0" w:color="auto"/>
              <w:bottom w:val="single" w:sz="4" w:space="0" w:color="auto"/>
              <w:right w:val="single" w:sz="4" w:space="0" w:color="auto"/>
            </w:tcBorders>
          </w:tcPr>
          <w:p w:rsidR="00EA3554" w:rsidRDefault="00177724">
            <w:pPr>
              <w:pStyle w:val="Tabletext"/>
            </w:pPr>
            <w:r>
              <w:rPr>
                <w:lang w:val="en-US"/>
              </w:rPr>
              <w:t>Capacity criteria, including capacity per cell</w:t>
            </w:r>
          </w:p>
        </w:tc>
        <w:tc>
          <w:tcPr>
            <w:tcW w:w="3681" w:type="dxa"/>
            <w:gridSpan w:val="3"/>
            <w:tcBorders>
              <w:top w:val="single" w:sz="4" w:space="0" w:color="auto"/>
              <w:left w:val="single" w:sz="4" w:space="0" w:color="auto"/>
              <w:bottom w:val="single" w:sz="4" w:space="0" w:color="auto"/>
              <w:right w:val="single" w:sz="4" w:space="0" w:color="auto"/>
            </w:tcBorders>
          </w:tcPr>
          <w:p w:rsidR="00EA3554" w:rsidRDefault="00177724">
            <w:pPr>
              <w:pStyle w:val="Tabletext"/>
            </w:pPr>
            <w:r>
              <w:rPr>
                <w:lang w:val="en-US"/>
              </w:rPr>
              <w:t>Capacity in a cellular system can be measured in terms of simultaneous voice users per cell, data throughput per cell, etc. The actual capacity is dependent on the assumptions made about system configuration, loading, quality, and fairness, among other things.</w:t>
            </w:r>
          </w:p>
        </w:tc>
      </w:tr>
      <w:tr w:rsidR="00EA3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337" w:type="dxa"/>
            <w:tcBorders>
              <w:top w:val="single" w:sz="4" w:space="0" w:color="auto"/>
              <w:left w:val="single" w:sz="4" w:space="0" w:color="auto"/>
              <w:bottom w:val="single" w:sz="4" w:space="0" w:color="auto"/>
              <w:right w:val="single" w:sz="4" w:space="0" w:color="auto"/>
            </w:tcBorders>
          </w:tcPr>
          <w:p w:rsidR="00EA3554" w:rsidRDefault="00177724">
            <w:pPr>
              <w:pStyle w:val="Tabletext"/>
            </w:pPr>
            <w:r>
              <w:t>Frequency reuse factor</w:t>
            </w:r>
          </w:p>
        </w:tc>
        <w:tc>
          <w:tcPr>
            <w:tcW w:w="1840" w:type="dxa"/>
            <w:tcBorders>
              <w:top w:val="single" w:sz="4" w:space="0" w:color="auto"/>
              <w:left w:val="single" w:sz="4" w:space="0" w:color="auto"/>
              <w:bottom w:val="single" w:sz="4" w:space="0" w:color="auto"/>
              <w:right w:val="single" w:sz="4" w:space="0" w:color="auto"/>
            </w:tcBorders>
          </w:tcPr>
          <w:p w:rsidR="00EA3554" w:rsidRDefault="00177724">
            <w:pPr>
              <w:pStyle w:val="Tabletext"/>
              <w:jc w:val="center"/>
            </w:pPr>
            <w:r>
              <w:t>1</w:t>
            </w:r>
          </w:p>
        </w:tc>
        <w:tc>
          <w:tcPr>
            <w:tcW w:w="1841" w:type="dxa"/>
            <w:gridSpan w:val="2"/>
            <w:tcBorders>
              <w:top w:val="single" w:sz="4" w:space="0" w:color="auto"/>
              <w:left w:val="single" w:sz="4" w:space="0" w:color="auto"/>
              <w:bottom w:val="single" w:sz="4" w:space="0" w:color="auto"/>
              <w:right w:val="single" w:sz="4" w:space="0" w:color="auto"/>
            </w:tcBorders>
          </w:tcPr>
          <w:p w:rsidR="00EA3554" w:rsidRDefault="00177724">
            <w:pPr>
              <w:pStyle w:val="Tabletext"/>
              <w:jc w:val="center"/>
            </w:pPr>
            <w:r>
              <w:t>1</w:t>
            </w:r>
          </w:p>
        </w:tc>
      </w:tr>
      <w:tr w:rsidR="00EA3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337" w:type="dxa"/>
            <w:tcBorders>
              <w:top w:val="single" w:sz="4" w:space="0" w:color="auto"/>
              <w:left w:val="single" w:sz="4" w:space="0" w:color="auto"/>
              <w:bottom w:val="single" w:sz="4" w:space="0" w:color="auto"/>
              <w:right w:val="single" w:sz="4" w:space="0" w:color="auto"/>
            </w:tcBorders>
          </w:tcPr>
          <w:p w:rsidR="00EA3554" w:rsidRDefault="00177724">
            <w:pPr>
              <w:pStyle w:val="Tabletext"/>
            </w:pPr>
            <w:r>
              <w:t>Receiver thermal noise</w:t>
            </w:r>
          </w:p>
        </w:tc>
        <w:tc>
          <w:tcPr>
            <w:tcW w:w="1840" w:type="dxa"/>
            <w:tcBorders>
              <w:top w:val="single" w:sz="4" w:space="0" w:color="auto"/>
              <w:left w:val="single" w:sz="4" w:space="0" w:color="auto"/>
              <w:bottom w:val="single" w:sz="4" w:space="0" w:color="auto"/>
              <w:right w:val="single" w:sz="4" w:space="0" w:color="auto"/>
            </w:tcBorders>
          </w:tcPr>
          <w:p w:rsidR="00EA3554" w:rsidRDefault="00177724">
            <w:pPr>
              <w:pStyle w:val="Tabletext"/>
              <w:jc w:val="center"/>
            </w:pPr>
            <w:r>
              <w:t>NF = 5 dB</w:t>
            </w:r>
          </w:p>
        </w:tc>
        <w:tc>
          <w:tcPr>
            <w:tcW w:w="1841" w:type="dxa"/>
            <w:gridSpan w:val="2"/>
            <w:tcBorders>
              <w:top w:val="single" w:sz="4" w:space="0" w:color="auto"/>
              <w:left w:val="single" w:sz="4" w:space="0" w:color="auto"/>
              <w:bottom w:val="single" w:sz="4" w:space="0" w:color="auto"/>
              <w:right w:val="single" w:sz="4" w:space="0" w:color="auto"/>
            </w:tcBorders>
          </w:tcPr>
          <w:p w:rsidR="00EA3554" w:rsidRDefault="00177724">
            <w:pPr>
              <w:pStyle w:val="Tabletext"/>
              <w:jc w:val="center"/>
            </w:pPr>
            <w:r>
              <w:t>NF = 9 dB</w:t>
            </w:r>
          </w:p>
        </w:tc>
      </w:tr>
      <w:tr w:rsidR="00EA3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337" w:type="dxa"/>
            <w:tcBorders>
              <w:top w:val="single" w:sz="4" w:space="0" w:color="auto"/>
              <w:left w:val="single" w:sz="4" w:space="0" w:color="auto"/>
              <w:bottom w:val="single" w:sz="4" w:space="0" w:color="auto"/>
              <w:right w:val="single" w:sz="4" w:space="0" w:color="auto"/>
            </w:tcBorders>
          </w:tcPr>
          <w:p w:rsidR="00EA3554" w:rsidRDefault="00177724">
            <w:pPr>
              <w:pStyle w:val="Tabletext"/>
            </w:pPr>
            <w:r>
              <w:t>Reference sensitivity</w:t>
            </w:r>
          </w:p>
        </w:tc>
        <w:tc>
          <w:tcPr>
            <w:tcW w:w="1840" w:type="dxa"/>
            <w:tcBorders>
              <w:top w:val="single" w:sz="4" w:space="0" w:color="auto"/>
              <w:left w:val="single" w:sz="4" w:space="0" w:color="auto"/>
              <w:bottom w:val="single" w:sz="4" w:space="0" w:color="auto"/>
              <w:right w:val="single" w:sz="4" w:space="0" w:color="auto"/>
            </w:tcBorders>
          </w:tcPr>
          <w:p w:rsidR="00EA3554" w:rsidRDefault="00177724">
            <w:pPr>
              <w:pStyle w:val="Tabletext"/>
              <w:jc w:val="center"/>
              <w:rPr>
                <w:b/>
                <w:vertAlign w:val="superscript"/>
              </w:rPr>
            </w:pPr>
            <w:r>
              <w:rPr>
                <w:b/>
                <w:vertAlign w:val="superscript"/>
              </w:rPr>
              <w:t>(10)</w:t>
            </w:r>
          </w:p>
        </w:tc>
        <w:tc>
          <w:tcPr>
            <w:tcW w:w="1841" w:type="dxa"/>
            <w:gridSpan w:val="2"/>
            <w:tcBorders>
              <w:top w:val="single" w:sz="4" w:space="0" w:color="auto"/>
              <w:left w:val="single" w:sz="4" w:space="0" w:color="auto"/>
              <w:bottom w:val="single" w:sz="4" w:space="0" w:color="auto"/>
              <w:right w:val="single" w:sz="4" w:space="0" w:color="auto"/>
            </w:tcBorders>
          </w:tcPr>
          <w:p w:rsidR="00EA3554" w:rsidRDefault="00177724">
            <w:pPr>
              <w:pStyle w:val="Tabletext"/>
              <w:jc w:val="center"/>
              <w:rPr>
                <w:b/>
                <w:vertAlign w:val="superscript"/>
              </w:rPr>
            </w:pPr>
            <w:r>
              <w:rPr>
                <w:b/>
                <w:vertAlign w:val="superscript"/>
              </w:rPr>
              <w:t>(11)</w:t>
            </w:r>
          </w:p>
        </w:tc>
      </w:tr>
      <w:tr w:rsidR="00EA3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337" w:type="dxa"/>
            <w:tcBorders>
              <w:top w:val="single" w:sz="4" w:space="0" w:color="auto"/>
              <w:left w:val="single" w:sz="4" w:space="0" w:color="auto"/>
              <w:bottom w:val="single" w:sz="4" w:space="0" w:color="auto"/>
              <w:right w:val="single" w:sz="4" w:space="0" w:color="auto"/>
            </w:tcBorders>
          </w:tcPr>
          <w:p w:rsidR="00EA3554" w:rsidRDefault="00177724">
            <w:pPr>
              <w:pStyle w:val="Tabletext"/>
            </w:pPr>
            <w:r>
              <w:t>Receiver blocking response</w:t>
            </w:r>
          </w:p>
        </w:tc>
        <w:tc>
          <w:tcPr>
            <w:tcW w:w="1840" w:type="dxa"/>
            <w:tcBorders>
              <w:top w:val="single" w:sz="4" w:space="0" w:color="auto"/>
              <w:left w:val="single" w:sz="4" w:space="0" w:color="auto"/>
              <w:bottom w:val="single" w:sz="4" w:space="0" w:color="auto"/>
              <w:right w:val="single" w:sz="4" w:space="0" w:color="auto"/>
            </w:tcBorders>
          </w:tcPr>
          <w:p w:rsidR="00EA3554" w:rsidRDefault="00177724">
            <w:pPr>
              <w:pStyle w:val="Tabletext"/>
              <w:jc w:val="center"/>
              <w:rPr>
                <w:b/>
                <w:vertAlign w:val="superscript"/>
              </w:rPr>
            </w:pPr>
            <w:r>
              <w:rPr>
                <w:b/>
                <w:vertAlign w:val="superscript"/>
              </w:rPr>
              <w:t>(12)</w:t>
            </w:r>
          </w:p>
        </w:tc>
        <w:tc>
          <w:tcPr>
            <w:tcW w:w="1841" w:type="dxa"/>
            <w:gridSpan w:val="2"/>
            <w:tcBorders>
              <w:top w:val="single" w:sz="4" w:space="0" w:color="auto"/>
              <w:left w:val="single" w:sz="4" w:space="0" w:color="auto"/>
              <w:bottom w:val="single" w:sz="4" w:space="0" w:color="auto"/>
              <w:right w:val="single" w:sz="4" w:space="0" w:color="auto"/>
            </w:tcBorders>
          </w:tcPr>
          <w:p w:rsidR="00EA3554" w:rsidRDefault="00177724">
            <w:pPr>
              <w:pStyle w:val="Tabletext"/>
              <w:jc w:val="center"/>
              <w:rPr>
                <w:b/>
                <w:vertAlign w:val="superscript"/>
              </w:rPr>
            </w:pPr>
            <w:r>
              <w:rPr>
                <w:b/>
                <w:vertAlign w:val="superscript"/>
              </w:rPr>
              <w:t>(13)</w:t>
            </w:r>
          </w:p>
        </w:tc>
      </w:tr>
      <w:tr w:rsidR="00EA3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337" w:type="dxa"/>
            <w:tcBorders>
              <w:top w:val="single" w:sz="4" w:space="0" w:color="auto"/>
              <w:left w:val="single" w:sz="4" w:space="0" w:color="auto"/>
              <w:bottom w:val="single" w:sz="4" w:space="0" w:color="auto"/>
              <w:right w:val="single" w:sz="4" w:space="0" w:color="auto"/>
            </w:tcBorders>
          </w:tcPr>
          <w:p w:rsidR="00EA3554" w:rsidRDefault="00177724">
            <w:pPr>
              <w:pStyle w:val="Tabletext"/>
              <w:rPr>
                <w:rFonts w:eastAsia="SimSun"/>
              </w:rPr>
            </w:pPr>
            <w:r>
              <w:t>ACLR</w:t>
            </w:r>
          </w:p>
        </w:tc>
        <w:tc>
          <w:tcPr>
            <w:tcW w:w="1840" w:type="dxa"/>
            <w:tcBorders>
              <w:top w:val="single" w:sz="4" w:space="0" w:color="auto"/>
              <w:left w:val="single" w:sz="4" w:space="0" w:color="auto"/>
              <w:bottom w:val="single" w:sz="4" w:space="0" w:color="auto"/>
              <w:right w:val="single" w:sz="4" w:space="0" w:color="auto"/>
            </w:tcBorders>
          </w:tcPr>
          <w:p w:rsidR="00EA3554" w:rsidRDefault="00177724">
            <w:pPr>
              <w:pStyle w:val="Tabletext"/>
              <w:jc w:val="center"/>
              <w:rPr>
                <w:b/>
                <w:vertAlign w:val="superscript"/>
              </w:rPr>
            </w:pPr>
            <w:r>
              <w:rPr>
                <w:b/>
                <w:vertAlign w:val="superscript"/>
              </w:rPr>
              <w:t>(14)</w:t>
            </w:r>
          </w:p>
        </w:tc>
        <w:tc>
          <w:tcPr>
            <w:tcW w:w="1841" w:type="dxa"/>
            <w:gridSpan w:val="2"/>
            <w:tcBorders>
              <w:top w:val="single" w:sz="4" w:space="0" w:color="auto"/>
              <w:left w:val="single" w:sz="4" w:space="0" w:color="auto"/>
              <w:bottom w:val="single" w:sz="4" w:space="0" w:color="auto"/>
              <w:right w:val="single" w:sz="4" w:space="0" w:color="auto"/>
            </w:tcBorders>
          </w:tcPr>
          <w:p w:rsidR="00EA3554" w:rsidRDefault="00177724">
            <w:pPr>
              <w:pStyle w:val="Tabletext"/>
              <w:jc w:val="center"/>
              <w:rPr>
                <w:b/>
                <w:vertAlign w:val="superscript"/>
              </w:rPr>
            </w:pPr>
            <w:r>
              <w:rPr>
                <w:b/>
                <w:vertAlign w:val="superscript"/>
              </w:rPr>
              <w:t>(15)</w:t>
            </w:r>
          </w:p>
        </w:tc>
      </w:tr>
      <w:tr w:rsidR="00EA3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337" w:type="dxa"/>
            <w:tcBorders>
              <w:top w:val="single" w:sz="4" w:space="0" w:color="auto"/>
              <w:left w:val="single" w:sz="4" w:space="0" w:color="auto"/>
              <w:bottom w:val="single" w:sz="4" w:space="0" w:color="auto"/>
              <w:right w:val="single" w:sz="4" w:space="0" w:color="auto"/>
            </w:tcBorders>
          </w:tcPr>
          <w:p w:rsidR="00EA3554" w:rsidRDefault="00177724">
            <w:pPr>
              <w:pStyle w:val="Tabletext"/>
              <w:rPr>
                <w:rFonts w:eastAsia="SimSun"/>
              </w:rPr>
            </w:pPr>
            <w:r>
              <w:t>ACS</w:t>
            </w:r>
          </w:p>
        </w:tc>
        <w:tc>
          <w:tcPr>
            <w:tcW w:w="1840" w:type="dxa"/>
            <w:tcBorders>
              <w:top w:val="single" w:sz="4" w:space="0" w:color="auto"/>
              <w:left w:val="single" w:sz="4" w:space="0" w:color="auto"/>
              <w:bottom w:val="single" w:sz="4" w:space="0" w:color="auto"/>
              <w:right w:val="single" w:sz="4" w:space="0" w:color="auto"/>
            </w:tcBorders>
          </w:tcPr>
          <w:p w:rsidR="00EA3554" w:rsidRDefault="00177724">
            <w:pPr>
              <w:pStyle w:val="Tabletext"/>
              <w:jc w:val="center"/>
              <w:rPr>
                <w:b/>
                <w:vertAlign w:val="superscript"/>
              </w:rPr>
            </w:pPr>
            <w:r>
              <w:rPr>
                <w:b/>
                <w:vertAlign w:val="superscript"/>
              </w:rPr>
              <w:t>(16)</w:t>
            </w:r>
          </w:p>
        </w:tc>
        <w:tc>
          <w:tcPr>
            <w:tcW w:w="1841" w:type="dxa"/>
            <w:gridSpan w:val="2"/>
            <w:tcBorders>
              <w:top w:val="single" w:sz="4" w:space="0" w:color="auto"/>
              <w:left w:val="single" w:sz="4" w:space="0" w:color="auto"/>
              <w:bottom w:val="single" w:sz="4" w:space="0" w:color="auto"/>
              <w:right w:val="single" w:sz="4" w:space="0" w:color="auto"/>
            </w:tcBorders>
          </w:tcPr>
          <w:p w:rsidR="00EA3554" w:rsidRDefault="00177724">
            <w:pPr>
              <w:pStyle w:val="Tabletext"/>
              <w:jc w:val="center"/>
              <w:rPr>
                <w:b/>
                <w:vertAlign w:val="superscript"/>
              </w:rPr>
            </w:pPr>
            <w:r>
              <w:rPr>
                <w:b/>
                <w:vertAlign w:val="superscript"/>
              </w:rPr>
              <w:t>(17)</w:t>
            </w:r>
          </w:p>
        </w:tc>
      </w:tr>
      <w:tr w:rsidR="00EA3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337" w:type="dxa"/>
            <w:tcBorders>
              <w:top w:val="single" w:sz="4" w:space="0" w:color="auto"/>
              <w:left w:val="single" w:sz="4" w:space="0" w:color="auto"/>
              <w:bottom w:val="single" w:sz="4" w:space="0" w:color="auto"/>
              <w:right w:val="single" w:sz="4" w:space="0" w:color="auto"/>
            </w:tcBorders>
          </w:tcPr>
          <w:p w:rsidR="00EA3554" w:rsidRDefault="00177724">
            <w:pPr>
              <w:pStyle w:val="Tabletext"/>
            </w:pPr>
            <w:r>
              <w:t>Unwanted emissions</w:t>
            </w:r>
            <w:r>
              <w:rPr>
                <w:b/>
                <w:vertAlign w:val="superscript"/>
              </w:rPr>
              <w:t>(18)</w:t>
            </w:r>
          </w:p>
        </w:tc>
        <w:tc>
          <w:tcPr>
            <w:tcW w:w="1840" w:type="dxa"/>
            <w:tcBorders>
              <w:top w:val="single" w:sz="4" w:space="0" w:color="auto"/>
              <w:left w:val="single" w:sz="4" w:space="0" w:color="auto"/>
              <w:bottom w:val="single" w:sz="4" w:space="0" w:color="auto"/>
              <w:right w:val="single" w:sz="4" w:space="0" w:color="auto"/>
            </w:tcBorders>
          </w:tcPr>
          <w:p w:rsidR="00EA3554" w:rsidRDefault="00177724">
            <w:pPr>
              <w:pStyle w:val="Tabletext"/>
              <w:jc w:val="center"/>
            </w:pPr>
            <w:r>
              <w:t>3GPP TS 36.104 (V11.2.0) Table 6.6.3.2.1-3 &amp;</w:t>
            </w:r>
          </w:p>
          <w:p w:rsidR="00EA3554" w:rsidRDefault="00177724">
            <w:pPr>
              <w:pStyle w:val="Tabletext"/>
              <w:jc w:val="center"/>
            </w:pPr>
            <w:r>
              <w:rPr>
                <w:rFonts w:cs="v5.0.0"/>
              </w:rPr>
              <w:t>Table 6.6.4.1.2.1-1</w:t>
            </w:r>
          </w:p>
        </w:tc>
        <w:tc>
          <w:tcPr>
            <w:tcW w:w="1841" w:type="dxa"/>
            <w:gridSpan w:val="2"/>
            <w:tcBorders>
              <w:top w:val="single" w:sz="4" w:space="0" w:color="auto"/>
              <w:left w:val="single" w:sz="4" w:space="0" w:color="auto"/>
              <w:bottom w:val="single" w:sz="4" w:space="0" w:color="auto"/>
              <w:right w:val="single" w:sz="4" w:space="0" w:color="auto"/>
            </w:tcBorders>
          </w:tcPr>
          <w:p w:rsidR="00EA3554" w:rsidRDefault="00177724">
            <w:pPr>
              <w:pStyle w:val="Tabletext"/>
              <w:jc w:val="center"/>
            </w:pPr>
            <w:r>
              <w:t>3GPP TS 36.101</w:t>
            </w:r>
          </w:p>
          <w:p w:rsidR="00EA3554" w:rsidRDefault="00177724">
            <w:pPr>
              <w:pStyle w:val="Tabletext"/>
              <w:jc w:val="center"/>
            </w:pPr>
            <w:r>
              <w:t xml:space="preserve">(V11.2.0) Table 6.6.2.1.1-1 &amp; </w:t>
            </w:r>
            <w:r>
              <w:rPr>
                <w:rFonts w:cs="v5.0.0"/>
              </w:rPr>
              <w:t>Table 6.6.3.1-2</w:t>
            </w:r>
          </w:p>
        </w:tc>
      </w:tr>
    </w:tbl>
    <w:p w:rsidR="00EA3554" w:rsidRDefault="00EA3554">
      <w:pPr>
        <w:tabs>
          <w:tab w:val="clear" w:pos="1134"/>
          <w:tab w:val="clear" w:pos="1871"/>
          <w:tab w:val="clear" w:pos="2268"/>
        </w:tabs>
        <w:overflowPunct/>
        <w:autoSpaceDE/>
        <w:autoSpaceDN/>
        <w:adjustRightInd/>
        <w:spacing w:before="0"/>
        <w:textAlignment w:val="auto"/>
      </w:pPr>
    </w:p>
    <w:p w:rsidR="00EA3554" w:rsidRDefault="00177724">
      <w:pPr>
        <w:tabs>
          <w:tab w:val="clear" w:pos="1134"/>
          <w:tab w:val="clear" w:pos="1871"/>
          <w:tab w:val="clear" w:pos="2268"/>
        </w:tabs>
        <w:overflowPunct/>
        <w:autoSpaceDE/>
        <w:autoSpaceDN/>
        <w:adjustRightInd/>
        <w:spacing w:before="0"/>
        <w:textAlignment w:val="auto"/>
        <w:rPr>
          <w:b/>
          <w:i/>
          <w:iCs/>
          <w:sz w:val="20"/>
          <w:lang w:val="en-US"/>
        </w:rPr>
      </w:pPr>
      <w:r>
        <w:rPr>
          <w:b/>
          <w:i/>
          <w:iCs/>
          <w:sz w:val="20"/>
          <w:lang w:val="en-US"/>
        </w:rPr>
        <w:br w:type="page"/>
      </w:r>
    </w:p>
    <w:p w:rsidR="00EA3554" w:rsidRDefault="00177724" w:rsidP="00BE7BC8">
      <w:pPr>
        <w:pStyle w:val="Note"/>
        <w:rPr>
          <w:lang w:val="en-US"/>
        </w:rPr>
      </w:pPr>
      <w:r>
        <w:rPr>
          <w:lang w:val="en-US"/>
        </w:rPr>
        <w:t>Notes:</w:t>
      </w:r>
    </w:p>
    <w:p w:rsidR="00EA3554" w:rsidRDefault="00177724" w:rsidP="00BE7BC8">
      <w:pPr>
        <w:pStyle w:val="enumlev1"/>
        <w:rPr>
          <w:i/>
          <w:iCs/>
          <w:lang w:val="en-US"/>
        </w:rPr>
      </w:pPr>
      <w:r>
        <w:rPr>
          <w:lang w:val="en-US"/>
        </w:rPr>
        <w:t>(1)</w:t>
      </w:r>
      <w:r>
        <w:rPr>
          <w:lang w:val="en-US"/>
        </w:rPr>
        <w:tab/>
        <w:t>See 3GPP Document: TS 36 104 v 11.1.0, Section 4.2 for the definition of base station classes which are designated as Wide Area Base Stations, Local Area Base Stations and Home Area Base Stations.  The information provided here corresponds to the Wide Area Base station class.</w:t>
      </w:r>
    </w:p>
    <w:p w:rsidR="00EA3554" w:rsidRDefault="00177724" w:rsidP="00BE7BC8">
      <w:pPr>
        <w:pStyle w:val="enumlev1"/>
        <w:rPr>
          <w:lang w:val="en-US"/>
        </w:rPr>
      </w:pPr>
      <w:r>
        <w:rPr>
          <w:lang w:val="en-US"/>
        </w:rPr>
        <w:t>(2)</w:t>
      </w:r>
      <w:r>
        <w:rPr>
          <w:lang w:val="en-US"/>
        </w:rPr>
        <w:tab/>
        <w:t>See 3GPP Documents: TS 36 104 v 11.1.0, see § 6.6.3 and TS 36 141 v 11.1.0, see § 6.6.</w:t>
      </w:r>
    </w:p>
    <w:p w:rsidR="00EA3554" w:rsidRDefault="00177724" w:rsidP="00BE7BC8">
      <w:pPr>
        <w:pStyle w:val="enumlev1"/>
        <w:rPr>
          <w:lang w:val="en-US"/>
        </w:rPr>
      </w:pPr>
      <w:r>
        <w:rPr>
          <w:lang w:val="en-US"/>
        </w:rPr>
        <w:t>(3)</w:t>
      </w:r>
      <w:r>
        <w:rPr>
          <w:lang w:val="en-US"/>
        </w:rPr>
        <w:tab/>
        <w:t>See 3GPP Documents: TS 36 101 v 11.1.0, see Table 6.6.2.1.1-1 (General E-UTRA spectrum emission mask) and TS 36 521-1 v 10.2.0, see § 6.6.</w:t>
      </w:r>
    </w:p>
    <w:p w:rsidR="00EA3554" w:rsidRDefault="00177724" w:rsidP="00BE7BC8">
      <w:pPr>
        <w:pStyle w:val="enumlev1"/>
        <w:rPr>
          <w:lang w:val="en-US"/>
        </w:rPr>
      </w:pPr>
      <w:r>
        <w:rPr>
          <w:lang w:val="en-US"/>
        </w:rPr>
        <w:t>(4)</w:t>
      </w:r>
      <w:r>
        <w:rPr>
          <w:lang w:val="en-US"/>
        </w:rPr>
        <w:tab/>
        <w:t>This value corresponds to a 4.5 MHz bandwidth, noting that other measurem</w:t>
      </w:r>
      <w:r w:rsidR="00A01447">
        <w:rPr>
          <w:lang w:val="en-US"/>
        </w:rPr>
        <w:t>ent bandwidth is possible: 1.08 </w:t>
      </w:r>
      <w:r>
        <w:rPr>
          <w:lang w:val="en-US"/>
        </w:rPr>
        <w:t>MHz, 2.7 MHz, 9.0 MHz, 13.5 MHz and 18 </w:t>
      </w:r>
      <w:proofErr w:type="spellStart"/>
      <w:r>
        <w:rPr>
          <w:lang w:val="en-US"/>
        </w:rPr>
        <w:t>MHz.</w:t>
      </w:r>
      <w:proofErr w:type="spellEnd"/>
    </w:p>
    <w:p w:rsidR="00EA3554" w:rsidRDefault="00177724" w:rsidP="00BE7BC8">
      <w:pPr>
        <w:pStyle w:val="enumlev1"/>
        <w:rPr>
          <w:lang w:val="en-US"/>
        </w:rPr>
      </w:pPr>
      <w:r>
        <w:rPr>
          <w:lang w:val="en-US"/>
        </w:rPr>
        <w:t>(5)</w:t>
      </w:r>
      <w:r>
        <w:rPr>
          <w:lang w:val="en-US"/>
        </w:rPr>
        <w:tab/>
        <w:t>[</w:t>
      </w:r>
      <w:r w:rsidR="00A01447">
        <w:rPr>
          <w:lang w:val="en-US"/>
        </w:rPr>
        <w:t xml:space="preserve">Not </w:t>
      </w:r>
      <w:r>
        <w:rPr>
          <w:lang w:val="en-US"/>
        </w:rPr>
        <w:t>used]</w:t>
      </w:r>
    </w:p>
    <w:p w:rsidR="00EA3554" w:rsidRDefault="00177724" w:rsidP="00BE7BC8">
      <w:pPr>
        <w:pStyle w:val="enumlev1"/>
        <w:rPr>
          <w:lang w:val="en-US"/>
        </w:rPr>
      </w:pPr>
      <w:r>
        <w:rPr>
          <w:lang w:val="en-US"/>
        </w:rPr>
        <w:t>(6)</w:t>
      </w:r>
      <w:r>
        <w:rPr>
          <w:lang w:val="en-US"/>
        </w:rPr>
        <w:tab/>
        <w:t>[</w:t>
      </w:r>
      <w:r w:rsidR="00A01447">
        <w:rPr>
          <w:lang w:val="en-US"/>
        </w:rPr>
        <w:t xml:space="preserve">Not </w:t>
      </w:r>
      <w:r>
        <w:rPr>
          <w:lang w:val="en-US"/>
        </w:rPr>
        <w:t>used]</w:t>
      </w:r>
    </w:p>
    <w:p w:rsidR="00EA3554" w:rsidRDefault="00177724" w:rsidP="00BE7BC8">
      <w:pPr>
        <w:pStyle w:val="enumlev1"/>
        <w:rPr>
          <w:lang w:val="en-US"/>
        </w:rPr>
      </w:pPr>
      <w:r>
        <w:rPr>
          <w:lang w:val="en-US"/>
        </w:rPr>
        <w:t>(</w:t>
      </w:r>
      <w:r>
        <w:rPr>
          <w:rFonts w:eastAsia="MS Mincho"/>
          <w:lang w:val="en-US"/>
        </w:rPr>
        <w:t>7)</w:t>
      </w:r>
      <w:r>
        <w:rPr>
          <w:rFonts w:eastAsia="MS Mincho"/>
          <w:lang w:val="en-US"/>
        </w:rPr>
        <w:tab/>
        <w:t>This value refers to the block size.</w:t>
      </w:r>
    </w:p>
    <w:p w:rsidR="00EA3554" w:rsidRDefault="00177724" w:rsidP="00BE7BC8">
      <w:pPr>
        <w:pStyle w:val="enumlev1"/>
        <w:rPr>
          <w:lang w:val="en-US"/>
        </w:rPr>
      </w:pPr>
      <w:r>
        <w:rPr>
          <w:lang w:val="en-US"/>
        </w:rPr>
        <w:t>(8)</w:t>
      </w:r>
      <w:r>
        <w:rPr>
          <w:lang w:val="en-US"/>
        </w:rPr>
        <w:tab/>
        <w:t>See 3GPP Document TS 36.104 v.11.1.0, Table 6.3.2.1-1 (E-UTRA BS total power dynamic range).</w:t>
      </w:r>
    </w:p>
    <w:p w:rsidR="00EA3554" w:rsidRDefault="00177724" w:rsidP="00BE7BC8">
      <w:pPr>
        <w:pStyle w:val="enumlev1"/>
        <w:rPr>
          <w:lang w:val="en-US"/>
        </w:rPr>
      </w:pPr>
      <w:r>
        <w:rPr>
          <w:lang w:val="en-US"/>
        </w:rPr>
        <w:t>(9)</w:t>
      </w:r>
      <w:r>
        <w:rPr>
          <w:lang w:val="en-US"/>
        </w:rPr>
        <w:tab/>
        <w:t xml:space="preserve">Typically base stations today use cross-polarized antennas (two sets of dipoles slanted at ±45° against the horizontal plane), usually transmitting on one of the two </w:t>
      </w:r>
      <w:proofErr w:type="spellStart"/>
      <w:r>
        <w:rPr>
          <w:lang w:val="en-US"/>
        </w:rPr>
        <w:t>polarisation</w:t>
      </w:r>
      <w:proofErr w:type="spellEnd"/>
      <w:r>
        <w:rPr>
          <w:lang w:val="en-US"/>
        </w:rPr>
        <w:t xml:space="preserve"> paths (either +45° or −45° for a given frequency) whilst receiving on both paths (to achieve </w:t>
      </w:r>
      <w:proofErr w:type="spellStart"/>
      <w:r>
        <w:rPr>
          <w:lang w:val="en-US"/>
        </w:rPr>
        <w:t>polarisation</w:t>
      </w:r>
      <w:proofErr w:type="spellEnd"/>
      <w:r>
        <w:rPr>
          <w:lang w:val="en-US"/>
        </w:rPr>
        <w:t xml:space="preserve"> diversity). Such signals provide an isolation of 3 dB against both horizontally and vertically polarized signals (e.g. DVB-T signals) due to cross-</w:t>
      </w:r>
      <w:proofErr w:type="spellStart"/>
      <w:r>
        <w:rPr>
          <w:lang w:val="en-US"/>
        </w:rPr>
        <w:t>polarisation</w:t>
      </w:r>
      <w:proofErr w:type="spellEnd"/>
      <w:r>
        <w:rPr>
          <w:lang w:val="en-US"/>
        </w:rPr>
        <w:t xml:space="preserve"> discrimination.</w:t>
      </w:r>
    </w:p>
    <w:p w:rsidR="00EA3554" w:rsidRPr="00BE7BC8" w:rsidRDefault="00177724" w:rsidP="00BE7BC8">
      <w:pPr>
        <w:pStyle w:val="enumlev1"/>
        <w:rPr>
          <w:lang w:val="en-US"/>
        </w:rPr>
      </w:pPr>
      <w:r w:rsidRPr="00BE7BC8">
        <w:rPr>
          <w:lang w:val="en-US"/>
        </w:rPr>
        <w:t>(10)</w:t>
      </w:r>
      <w:r w:rsidRPr="00BE7BC8">
        <w:rPr>
          <w:lang w:val="en-US"/>
        </w:rPr>
        <w:tab/>
        <w:t xml:space="preserve">See 3GPP Document </w:t>
      </w:r>
      <w:proofErr w:type="spellStart"/>
      <w:r w:rsidRPr="00BE7BC8">
        <w:rPr>
          <w:lang w:val="en-US"/>
        </w:rPr>
        <w:t>TS</w:t>
      </w:r>
      <w:proofErr w:type="spellEnd"/>
      <w:r w:rsidRPr="00BE7BC8">
        <w:rPr>
          <w:lang w:val="en-US"/>
        </w:rPr>
        <w:t xml:space="preserve"> 36.104 v.11.1.0, § 7.2.</w:t>
      </w:r>
    </w:p>
    <w:p w:rsidR="00EA3554" w:rsidRPr="00BE7BC8" w:rsidRDefault="00177724" w:rsidP="00BE7BC8">
      <w:pPr>
        <w:pStyle w:val="enumlev1"/>
        <w:rPr>
          <w:lang w:val="en-US"/>
        </w:rPr>
      </w:pPr>
      <w:r w:rsidRPr="00BE7BC8">
        <w:rPr>
          <w:lang w:val="en-US"/>
        </w:rPr>
        <w:t>(11)</w:t>
      </w:r>
      <w:r w:rsidRPr="00BE7BC8">
        <w:rPr>
          <w:lang w:val="en-US"/>
        </w:rPr>
        <w:tab/>
        <w:t xml:space="preserve">See 3GPP Document </w:t>
      </w:r>
      <w:proofErr w:type="spellStart"/>
      <w:r w:rsidRPr="00BE7BC8">
        <w:rPr>
          <w:lang w:val="en-US"/>
        </w:rPr>
        <w:t>TS</w:t>
      </w:r>
      <w:proofErr w:type="spellEnd"/>
      <w:r w:rsidRPr="00BE7BC8">
        <w:rPr>
          <w:lang w:val="en-US"/>
        </w:rPr>
        <w:t xml:space="preserve"> 36.101 v.11.1.0, § 7.3.</w:t>
      </w:r>
    </w:p>
    <w:p w:rsidR="00EA3554" w:rsidRPr="00BE7BC8" w:rsidRDefault="00177724" w:rsidP="00BE7BC8">
      <w:pPr>
        <w:pStyle w:val="enumlev1"/>
        <w:rPr>
          <w:lang w:val="en-US"/>
        </w:rPr>
      </w:pPr>
      <w:r w:rsidRPr="00BE7BC8">
        <w:rPr>
          <w:lang w:val="en-US"/>
        </w:rPr>
        <w:t>(12)</w:t>
      </w:r>
      <w:r w:rsidRPr="00BE7BC8">
        <w:rPr>
          <w:lang w:val="en-US"/>
        </w:rPr>
        <w:tab/>
        <w:t xml:space="preserve">See 3GPP Document </w:t>
      </w:r>
      <w:proofErr w:type="spellStart"/>
      <w:r w:rsidRPr="00BE7BC8">
        <w:rPr>
          <w:lang w:val="en-US"/>
        </w:rPr>
        <w:t>TS</w:t>
      </w:r>
      <w:proofErr w:type="spellEnd"/>
      <w:r w:rsidRPr="00BE7BC8">
        <w:rPr>
          <w:lang w:val="en-US"/>
        </w:rPr>
        <w:t xml:space="preserve"> 36.104 v.11.1.0, § 7.6.</w:t>
      </w:r>
    </w:p>
    <w:p w:rsidR="00EA3554" w:rsidRPr="00BE7BC8" w:rsidRDefault="00177724" w:rsidP="00BE7BC8">
      <w:pPr>
        <w:pStyle w:val="enumlev1"/>
        <w:rPr>
          <w:lang w:val="en-US"/>
        </w:rPr>
      </w:pPr>
      <w:r w:rsidRPr="00BE7BC8">
        <w:rPr>
          <w:lang w:val="en-US"/>
        </w:rPr>
        <w:t>(13)</w:t>
      </w:r>
      <w:r w:rsidRPr="00BE7BC8">
        <w:rPr>
          <w:lang w:val="en-US"/>
        </w:rPr>
        <w:tab/>
        <w:t xml:space="preserve">See 3GPP Document </w:t>
      </w:r>
      <w:proofErr w:type="spellStart"/>
      <w:r w:rsidRPr="00BE7BC8">
        <w:rPr>
          <w:lang w:val="en-US"/>
        </w:rPr>
        <w:t>TS</w:t>
      </w:r>
      <w:proofErr w:type="spellEnd"/>
      <w:r w:rsidRPr="00BE7BC8">
        <w:rPr>
          <w:lang w:val="en-US"/>
        </w:rPr>
        <w:t xml:space="preserve"> 36.101 v.11.1.0, § 7.6.</w:t>
      </w:r>
    </w:p>
    <w:p w:rsidR="00EA3554" w:rsidRPr="00BE7BC8" w:rsidRDefault="00177724" w:rsidP="00BE7BC8">
      <w:pPr>
        <w:pStyle w:val="enumlev1"/>
        <w:rPr>
          <w:lang w:val="en-US"/>
        </w:rPr>
      </w:pPr>
      <w:r w:rsidRPr="00BE7BC8">
        <w:rPr>
          <w:lang w:val="en-US"/>
        </w:rPr>
        <w:t>(14)</w:t>
      </w:r>
      <w:r w:rsidRPr="00BE7BC8">
        <w:rPr>
          <w:lang w:val="en-US"/>
        </w:rPr>
        <w:tab/>
        <w:t xml:space="preserve">See 3GPP Document </w:t>
      </w:r>
      <w:proofErr w:type="spellStart"/>
      <w:r w:rsidRPr="00BE7BC8">
        <w:rPr>
          <w:lang w:val="en-US"/>
        </w:rPr>
        <w:t>TS</w:t>
      </w:r>
      <w:proofErr w:type="spellEnd"/>
      <w:r w:rsidRPr="00BE7BC8">
        <w:rPr>
          <w:lang w:val="en-US"/>
        </w:rPr>
        <w:t xml:space="preserve"> 36.104 v.11.1.0, § 6.6.2.</w:t>
      </w:r>
    </w:p>
    <w:p w:rsidR="00EA3554" w:rsidRPr="00BE7BC8" w:rsidRDefault="00177724" w:rsidP="00BE7BC8">
      <w:pPr>
        <w:pStyle w:val="enumlev1"/>
        <w:rPr>
          <w:lang w:val="en-US"/>
        </w:rPr>
      </w:pPr>
      <w:r w:rsidRPr="00BE7BC8">
        <w:rPr>
          <w:lang w:val="en-US"/>
        </w:rPr>
        <w:t>(15)</w:t>
      </w:r>
      <w:r w:rsidRPr="00BE7BC8">
        <w:rPr>
          <w:lang w:val="en-US"/>
        </w:rPr>
        <w:tab/>
        <w:t xml:space="preserve">See 3GPP Document </w:t>
      </w:r>
      <w:proofErr w:type="spellStart"/>
      <w:r w:rsidRPr="00BE7BC8">
        <w:rPr>
          <w:lang w:val="en-US"/>
        </w:rPr>
        <w:t>TS</w:t>
      </w:r>
      <w:proofErr w:type="spellEnd"/>
      <w:r w:rsidRPr="00BE7BC8">
        <w:rPr>
          <w:lang w:val="en-US"/>
        </w:rPr>
        <w:t xml:space="preserve"> 36.101 v.11.1.0, § 6.6.2.3.</w:t>
      </w:r>
    </w:p>
    <w:p w:rsidR="00EA3554" w:rsidRPr="00BE7BC8" w:rsidRDefault="00177724" w:rsidP="00BE7BC8">
      <w:pPr>
        <w:pStyle w:val="enumlev1"/>
        <w:rPr>
          <w:lang w:val="en-US"/>
        </w:rPr>
      </w:pPr>
      <w:r w:rsidRPr="00BE7BC8">
        <w:rPr>
          <w:lang w:val="en-US"/>
        </w:rPr>
        <w:t>(16)</w:t>
      </w:r>
      <w:r w:rsidRPr="00BE7BC8">
        <w:rPr>
          <w:lang w:val="en-US"/>
        </w:rPr>
        <w:tab/>
        <w:t xml:space="preserve">See 3GPP Document </w:t>
      </w:r>
      <w:proofErr w:type="spellStart"/>
      <w:r w:rsidRPr="00BE7BC8">
        <w:rPr>
          <w:lang w:val="en-US"/>
        </w:rPr>
        <w:t>TS</w:t>
      </w:r>
      <w:proofErr w:type="spellEnd"/>
      <w:r w:rsidRPr="00BE7BC8">
        <w:rPr>
          <w:lang w:val="en-US"/>
        </w:rPr>
        <w:t xml:space="preserve"> 36.104 v.11.1.0, § 7.5.</w:t>
      </w:r>
    </w:p>
    <w:p w:rsidR="00EA3554" w:rsidRPr="00BE7BC8" w:rsidRDefault="00177724" w:rsidP="00BE7BC8">
      <w:pPr>
        <w:pStyle w:val="enumlev1"/>
        <w:rPr>
          <w:lang w:val="en-US"/>
        </w:rPr>
      </w:pPr>
      <w:r w:rsidRPr="00BE7BC8">
        <w:rPr>
          <w:lang w:val="en-US"/>
        </w:rPr>
        <w:t>(17)</w:t>
      </w:r>
      <w:r w:rsidRPr="00BE7BC8">
        <w:rPr>
          <w:lang w:val="en-US"/>
        </w:rPr>
        <w:tab/>
        <w:t xml:space="preserve">See 3GPP Document </w:t>
      </w:r>
      <w:proofErr w:type="spellStart"/>
      <w:r w:rsidRPr="00BE7BC8">
        <w:rPr>
          <w:lang w:val="en-US"/>
        </w:rPr>
        <w:t>TS</w:t>
      </w:r>
      <w:proofErr w:type="spellEnd"/>
      <w:r w:rsidRPr="00BE7BC8">
        <w:rPr>
          <w:lang w:val="en-US"/>
        </w:rPr>
        <w:t xml:space="preserve"> 36.101 v.11.1.0, § 7.5.</w:t>
      </w:r>
    </w:p>
    <w:p w:rsidR="00EA3554" w:rsidRDefault="00177724" w:rsidP="00BE7BC8">
      <w:pPr>
        <w:pStyle w:val="enumlev1"/>
        <w:rPr>
          <w:lang w:val="en-US"/>
        </w:rPr>
      </w:pPr>
      <w:r>
        <w:rPr>
          <w:lang w:val="en-US"/>
        </w:rPr>
        <w:t>(18)</w:t>
      </w:r>
      <w:r>
        <w:rPr>
          <w:lang w:val="en-US"/>
        </w:rPr>
        <w:tab/>
        <w:t xml:space="preserve">These unwanted emission limits are the upper limits from SDO specifications for laboratory </w:t>
      </w:r>
      <w:proofErr w:type="spellStart"/>
      <w:r>
        <w:rPr>
          <w:lang w:val="en-US"/>
        </w:rPr>
        <w:t>testingwith</w:t>
      </w:r>
      <w:proofErr w:type="spellEnd"/>
      <w:r>
        <w:rPr>
          <w:lang w:val="en-US"/>
        </w:rPr>
        <w:t xml:space="preserve"> maximum transmitting power. It is assumed that when the in-band transmitting power is reduced by x dB through power control, the unwanted emission levels would be reduced by x dB in consequence in the coexistence simulations.</w:t>
      </w:r>
    </w:p>
    <w:p w:rsidR="00BE7BC8" w:rsidRDefault="00BE7BC8">
      <w:pPr>
        <w:tabs>
          <w:tab w:val="clear" w:pos="1134"/>
          <w:tab w:val="clear" w:pos="1871"/>
          <w:tab w:val="clear" w:pos="2268"/>
        </w:tabs>
        <w:overflowPunct/>
        <w:autoSpaceDE/>
        <w:autoSpaceDN/>
        <w:adjustRightInd/>
        <w:spacing w:before="0"/>
        <w:textAlignment w:val="auto"/>
        <w:rPr>
          <w:caps/>
        </w:rPr>
      </w:pPr>
      <w:r>
        <w:br w:type="page"/>
      </w:r>
    </w:p>
    <w:p w:rsidR="00EA3554" w:rsidRPr="00BE7BC8" w:rsidRDefault="00177724" w:rsidP="00BE7BC8">
      <w:pPr>
        <w:pStyle w:val="Reftitle"/>
      </w:pPr>
      <w:r w:rsidRPr="00BE7BC8">
        <w:t>REFERENCES</w:t>
      </w:r>
    </w:p>
    <w:p w:rsidR="00EA3554" w:rsidRDefault="00177724">
      <w:pPr>
        <w:spacing w:before="360"/>
        <w:rPr>
          <w:lang w:val="en-US"/>
        </w:rPr>
      </w:pPr>
      <w:r>
        <w:rPr>
          <w:lang w:val="en-US"/>
        </w:rPr>
        <w:tab/>
        <w:t xml:space="preserve">(Documents publically available at </w:t>
      </w:r>
      <w:hyperlink r:id="rId11" w:history="1">
        <w:r>
          <w:rPr>
            <w:rStyle w:val="Hyperlink"/>
            <w:rFonts w:asciiTheme="majorBidi" w:hAnsiTheme="majorBidi" w:cstheme="majorBidi"/>
            <w:lang w:val="en-US"/>
          </w:rPr>
          <w:t>http://www.3gpp.org/specification-numbering</w:t>
        </w:r>
      </w:hyperlink>
      <w:r>
        <w:rPr>
          <w:lang w:val="en-US"/>
        </w:rPr>
        <w:t>)</w:t>
      </w:r>
    </w:p>
    <w:p w:rsidR="00EA3554" w:rsidRDefault="00177724" w:rsidP="00BE7BC8">
      <w:pPr>
        <w:pStyle w:val="enumlev1"/>
        <w:rPr>
          <w:lang w:val="en-US"/>
        </w:rPr>
      </w:pPr>
      <w:r>
        <w:rPr>
          <w:lang w:val="en-US"/>
        </w:rPr>
        <w:t>[1]</w:t>
      </w:r>
      <w:r>
        <w:rPr>
          <w:lang w:val="en-US"/>
        </w:rPr>
        <w:tab/>
        <w:t>TS 36.101 v.11.1.0, 3</w:t>
      </w:r>
      <w:r>
        <w:rPr>
          <w:vertAlign w:val="superscript"/>
          <w:lang w:val="en-US"/>
        </w:rPr>
        <w:t>rd</w:t>
      </w:r>
      <w:r>
        <w:rPr>
          <w:lang w:val="en-US"/>
        </w:rPr>
        <w:t xml:space="preserve"> Generation Partnership Project; Technical Specification Group Radio Access Networks; Evolved Universal Terrestrial Radio Access (E-UTRA); User Equipment (UE) radio transmis</w:t>
      </w:r>
      <w:r w:rsidR="00A01447">
        <w:rPr>
          <w:lang w:val="en-US"/>
        </w:rPr>
        <w:t>sion and reception (Release 11)</w:t>
      </w:r>
    </w:p>
    <w:p w:rsidR="00EA3554" w:rsidRDefault="00177724" w:rsidP="00BE7BC8">
      <w:pPr>
        <w:pStyle w:val="enumlev1"/>
        <w:rPr>
          <w:lang w:val="en-US"/>
        </w:rPr>
      </w:pPr>
      <w:r>
        <w:rPr>
          <w:lang w:val="en-US"/>
        </w:rPr>
        <w:t>[2]</w:t>
      </w:r>
      <w:r>
        <w:rPr>
          <w:lang w:val="en-US"/>
        </w:rPr>
        <w:tab/>
        <w:t>TS 36.104 v.11.1.0, 3</w:t>
      </w:r>
      <w:r>
        <w:rPr>
          <w:vertAlign w:val="superscript"/>
          <w:lang w:val="en-US"/>
        </w:rPr>
        <w:t>rd</w:t>
      </w:r>
      <w:r>
        <w:rPr>
          <w:lang w:val="en-US"/>
        </w:rPr>
        <w:t xml:space="preserve"> Generation Partnership Project; Technical Specification Group Radio Access Networks; Evolved Universal Terrestrial Radio Access (E-UTRA); Base Station (BS) radio transmission and reception (Release 11)</w:t>
      </w:r>
    </w:p>
    <w:p w:rsidR="00EA3554" w:rsidRDefault="00EA3554"/>
    <w:p w:rsidR="00EA3554" w:rsidRDefault="00177724" w:rsidP="00BE7BC8">
      <w:pPr>
        <w:pStyle w:val="Headingb"/>
      </w:pPr>
      <w:r>
        <w:t>Deployment-related parameters</w:t>
      </w:r>
    </w:p>
    <w:p w:rsidR="00EA3554" w:rsidRDefault="00177724" w:rsidP="00BE7BC8">
      <w:r>
        <w:t xml:space="preserve">This section describes typical parameters used in the different scenarios. In many cases the values of these parameters vary within a range, but to facilitate the planned sharing studies wherever possible a single value has been chosen that represents a typical value. </w:t>
      </w:r>
    </w:p>
    <w:p w:rsidR="00EA3554" w:rsidRDefault="00177724" w:rsidP="00BE7BC8">
      <w:r>
        <w:t>These typical parameter values are appropriate for studies concerning the impact of a single IMT cell operating in the presence of another system/service. For some parameters such as transmitted power levels and cell sizes, however, studies to assess the impact of an entire IMT network will need to take account of the dynamic nature of an IMT network, within which inter-cell interference must be minimised and parameters such as power levels and cell radii adjusted in order to optimize the operational performance and capacity of the network.</w:t>
      </w:r>
    </w:p>
    <w:p w:rsidR="00EA3554" w:rsidRDefault="00177724" w:rsidP="00BE7BC8">
      <w:pPr>
        <w:pStyle w:val="Headingb"/>
      </w:pPr>
      <w:r>
        <w:t>Base station characteristics and cell structure</w:t>
      </w:r>
    </w:p>
    <w:p w:rsidR="00EA3554" w:rsidRDefault="00177724" w:rsidP="00BE7BC8">
      <w:r>
        <w:t>Deployment-dependent parameters describing the cell structure and other base station related parameters needed to conduct sharing studies are summarized below.</w:t>
      </w:r>
    </w:p>
    <w:p w:rsidR="00EA3554" w:rsidRDefault="00177724" w:rsidP="00BE7BC8">
      <w:pPr>
        <w:pStyle w:val="Headingb"/>
      </w:pPr>
      <w:r>
        <w:t>Cell size and base station density</w:t>
      </w:r>
    </w:p>
    <w:p w:rsidR="00EA3554" w:rsidRDefault="00177724" w:rsidP="00BE7BC8">
      <w:r>
        <w:t>Cell sizes in IMT networks can vary considerably depending on the environment the network is deployed in. Table B indicates typical cell sizes for 4 different types of networks. The base station density could be calculated from the cell sizes indicated. However in a typical IMT network all frequency bands are not deployed everywhere and hence the base station density for a specific frequency band may be lower than the result obtained from such a calculation. Indoor urban cell sizes will also vary depending on frequency band and the configuration of the building interior.</w:t>
      </w:r>
    </w:p>
    <w:p w:rsidR="00EA3554" w:rsidRDefault="00177724" w:rsidP="00BE7BC8">
      <w:pPr>
        <w:pStyle w:val="Headingb"/>
      </w:pPr>
      <w:r>
        <w:t>Antenna height</w:t>
      </w:r>
    </w:p>
    <w:p w:rsidR="00EA3554" w:rsidRDefault="00177724" w:rsidP="00BE7BC8">
      <w:r>
        <w:t>Typical antenna heights when deploying IMT networks are indicated in Table B for each type of network. Antennas deployed in indoor urban environments may vary in height depending on the building configuration.</w:t>
      </w:r>
    </w:p>
    <w:p w:rsidR="00EA3554" w:rsidRDefault="00177724" w:rsidP="00BE7BC8">
      <w:pPr>
        <w:pStyle w:val="Headingb"/>
      </w:pPr>
      <w:proofErr w:type="spellStart"/>
      <w:r>
        <w:t>Sectorization</w:t>
      </w:r>
      <w:proofErr w:type="spellEnd"/>
    </w:p>
    <w:p w:rsidR="00EA3554" w:rsidRDefault="00177724" w:rsidP="00BE7BC8">
      <w:r>
        <w:t xml:space="preserve">The numbers of sectors used per site is an important factor to take into account when undertaking sharing studies for compatibility between IMT and other services. The most common way to deploy an IMT network is to use 3 sectors with an azimuthal spacing of 120 degrees at each site. However, exceptions may occur and single sector sites may be used, especially for the urban micro and urban indoor scenarios.  </w:t>
      </w:r>
    </w:p>
    <w:p w:rsidR="00EA3554" w:rsidRDefault="00177724" w:rsidP="00BE7BC8">
      <w:pPr>
        <w:pStyle w:val="Headingb"/>
      </w:pPr>
      <w:proofErr w:type="spellStart"/>
      <w:r>
        <w:t>Downtilt</w:t>
      </w:r>
      <w:proofErr w:type="spellEnd"/>
    </w:p>
    <w:p w:rsidR="00EA3554" w:rsidRDefault="00177724" w:rsidP="00BE7BC8">
      <w:r>
        <w:t xml:space="preserve">Typical </w:t>
      </w:r>
      <w:proofErr w:type="spellStart"/>
      <w:r>
        <w:t>downtilt</w:t>
      </w:r>
      <w:proofErr w:type="spellEnd"/>
      <w:r>
        <w:t xml:space="preserve"> used in </w:t>
      </w:r>
      <w:proofErr w:type="spellStart"/>
      <w:r>
        <w:t>IMT</w:t>
      </w:r>
      <w:proofErr w:type="spellEnd"/>
      <w:r>
        <w:t xml:space="preserve"> networks are indicated in Table B.</w:t>
      </w:r>
    </w:p>
    <w:p w:rsidR="00EA3554" w:rsidRDefault="00177724" w:rsidP="00BE7BC8">
      <w:pPr>
        <w:pStyle w:val="Headingb"/>
      </w:pPr>
      <w:r>
        <w:t>Frequency reuse</w:t>
      </w:r>
    </w:p>
    <w:p w:rsidR="00EA3554" w:rsidRDefault="00177724" w:rsidP="00BE7BC8">
      <w:r>
        <w:t>Typical frequency reuse figures that might be used for IMT networks are 1 or 3 but a frequency re-use of 1 is the most common one and it is proposed to be used for all scenarios. Fractional frequency reuse (FFR) may also be used in some IMT network deployments but this option is not included in the table.</w:t>
      </w:r>
    </w:p>
    <w:p w:rsidR="00EA3554" w:rsidRDefault="00177724" w:rsidP="00BE7BC8">
      <w:pPr>
        <w:pStyle w:val="Headingb"/>
      </w:pPr>
      <w:r>
        <w:t>Antenna pattern</w:t>
      </w:r>
    </w:p>
    <w:p w:rsidR="00EA3554" w:rsidRDefault="00177724" w:rsidP="00BE7BC8">
      <w:r>
        <w:t xml:space="preserve">Recommendation </w:t>
      </w:r>
      <w:r w:rsidR="00BE7BC8">
        <w:t xml:space="preserve">ITU-R </w:t>
      </w:r>
      <w:hyperlink r:id="rId12" w:history="1">
        <w:r w:rsidRPr="00BE7BC8">
          <w:rPr>
            <w:rStyle w:val="Hyperlink"/>
          </w:rPr>
          <w:t>F.1336</w:t>
        </w:r>
      </w:hyperlink>
      <w:r>
        <w:t xml:space="preserve"> has been used in the past when conducting sharing studies. It should be noted that the Recommendation states that “it is essential that every effort be made to utilize the actual antenna pattern in coordination studies and interference assessment” (Note 1 to </w:t>
      </w:r>
      <w:r>
        <w:rPr>
          <w:i/>
          <w:iCs/>
        </w:rPr>
        <w:t>recommends</w:t>
      </w:r>
      <w:r>
        <w:t xml:space="preserve"> 1). It should also be noted that there is an </w:t>
      </w:r>
      <w:proofErr w:type="spellStart"/>
      <w:r>
        <w:t>ongoing</w:t>
      </w:r>
      <w:proofErr w:type="spellEnd"/>
      <w:r>
        <w:t xml:space="preserve"> discussion (e.g. in WP 5C) about the accuracy of this Recommendation when modelling IMT base station antenna patterns (esp. for the frequency range below 1 GHz which is not covered by the current Recommendation) and the resulting impact on sharing studies needs to be considered.</w:t>
      </w:r>
    </w:p>
    <w:p w:rsidR="00EA3554" w:rsidRDefault="00177724" w:rsidP="00BE7BC8">
      <w:pPr>
        <w:pStyle w:val="Headingb"/>
      </w:pPr>
      <w:r>
        <w:t>Indoor base station deployment</w:t>
      </w:r>
    </w:p>
    <w:p w:rsidR="00EA3554" w:rsidRDefault="00177724" w:rsidP="00BE7BC8">
      <w:r>
        <w:t xml:space="preserve">Many IMT systems are used indoors. Table B indicates the typical percentage of base stations deployed indoors for all types of networks. </w:t>
      </w:r>
    </w:p>
    <w:p w:rsidR="00EA3554" w:rsidRDefault="00177724" w:rsidP="00BE7BC8">
      <w:pPr>
        <w:pStyle w:val="Headingb"/>
      </w:pPr>
      <w:r>
        <w:t xml:space="preserve">Antennas deployed below rooftop level </w:t>
      </w:r>
    </w:p>
    <w:p w:rsidR="00EA3554" w:rsidRDefault="00177724" w:rsidP="00BE7BC8">
      <w:r>
        <w:t>When conducting sharing studies it is also important to account for how the antennas are deployed in relation to the surrounding environment, including the clutter. If the antennas are deployed below the rooftop level a different propagation model should be used compared to the scenario when the antennas are installed above the roof top level. Table B indicates the typical percentage of base station antennas installed below the rooftop level. An alternative approach could be to add clutter loss to propagation loss calculations.</w:t>
      </w:r>
    </w:p>
    <w:p w:rsidR="00EA3554" w:rsidRDefault="00177724" w:rsidP="00BE7BC8">
      <w:pPr>
        <w:pStyle w:val="Headingb"/>
      </w:pPr>
      <w:r>
        <w:t>Maximum and average base station output power</w:t>
      </w:r>
    </w:p>
    <w:p w:rsidR="00EA3554" w:rsidRDefault="00177724" w:rsidP="00BE7BC8">
      <w:r>
        <w:t xml:space="preserve">Maximum output powers from base stations are indicated in Table B for each environment. Additionally, typical average activity of a base station and corresponding average output powers are indicated in the table. For further details see Report ITU-R </w:t>
      </w:r>
      <w:hyperlink r:id="rId13" w:history="1">
        <w:r w:rsidRPr="00BE7BC8">
          <w:rPr>
            <w:rStyle w:val="Hyperlink"/>
          </w:rPr>
          <w:t>M.2241</w:t>
        </w:r>
      </w:hyperlink>
      <w:r>
        <w:t xml:space="preserve"> section 2.2.3.2.</w:t>
      </w:r>
    </w:p>
    <w:p w:rsidR="00EA3554" w:rsidRDefault="00177724" w:rsidP="00BE7BC8">
      <w:pPr>
        <w:pStyle w:val="Headingb"/>
      </w:pPr>
      <w:r>
        <w:t>User terminal parameters</w:t>
      </w:r>
    </w:p>
    <w:p w:rsidR="00EA3554" w:rsidRDefault="00177724" w:rsidP="00BE7BC8">
      <w:pPr>
        <w:pStyle w:val="Headingb"/>
      </w:pPr>
      <w:r>
        <w:t>Indoor user terminal usage and indoor penetration loss</w:t>
      </w:r>
    </w:p>
    <w:p w:rsidR="00EA3554" w:rsidRDefault="00177724" w:rsidP="00BE7BC8">
      <w:r>
        <w:t>A large proportion of the user terminals are used indoors. Table B indicates suitable figures for the percentage of terminals that are expected to be used indoors. Additionally, suitable figures for the indoor penetration attenuation to be used in sharing studies are indicated. This penetration loss may be frequency dependent.</w:t>
      </w:r>
    </w:p>
    <w:p w:rsidR="00EA3554" w:rsidRDefault="00177724" w:rsidP="00BE7BC8">
      <w:pPr>
        <w:pStyle w:val="Headingb"/>
      </w:pPr>
      <w:r>
        <w:t>User terminal density in active mode</w:t>
      </w:r>
    </w:p>
    <w:p w:rsidR="00EA3554" w:rsidRDefault="00177724" w:rsidP="00BE7BC8">
      <w:r>
        <w:t>In</w:t>
      </w:r>
      <w:r w:rsidR="00A01447">
        <w:t xml:space="preserve"> Report ITU-R</w:t>
      </w:r>
      <w:r>
        <w:t xml:space="preserve"> </w:t>
      </w:r>
      <w:hyperlink r:id="rId14" w:history="1">
        <w:r>
          <w:rPr>
            <w:rStyle w:val="Hyperlink"/>
          </w:rPr>
          <w:t>M.2039</w:t>
        </w:r>
      </w:hyperlink>
      <w:r>
        <w:t xml:space="preserve"> and</w:t>
      </w:r>
      <w:r w:rsidR="00F74E0A">
        <w:t xml:space="preserve"> document</w:t>
      </w:r>
      <w:r>
        <w:t xml:space="preserve"> </w:t>
      </w:r>
      <w:hyperlink r:id="rId15" w:history="1">
        <w:r>
          <w:rPr>
            <w:rStyle w:val="Hyperlink"/>
          </w:rPr>
          <w:t>JTG 5-6/1</w:t>
        </w:r>
        <w:r>
          <w:rPr>
            <w:rStyle w:val="Hyperlink"/>
          </w:rPr>
          <w:t>8</w:t>
        </w:r>
        <w:r>
          <w:rPr>
            <w:rStyle w:val="Hyperlink"/>
          </w:rPr>
          <w:t>0 Annex 2</w:t>
        </w:r>
      </w:hyperlink>
      <w:r>
        <w:t xml:space="preserve"> the density of terminals in “active mode” is indicated. By “active mode” it should be understood that these are terminals with an active communication session but are not necessarily transmitting. </w:t>
      </w:r>
    </w:p>
    <w:p w:rsidR="00EA3554" w:rsidRDefault="00177724" w:rsidP="00BE7BC8">
      <w:pPr>
        <w:pStyle w:val="Headingb"/>
      </w:pPr>
      <w:r>
        <w:t>Average transmit power of user terminals transmitting</w:t>
      </w:r>
    </w:p>
    <w:p w:rsidR="00EA3554" w:rsidRDefault="00177724" w:rsidP="00BE7BC8">
      <w:r>
        <w:t xml:space="preserve">The average transmit power of terminals are indicated in </w:t>
      </w:r>
      <w:r w:rsidR="00F74E0A">
        <w:t xml:space="preserve">Report ITU-R </w:t>
      </w:r>
      <w:r>
        <w:t xml:space="preserve">M.2039 and </w:t>
      </w:r>
      <w:proofErr w:type="spellStart"/>
      <w:r>
        <w:t>JTG</w:t>
      </w:r>
      <w:proofErr w:type="spellEnd"/>
      <w:r>
        <w:t xml:space="preserve"> </w:t>
      </w:r>
      <w:hyperlink r:id="rId16" w:history="1">
        <w:r w:rsidRPr="00BE7BC8">
          <w:rPr>
            <w:rStyle w:val="Hyperlink"/>
          </w:rPr>
          <w:t>5-6/180 Annex 2</w:t>
        </w:r>
      </w:hyperlink>
      <w:r>
        <w:t xml:space="preserve"> and should be understood as the average transmit power of the</w:t>
      </w:r>
      <w:r w:rsidR="00F74E0A">
        <w:t xml:space="preserve"> terminals in active mode (i.e. </w:t>
      </w:r>
      <w:r>
        <w:t>when they have an active communication session). See also section 2.2.3 of Report ITU</w:t>
      </w:r>
      <w:r w:rsidR="00BE7BC8">
        <w:noBreakHyphen/>
      </w:r>
      <w:r>
        <w:t>R</w:t>
      </w:r>
      <w:r w:rsidR="00BE7BC8">
        <w:t> </w:t>
      </w:r>
      <w:r>
        <w:t>M.2241.</w:t>
      </w:r>
    </w:p>
    <w:p w:rsidR="00EA3554" w:rsidRDefault="00177724" w:rsidP="00BE7BC8">
      <w:pPr>
        <w:pStyle w:val="Headingb"/>
      </w:pPr>
      <w:r>
        <w:t>Antenna gain</w:t>
      </w:r>
    </w:p>
    <w:p w:rsidR="00EA3554" w:rsidRDefault="00177724" w:rsidP="00BE7BC8">
      <w:r>
        <w:t>Typical values for the antenna gain of a user terminal are indicated in Table B. The antenna gain is dependent on operating frequency and type of terminal.</w:t>
      </w:r>
    </w:p>
    <w:p w:rsidR="00EA3554" w:rsidRDefault="00177724" w:rsidP="00BE7BC8">
      <w:pPr>
        <w:pStyle w:val="Headingb"/>
      </w:pPr>
      <w:r>
        <w:t>Body loss</w:t>
      </w:r>
    </w:p>
    <w:p w:rsidR="00EA3554" w:rsidRDefault="00177724" w:rsidP="00BE7BC8">
      <w:r>
        <w:t>Proposed values for body loss are indicated in Table B. Body loss may in reality be frequency dependent.</w:t>
      </w:r>
    </w:p>
    <w:p w:rsidR="00EA3554" w:rsidRDefault="00177724" w:rsidP="00245819">
      <w:pPr>
        <w:pStyle w:val="TableNo"/>
        <w:spacing w:before="120" w:after="0"/>
      </w:pPr>
      <w:r>
        <w:t>Table B</w:t>
      </w:r>
    </w:p>
    <w:p w:rsidR="00EA3554" w:rsidRDefault="00177724" w:rsidP="00245819">
      <w:pPr>
        <w:pStyle w:val="Tabletitle"/>
        <w:spacing w:after="0"/>
      </w:pPr>
      <w:r>
        <w:t>Deployment-related parameters</w:t>
      </w:r>
    </w:p>
    <w:tbl>
      <w:tblPr>
        <w:tblStyle w:val="TableGrid"/>
        <w:tblW w:w="8009" w:type="dxa"/>
        <w:jc w:val="center"/>
        <w:tblInd w:w="-1340" w:type="dxa"/>
        <w:tblLook w:val="04A0" w:firstRow="1" w:lastRow="0" w:firstColumn="1" w:lastColumn="0" w:noHBand="0" w:noVBand="1"/>
      </w:tblPr>
      <w:tblGrid>
        <w:gridCol w:w="3969"/>
        <w:gridCol w:w="4040"/>
      </w:tblGrid>
      <w:tr w:rsidR="00EA3554">
        <w:trPr>
          <w:trHeight w:val="421"/>
          <w:jc w:val="center"/>
        </w:trPr>
        <w:tc>
          <w:tcPr>
            <w:tcW w:w="80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3554" w:rsidRPr="00BE7BC8" w:rsidRDefault="00177724" w:rsidP="00BE7BC8">
            <w:pPr>
              <w:pStyle w:val="Tablehead"/>
            </w:pPr>
            <w:r w:rsidRPr="00BE7BC8">
              <w:t>Base station characteristics / Cell structure</w:t>
            </w:r>
          </w:p>
        </w:tc>
      </w:tr>
      <w:tr w:rsidR="00EA3554">
        <w:trPr>
          <w:trHeight w:val="20"/>
          <w:jc w:val="center"/>
        </w:trPr>
        <w:tc>
          <w:tcPr>
            <w:tcW w:w="396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A3554" w:rsidRDefault="00177724" w:rsidP="00245819">
            <w:pPr>
              <w:pStyle w:val="Tabletext"/>
              <w:spacing w:before="20" w:after="20"/>
              <w:rPr>
                <w:szCs w:val="20"/>
              </w:rPr>
            </w:pPr>
            <w:r>
              <w:t>Cell radius</w:t>
            </w:r>
          </w:p>
        </w:tc>
        <w:tc>
          <w:tcPr>
            <w:tcW w:w="4040" w:type="dxa"/>
            <w:tcBorders>
              <w:top w:val="single" w:sz="4" w:space="0" w:color="auto"/>
              <w:left w:val="single" w:sz="4" w:space="0" w:color="auto"/>
              <w:bottom w:val="single" w:sz="4" w:space="0" w:color="auto"/>
              <w:right w:val="single" w:sz="4" w:space="0" w:color="auto"/>
            </w:tcBorders>
          </w:tcPr>
          <w:p w:rsidR="00EA3554" w:rsidRDefault="00177724" w:rsidP="00245819">
            <w:pPr>
              <w:pStyle w:val="Tabletext"/>
              <w:spacing w:before="20" w:after="20"/>
              <w:jc w:val="center"/>
            </w:pPr>
            <w:r>
              <w:t>&gt; 5 km</w:t>
            </w:r>
            <w:r>
              <w:rPr>
                <w:szCs w:val="20"/>
              </w:rPr>
              <w:t xml:space="preserve"> </w:t>
            </w:r>
            <w:r>
              <w:t>(typical 8 km</w:t>
            </w:r>
            <w:r>
              <w:rPr>
                <w:rStyle w:val="FootnoteReference"/>
                <w:szCs w:val="18"/>
              </w:rPr>
              <w:footnoteReference w:id="1"/>
            </w:r>
            <w:r>
              <w:t>)</w:t>
            </w:r>
            <w:r>
              <w:br/>
              <w:t>for macro rural scenario</w:t>
            </w:r>
          </w:p>
          <w:p w:rsidR="00EA3554" w:rsidRDefault="00177724" w:rsidP="00245819">
            <w:pPr>
              <w:pStyle w:val="Tabletext"/>
              <w:spacing w:before="20" w:after="20"/>
              <w:jc w:val="center"/>
              <w:rPr>
                <w:rFonts w:eastAsia="Times New Roman" w:cs="Times New Roman"/>
                <w:szCs w:val="20"/>
              </w:rPr>
            </w:pPr>
            <w:r>
              <w:t>0.5-5 km (typical 2 km</w:t>
            </w:r>
            <w:r>
              <w:rPr>
                <w:rStyle w:val="FootnoteReference"/>
                <w:szCs w:val="18"/>
              </w:rPr>
              <w:t>1</w:t>
            </w:r>
            <w:r>
              <w:t>)</w:t>
            </w:r>
            <w:r>
              <w:br/>
              <w:t>for macro urban/suburban scenario</w:t>
            </w:r>
          </w:p>
        </w:tc>
      </w:tr>
      <w:tr w:rsidR="00EA3554">
        <w:trPr>
          <w:trHeight w:val="20"/>
          <w:jc w:val="center"/>
        </w:trPr>
        <w:tc>
          <w:tcPr>
            <w:tcW w:w="396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A3554" w:rsidRDefault="00177724" w:rsidP="00245819">
            <w:pPr>
              <w:pStyle w:val="Tabletext"/>
              <w:spacing w:before="20" w:after="20"/>
              <w:rPr>
                <w:szCs w:val="20"/>
              </w:rPr>
            </w:pPr>
            <w:r>
              <w:t>Antenna height</w:t>
            </w:r>
          </w:p>
        </w:tc>
        <w:tc>
          <w:tcPr>
            <w:tcW w:w="4040" w:type="dxa"/>
            <w:tcBorders>
              <w:top w:val="single" w:sz="4" w:space="0" w:color="auto"/>
              <w:left w:val="single" w:sz="4" w:space="0" w:color="auto"/>
              <w:bottom w:val="single" w:sz="4" w:space="0" w:color="auto"/>
              <w:right w:val="single" w:sz="4" w:space="0" w:color="auto"/>
            </w:tcBorders>
          </w:tcPr>
          <w:p w:rsidR="00EA3554" w:rsidRDefault="00177724" w:rsidP="00245819">
            <w:pPr>
              <w:pStyle w:val="Tabletext"/>
              <w:spacing w:before="20" w:after="20"/>
              <w:jc w:val="center"/>
            </w:pPr>
            <w:r>
              <w:t>30 m</w:t>
            </w:r>
          </w:p>
        </w:tc>
      </w:tr>
      <w:tr w:rsidR="00EA3554">
        <w:trPr>
          <w:trHeight w:val="20"/>
          <w:jc w:val="center"/>
        </w:trPr>
        <w:tc>
          <w:tcPr>
            <w:tcW w:w="396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A3554" w:rsidRDefault="00177724" w:rsidP="00245819">
            <w:pPr>
              <w:pStyle w:val="Tabletext"/>
              <w:spacing w:before="20" w:after="20"/>
              <w:rPr>
                <w:szCs w:val="20"/>
              </w:rPr>
            </w:pPr>
            <w:proofErr w:type="spellStart"/>
            <w:r>
              <w:t>Sectorization</w:t>
            </w:r>
            <w:proofErr w:type="spellEnd"/>
          </w:p>
        </w:tc>
        <w:tc>
          <w:tcPr>
            <w:tcW w:w="4040" w:type="dxa"/>
            <w:tcBorders>
              <w:top w:val="single" w:sz="4" w:space="0" w:color="auto"/>
              <w:left w:val="single" w:sz="4" w:space="0" w:color="auto"/>
              <w:bottom w:val="single" w:sz="4" w:space="0" w:color="auto"/>
              <w:right w:val="single" w:sz="4" w:space="0" w:color="auto"/>
            </w:tcBorders>
          </w:tcPr>
          <w:p w:rsidR="00EA3554" w:rsidRDefault="00177724" w:rsidP="00245819">
            <w:pPr>
              <w:pStyle w:val="Tabletext"/>
              <w:spacing w:before="20" w:after="20"/>
              <w:jc w:val="center"/>
            </w:pPr>
            <w:r>
              <w:t>3 sectors</w:t>
            </w:r>
          </w:p>
        </w:tc>
      </w:tr>
      <w:tr w:rsidR="00EA3554">
        <w:trPr>
          <w:trHeight w:val="20"/>
          <w:jc w:val="center"/>
        </w:trPr>
        <w:tc>
          <w:tcPr>
            <w:tcW w:w="396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A3554" w:rsidRDefault="00177724" w:rsidP="00245819">
            <w:pPr>
              <w:pStyle w:val="Tabletext"/>
              <w:spacing w:before="20" w:after="20"/>
              <w:rPr>
                <w:szCs w:val="20"/>
              </w:rPr>
            </w:pPr>
            <w:proofErr w:type="spellStart"/>
            <w:r>
              <w:t>Downtilt</w:t>
            </w:r>
            <w:proofErr w:type="spellEnd"/>
          </w:p>
        </w:tc>
        <w:tc>
          <w:tcPr>
            <w:tcW w:w="4040" w:type="dxa"/>
            <w:tcBorders>
              <w:top w:val="single" w:sz="4" w:space="0" w:color="auto"/>
              <w:left w:val="single" w:sz="4" w:space="0" w:color="auto"/>
              <w:bottom w:val="single" w:sz="4" w:space="0" w:color="auto"/>
              <w:right w:val="single" w:sz="4" w:space="0" w:color="auto"/>
            </w:tcBorders>
          </w:tcPr>
          <w:p w:rsidR="00EA3554" w:rsidRDefault="00177724" w:rsidP="00245819">
            <w:pPr>
              <w:pStyle w:val="Tabletext"/>
              <w:spacing w:before="20" w:after="20"/>
              <w:jc w:val="center"/>
            </w:pPr>
            <w:r>
              <w:t>3 degrees</w:t>
            </w:r>
          </w:p>
        </w:tc>
      </w:tr>
      <w:tr w:rsidR="00EA3554">
        <w:trPr>
          <w:trHeight w:val="20"/>
          <w:jc w:val="center"/>
        </w:trPr>
        <w:tc>
          <w:tcPr>
            <w:tcW w:w="396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A3554" w:rsidRDefault="00177724" w:rsidP="00245819">
            <w:pPr>
              <w:pStyle w:val="Tabletext"/>
              <w:spacing w:before="20" w:after="20"/>
              <w:rPr>
                <w:szCs w:val="20"/>
              </w:rPr>
            </w:pPr>
            <w:r>
              <w:t>Frequency reuse</w:t>
            </w:r>
          </w:p>
        </w:tc>
        <w:tc>
          <w:tcPr>
            <w:tcW w:w="4040" w:type="dxa"/>
            <w:tcBorders>
              <w:top w:val="single" w:sz="4" w:space="0" w:color="auto"/>
              <w:left w:val="single" w:sz="4" w:space="0" w:color="auto"/>
              <w:bottom w:val="single" w:sz="4" w:space="0" w:color="auto"/>
              <w:right w:val="single" w:sz="4" w:space="0" w:color="auto"/>
            </w:tcBorders>
          </w:tcPr>
          <w:p w:rsidR="00EA3554" w:rsidRDefault="00177724" w:rsidP="00245819">
            <w:pPr>
              <w:pStyle w:val="Tabletext"/>
              <w:keepNext/>
              <w:keepLines/>
              <w:spacing w:before="20" w:after="20"/>
              <w:jc w:val="center"/>
            </w:pPr>
            <w:r>
              <w:t>1</w:t>
            </w:r>
          </w:p>
        </w:tc>
      </w:tr>
      <w:tr w:rsidR="00EA3554">
        <w:trPr>
          <w:trHeight w:val="20"/>
          <w:jc w:val="center"/>
        </w:trPr>
        <w:tc>
          <w:tcPr>
            <w:tcW w:w="396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A3554" w:rsidRDefault="00177724" w:rsidP="00245819">
            <w:pPr>
              <w:pStyle w:val="Tabletext"/>
              <w:spacing w:before="20" w:after="20"/>
              <w:rPr>
                <w:szCs w:val="20"/>
              </w:rPr>
            </w:pPr>
            <w:r>
              <w:t>Antenna pattern</w:t>
            </w:r>
          </w:p>
        </w:tc>
        <w:tc>
          <w:tcPr>
            <w:tcW w:w="4040" w:type="dxa"/>
            <w:tcBorders>
              <w:top w:val="single" w:sz="4" w:space="0" w:color="auto"/>
              <w:left w:val="single" w:sz="4" w:space="0" w:color="auto"/>
              <w:bottom w:val="single" w:sz="4" w:space="0" w:color="auto"/>
              <w:right w:val="single" w:sz="4" w:space="0" w:color="auto"/>
            </w:tcBorders>
          </w:tcPr>
          <w:p w:rsidR="00EA3554" w:rsidRDefault="00177724" w:rsidP="00245819">
            <w:pPr>
              <w:pStyle w:val="Tabletext"/>
              <w:keepNext/>
              <w:keepLines/>
              <w:spacing w:before="20" w:after="20"/>
              <w:jc w:val="center"/>
            </w:pPr>
            <w:r>
              <w:t>Recommendation ITU-R F.1336 Annex 8</w:t>
            </w:r>
          </w:p>
          <w:p w:rsidR="00EA3554" w:rsidRDefault="00177724" w:rsidP="00245819">
            <w:pPr>
              <w:pStyle w:val="Tabletext"/>
              <w:keepNext/>
              <w:keepLines/>
              <w:spacing w:before="20" w:after="20"/>
              <w:jc w:val="center"/>
            </w:pPr>
            <w:r>
              <w:t>k = 0.7 for both peak and average side lobes</w:t>
            </w:r>
          </w:p>
          <w:p w:rsidR="00EA3554" w:rsidRDefault="00177724" w:rsidP="00245819">
            <w:pPr>
              <w:pStyle w:val="Tabletext"/>
              <w:keepNext/>
              <w:keepLines/>
              <w:spacing w:before="20" w:after="20"/>
              <w:jc w:val="center"/>
              <w:rPr>
                <w:rFonts w:eastAsia="Times New Roman" w:cs="Times New Roman"/>
                <w:szCs w:val="20"/>
              </w:rPr>
            </w:pPr>
            <w:r>
              <w:t xml:space="preserve">Horizontal 3 dB </w:t>
            </w:r>
            <w:proofErr w:type="spellStart"/>
            <w:r>
              <w:t>beamwidth</w:t>
            </w:r>
            <w:proofErr w:type="spellEnd"/>
            <w:r>
              <w:t xml:space="preserve"> 65 degrees</w:t>
            </w:r>
          </w:p>
          <w:p w:rsidR="00EA3554" w:rsidRDefault="00177724" w:rsidP="00245819">
            <w:pPr>
              <w:pStyle w:val="Tabletext"/>
              <w:keepNext/>
              <w:keepLines/>
              <w:spacing w:before="20" w:after="20"/>
              <w:jc w:val="center"/>
              <w:rPr>
                <w:rFonts w:eastAsia="Times New Roman" w:cs="Times New Roman"/>
                <w:szCs w:val="20"/>
                <w:highlight w:val="yellow"/>
              </w:rPr>
            </w:pPr>
            <w:r>
              <w:t xml:space="preserve">Vertical 3 dB </w:t>
            </w:r>
            <w:proofErr w:type="spellStart"/>
            <w:r>
              <w:t>beamwidth</w:t>
            </w:r>
            <w:proofErr w:type="spellEnd"/>
            <w:r>
              <w:rPr>
                <w:rStyle w:val="FootnoteReference"/>
              </w:rPr>
              <w:footnoteReference w:id="2"/>
            </w:r>
          </w:p>
        </w:tc>
      </w:tr>
      <w:tr w:rsidR="00EA3554">
        <w:trPr>
          <w:trHeight w:val="20"/>
          <w:jc w:val="center"/>
        </w:trPr>
        <w:tc>
          <w:tcPr>
            <w:tcW w:w="396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A3554" w:rsidRDefault="00177724" w:rsidP="00245819">
            <w:pPr>
              <w:pStyle w:val="Tabletext"/>
              <w:spacing w:before="20" w:after="20"/>
              <w:rPr>
                <w:szCs w:val="20"/>
              </w:rPr>
            </w:pPr>
            <w:r>
              <w:t>Antenna polarization</w:t>
            </w:r>
          </w:p>
        </w:tc>
        <w:tc>
          <w:tcPr>
            <w:tcW w:w="4040" w:type="dxa"/>
            <w:tcBorders>
              <w:top w:val="single" w:sz="4" w:space="0" w:color="auto"/>
              <w:left w:val="single" w:sz="4" w:space="0" w:color="auto"/>
              <w:bottom w:val="single" w:sz="4" w:space="0" w:color="auto"/>
              <w:right w:val="single" w:sz="4" w:space="0" w:color="auto"/>
            </w:tcBorders>
          </w:tcPr>
          <w:p w:rsidR="00EA3554" w:rsidRDefault="00177724" w:rsidP="00245819">
            <w:pPr>
              <w:pStyle w:val="Tabletext"/>
              <w:spacing w:before="20" w:after="20"/>
              <w:jc w:val="center"/>
            </w:pPr>
            <w:r>
              <w:t>linear / +- 45 degrees</w:t>
            </w:r>
          </w:p>
        </w:tc>
      </w:tr>
      <w:tr w:rsidR="00EA3554">
        <w:trPr>
          <w:trHeight w:val="20"/>
          <w:jc w:val="center"/>
        </w:trPr>
        <w:tc>
          <w:tcPr>
            <w:tcW w:w="396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A3554" w:rsidRDefault="00177724" w:rsidP="00245819">
            <w:pPr>
              <w:pStyle w:val="Tabletext"/>
              <w:spacing w:before="20" w:after="20"/>
              <w:rPr>
                <w:szCs w:val="20"/>
              </w:rPr>
            </w:pPr>
            <w:r>
              <w:t>Feeder loss</w:t>
            </w:r>
          </w:p>
        </w:tc>
        <w:tc>
          <w:tcPr>
            <w:tcW w:w="4040" w:type="dxa"/>
            <w:tcBorders>
              <w:top w:val="single" w:sz="4" w:space="0" w:color="auto"/>
              <w:left w:val="single" w:sz="4" w:space="0" w:color="auto"/>
              <w:bottom w:val="single" w:sz="4" w:space="0" w:color="auto"/>
              <w:right w:val="single" w:sz="4" w:space="0" w:color="auto"/>
            </w:tcBorders>
          </w:tcPr>
          <w:p w:rsidR="00EA3554" w:rsidRDefault="00177724" w:rsidP="00245819">
            <w:pPr>
              <w:pStyle w:val="Tabletext"/>
              <w:spacing w:before="20" w:after="20"/>
              <w:jc w:val="center"/>
            </w:pPr>
            <w:r>
              <w:t>3 dB</w:t>
            </w:r>
          </w:p>
        </w:tc>
      </w:tr>
      <w:tr w:rsidR="00EA3554">
        <w:trPr>
          <w:trHeight w:val="20"/>
          <w:jc w:val="center"/>
        </w:trPr>
        <w:tc>
          <w:tcPr>
            <w:tcW w:w="396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A3554" w:rsidRDefault="00177724" w:rsidP="00245819">
            <w:pPr>
              <w:pStyle w:val="Tabletext"/>
              <w:spacing w:before="20" w:after="20"/>
              <w:rPr>
                <w:rFonts w:eastAsia="Times New Roman" w:cs="Times New Roman"/>
                <w:szCs w:val="20"/>
              </w:rPr>
            </w:pPr>
            <w:r>
              <w:t>Maximum base station output power</w:t>
            </w:r>
          </w:p>
        </w:tc>
        <w:tc>
          <w:tcPr>
            <w:tcW w:w="4040" w:type="dxa"/>
            <w:tcBorders>
              <w:top w:val="single" w:sz="4" w:space="0" w:color="auto"/>
              <w:left w:val="single" w:sz="4" w:space="0" w:color="auto"/>
              <w:bottom w:val="single" w:sz="4" w:space="0" w:color="auto"/>
              <w:right w:val="single" w:sz="4" w:space="0" w:color="auto"/>
            </w:tcBorders>
          </w:tcPr>
          <w:p w:rsidR="00EA3554" w:rsidRDefault="00177724" w:rsidP="00245819">
            <w:pPr>
              <w:pStyle w:val="Tabletext"/>
              <w:keepNext/>
              <w:keepLines/>
              <w:spacing w:before="20" w:after="20"/>
              <w:jc w:val="center"/>
            </w:pPr>
            <w:r>
              <w:t xml:space="preserve">46 </w:t>
            </w:r>
            <w:proofErr w:type="spellStart"/>
            <w:r>
              <w:t>dBm</w:t>
            </w:r>
            <w:proofErr w:type="spellEnd"/>
            <w:r>
              <w:t xml:space="preserve"> in 10 MHz</w:t>
            </w:r>
          </w:p>
        </w:tc>
      </w:tr>
      <w:tr w:rsidR="00EA3554">
        <w:trPr>
          <w:trHeight w:val="20"/>
          <w:jc w:val="center"/>
        </w:trPr>
        <w:tc>
          <w:tcPr>
            <w:tcW w:w="396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A3554" w:rsidRDefault="00177724" w:rsidP="00245819">
            <w:pPr>
              <w:pStyle w:val="Tabletext"/>
              <w:spacing w:before="20" w:after="20"/>
              <w:rPr>
                <w:szCs w:val="20"/>
              </w:rPr>
            </w:pPr>
            <w:r>
              <w:t>Typical base station antenna gain</w:t>
            </w:r>
          </w:p>
        </w:tc>
        <w:tc>
          <w:tcPr>
            <w:tcW w:w="4040" w:type="dxa"/>
            <w:tcBorders>
              <w:top w:val="single" w:sz="4" w:space="0" w:color="auto"/>
              <w:left w:val="single" w:sz="4" w:space="0" w:color="auto"/>
              <w:bottom w:val="single" w:sz="4" w:space="0" w:color="auto"/>
              <w:right w:val="single" w:sz="4" w:space="0" w:color="auto"/>
            </w:tcBorders>
          </w:tcPr>
          <w:p w:rsidR="00EA3554" w:rsidRDefault="00177724" w:rsidP="00245819">
            <w:pPr>
              <w:pStyle w:val="Tabletext"/>
              <w:spacing w:before="20" w:after="20"/>
              <w:jc w:val="center"/>
            </w:pPr>
            <w:r>
              <w:t xml:space="preserve">15 </w:t>
            </w:r>
            <w:proofErr w:type="spellStart"/>
            <w:r>
              <w:t>dBi</w:t>
            </w:r>
            <w:proofErr w:type="spellEnd"/>
          </w:p>
        </w:tc>
      </w:tr>
      <w:tr w:rsidR="00EA3554">
        <w:trPr>
          <w:trHeight w:val="20"/>
          <w:jc w:val="center"/>
        </w:trPr>
        <w:tc>
          <w:tcPr>
            <w:tcW w:w="396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A3554" w:rsidRDefault="00177724" w:rsidP="00245819">
            <w:pPr>
              <w:pStyle w:val="Tabletext"/>
              <w:spacing w:before="20" w:after="20"/>
              <w:rPr>
                <w:szCs w:val="20"/>
              </w:rPr>
            </w:pPr>
            <w:r>
              <w:t>Typical base station output power (EIRP)</w:t>
            </w:r>
          </w:p>
        </w:tc>
        <w:tc>
          <w:tcPr>
            <w:tcW w:w="4040" w:type="dxa"/>
            <w:tcBorders>
              <w:top w:val="single" w:sz="4" w:space="0" w:color="auto"/>
              <w:left w:val="single" w:sz="4" w:space="0" w:color="auto"/>
              <w:bottom w:val="single" w:sz="4" w:space="0" w:color="auto"/>
              <w:right w:val="single" w:sz="4" w:space="0" w:color="auto"/>
            </w:tcBorders>
          </w:tcPr>
          <w:p w:rsidR="00EA3554" w:rsidRDefault="00177724" w:rsidP="00245819">
            <w:pPr>
              <w:pStyle w:val="Tabletext"/>
              <w:spacing w:before="20" w:after="20"/>
              <w:jc w:val="center"/>
            </w:pPr>
            <w:r>
              <w:t xml:space="preserve">58 </w:t>
            </w:r>
            <w:proofErr w:type="spellStart"/>
            <w:r>
              <w:t>dBm</w:t>
            </w:r>
            <w:proofErr w:type="spellEnd"/>
            <w:r>
              <w:t xml:space="preserve"> in 10 MHz</w:t>
            </w:r>
          </w:p>
        </w:tc>
      </w:tr>
      <w:tr w:rsidR="00EA3554">
        <w:trPr>
          <w:trHeight w:val="20"/>
          <w:jc w:val="center"/>
        </w:trPr>
        <w:tc>
          <w:tcPr>
            <w:tcW w:w="396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A3554" w:rsidRDefault="00177724" w:rsidP="00245819">
            <w:pPr>
              <w:pStyle w:val="Tabletext"/>
              <w:spacing w:before="20" w:after="20"/>
              <w:rPr>
                <w:szCs w:val="20"/>
                <w:highlight w:val="yellow"/>
              </w:rPr>
            </w:pPr>
            <w:r>
              <w:t>Average base station activity</w:t>
            </w:r>
          </w:p>
        </w:tc>
        <w:tc>
          <w:tcPr>
            <w:tcW w:w="4040" w:type="dxa"/>
            <w:tcBorders>
              <w:top w:val="single" w:sz="4" w:space="0" w:color="auto"/>
              <w:left w:val="single" w:sz="4" w:space="0" w:color="auto"/>
              <w:bottom w:val="single" w:sz="4" w:space="0" w:color="auto"/>
              <w:right w:val="single" w:sz="4" w:space="0" w:color="auto"/>
            </w:tcBorders>
          </w:tcPr>
          <w:p w:rsidR="00EA3554" w:rsidRDefault="00177724" w:rsidP="00245819">
            <w:pPr>
              <w:pStyle w:val="Tabletext"/>
              <w:spacing w:before="20" w:after="20"/>
              <w:jc w:val="center"/>
            </w:pPr>
            <w:r>
              <w:t>50 %</w:t>
            </w:r>
          </w:p>
        </w:tc>
      </w:tr>
      <w:tr w:rsidR="00EA3554">
        <w:trPr>
          <w:trHeight w:val="20"/>
          <w:jc w:val="center"/>
        </w:trPr>
        <w:tc>
          <w:tcPr>
            <w:tcW w:w="396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A3554" w:rsidRDefault="00177724" w:rsidP="00245819">
            <w:pPr>
              <w:pStyle w:val="Tabletext"/>
              <w:spacing w:before="20" w:after="20"/>
              <w:rPr>
                <w:szCs w:val="20"/>
                <w:highlight w:val="yellow"/>
              </w:rPr>
            </w:pPr>
            <w:r>
              <w:t>Average base station power/sector (to be used in sharing studies)</w:t>
            </w:r>
          </w:p>
        </w:tc>
        <w:tc>
          <w:tcPr>
            <w:tcW w:w="4040" w:type="dxa"/>
            <w:tcBorders>
              <w:top w:val="single" w:sz="4" w:space="0" w:color="auto"/>
              <w:left w:val="single" w:sz="4" w:space="0" w:color="auto"/>
              <w:bottom w:val="single" w:sz="4" w:space="0" w:color="auto"/>
              <w:right w:val="single" w:sz="4" w:space="0" w:color="auto"/>
            </w:tcBorders>
          </w:tcPr>
          <w:p w:rsidR="00EA3554" w:rsidRDefault="00177724" w:rsidP="00245819">
            <w:pPr>
              <w:pStyle w:val="Tabletext"/>
              <w:spacing w:before="20" w:after="20"/>
              <w:jc w:val="center"/>
            </w:pPr>
            <w:r>
              <w:t xml:space="preserve">55 </w:t>
            </w:r>
            <w:proofErr w:type="spellStart"/>
            <w:r>
              <w:t>dBm</w:t>
            </w:r>
            <w:proofErr w:type="spellEnd"/>
            <w:r>
              <w:t xml:space="preserve"> in 10 MHz</w:t>
            </w:r>
          </w:p>
        </w:tc>
      </w:tr>
    </w:tbl>
    <w:p w:rsidR="00BE7BC8" w:rsidRDefault="00BE7BC8">
      <w:pPr>
        <w:spacing w:before="0"/>
      </w:pPr>
    </w:p>
    <w:p w:rsidR="00BE7BC8" w:rsidRDefault="00BE7BC8">
      <w:pPr>
        <w:tabs>
          <w:tab w:val="clear" w:pos="1134"/>
          <w:tab w:val="clear" w:pos="1871"/>
          <w:tab w:val="clear" w:pos="2268"/>
        </w:tabs>
        <w:overflowPunct/>
        <w:autoSpaceDE/>
        <w:autoSpaceDN/>
        <w:adjustRightInd/>
        <w:spacing w:before="0"/>
        <w:textAlignment w:val="auto"/>
      </w:pPr>
    </w:p>
    <w:p w:rsidR="00EA3554" w:rsidRDefault="00EA3554">
      <w:pPr>
        <w:spacing w:before="0"/>
      </w:pPr>
    </w:p>
    <w:tbl>
      <w:tblPr>
        <w:tblStyle w:val="TableGrid"/>
        <w:tblW w:w="8021" w:type="dxa"/>
        <w:jc w:val="center"/>
        <w:tblInd w:w="-2459" w:type="dxa"/>
        <w:tblLook w:val="04A0" w:firstRow="1" w:lastRow="0" w:firstColumn="1" w:lastColumn="0" w:noHBand="0" w:noVBand="1"/>
      </w:tblPr>
      <w:tblGrid>
        <w:gridCol w:w="4011"/>
        <w:gridCol w:w="4010"/>
      </w:tblGrid>
      <w:tr w:rsidR="00EA3554">
        <w:trPr>
          <w:trHeight w:val="20"/>
          <w:jc w:val="center"/>
        </w:trPr>
        <w:tc>
          <w:tcPr>
            <w:tcW w:w="80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3554" w:rsidRDefault="00177724" w:rsidP="00245819">
            <w:pPr>
              <w:pStyle w:val="Tablehead"/>
              <w:spacing w:before="20" w:after="20"/>
            </w:pPr>
            <w:r>
              <w:t>User terminal characteristics</w:t>
            </w:r>
          </w:p>
        </w:tc>
      </w:tr>
      <w:tr w:rsidR="00EA3554">
        <w:trPr>
          <w:trHeight w:val="20"/>
          <w:jc w:val="center"/>
        </w:trPr>
        <w:tc>
          <w:tcPr>
            <w:tcW w:w="4011" w:type="dxa"/>
            <w:tcBorders>
              <w:top w:val="single" w:sz="4" w:space="0" w:color="auto"/>
              <w:left w:val="single" w:sz="4" w:space="0" w:color="auto"/>
              <w:bottom w:val="single" w:sz="4" w:space="0" w:color="auto"/>
              <w:right w:val="single" w:sz="4" w:space="0" w:color="auto"/>
            </w:tcBorders>
            <w:hideMark/>
          </w:tcPr>
          <w:p w:rsidR="00EA3554" w:rsidRDefault="00177724" w:rsidP="00245819">
            <w:pPr>
              <w:pStyle w:val="Tabletext"/>
              <w:spacing w:before="20" w:after="20"/>
              <w:rPr>
                <w:szCs w:val="20"/>
              </w:rPr>
            </w:pPr>
            <w:r>
              <w:t>Indoor user terminal usage</w:t>
            </w:r>
          </w:p>
        </w:tc>
        <w:tc>
          <w:tcPr>
            <w:tcW w:w="4010" w:type="dxa"/>
            <w:tcBorders>
              <w:top w:val="single" w:sz="4" w:space="0" w:color="auto"/>
              <w:left w:val="single" w:sz="4" w:space="0" w:color="auto"/>
              <w:bottom w:val="single" w:sz="4" w:space="0" w:color="auto"/>
              <w:right w:val="single" w:sz="4" w:space="0" w:color="auto"/>
            </w:tcBorders>
          </w:tcPr>
          <w:p w:rsidR="00EA3554" w:rsidRDefault="00177724" w:rsidP="00245819">
            <w:pPr>
              <w:pStyle w:val="Tabletext"/>
              <w:spacing w:before="20" w:after="20"/>
              <w:jc w:val="center"/>
            </w:pPr>
            <w:r>
              <w:t>50% for macro rural scenario</w:t>
            </w:r>
          </w:p>
          <w:p w:rsidR="00EA3554" w:rsidRDefault="00177724" w:rsidP="00245819">
            <w:pPr>
              <w:pStyle w:val="Tabletext"/>
              <w:spacing w:before="20" w:after="20"/>
              <w:jc w:val="center"/>
            </w:pPr>
            <w:r>
              <w:t>70% for macro urban/suburban scenario</w:t>
            </w:r>
          </w:p>
        </w:tc>
      </w:tr>
      <w:tr w:rsidR="00EA3554">
        <w:trPr>
          <w:trHeight w:val="20"/>
          <w:jc w:val="center"/>
        </w:trPr>
        <w:tc>
          <w:tcPr>
            <w:tcW w:w="4011" w:type="dxa"/>
            <w:tcBorders>
              <w:top w:val="single" w:sz="4" w:space="0" w:color="auto"/>
              <w:left w:val="single" w:sz="4" w:space="0" w:color="auto"/>
              <w:bottom w:val="single" w:sz="4" w:space="0" w:color="auto"/>
              <w:right w:val="single" w:sz="4" w:space="0" w:color="auto"/>
            </w:tcBorders>
            <w:hideMark/>
          </w:tcPr>
          <w:p w:rsidR="00EA3554" w:rsidRDefault="00177724" w:rsidP="00245819">
            <w:pPr>
              <w:pStyle w:val="Tabletext"/>
              <w:spacing w:before="20" w:after="20"/>
              <w:rPr>
                <w:szCs w:val="20"/>
              </w:rPr>
            </w:pPr>
            <w:r>
              <w:t>Average Indoor user terminal penetration loss</w:t>
            </w:r>
          </w:p>
        </w:tc>
        <w:tc>
          <w:tcPr>
            <w:tcW w:w="4010" w:type="dxa"/>
            <w:tcBorders>
              <w:top w:val="single" w:sz="4" w:space="0" w:color="auto"/>
              <w:left w:val="single" w:sz="4" w:space="0" w:color="auto"/>
              <w:bottom w:val="single" w:sz="4" w:space="0" w:color="auto"/>
              <w:right w:val="single" w:sz="4" w:space="0" w:color="auto"/>
            </w:tcBorders>
          </w:tcPr>
          <w:p w:rsidR="00EA3554" w:rsidRDefault="00177724" w:rsidP="00245819">
            <w:pPr>
              <w:pStyle w:val="Tabletext"/>
              <w:spacing w:before="20" w:after="20"/>
              <w:jc w:val="center"/>
            </w:pPr>
            <w:r>
              <w:t>15 dB for macro rural scenario</w:t>
            </w:r>
          </w:p>
          <w:p w:rsidR="00EA3554" w:rsidRDefault="00177724" w:rsidP="00245819">
            <w:pPr>
              <w:pStyle w:val="Tabletext"/>
              <w:spacing w:before="20" w:after="20"/>
              <w:jc w:val="center"/>
              <w:rPr>
                <w:rFonts w:eastAsia="Times New Roman" w:cs="Times New Roman"/>
                <w:szCs w:val="20"/>
              </w:rPr>
            </w:pPr>
            <w:r>
              <w:t>20 dB for macro urban/suburban scenario</w:t>
            </w:r>
          </w:p>
        </w:tc>
      </w:tr>
      <w:tr w:rsidR="00EA3554">
        <w:trPr>
          <w:trHeight w:val="20"/>
          <w:jc w:val="center"/>
        </w:trPr>
        <w:tc>
          <w:tcPr>
            <w:tcW w:w="4011" w:type="dxa"/>
            <w:tcBorders>
              <w:top w:val="single" w:sz="4" w:space="0" w:color="auto"/>
              <w:left w:val="single" w:sz="4" w:space="0" w:color="auto"/>
              <w:bottom w:val="single" w:sz="4" w:space="0" w:color="auto"/>
              <w:right w:val="single" w:sz="4" w:space="0" w:color="auto"/>
            </w:tcBorders>
            <w:hideMark/>
          </w:tcPr>
          <w:p w:rsidR="00EA3554" w:rsidRDefault="00177724" w:rsidP="00245819">
            <w:pPr>
              <w:pStyle w:val="Tabletext"/>
              <w:spacing w:before="20" w:after="20"/>
              <w:rPr>
                <w:szCs w:val="20"/>
              </w:rPr>
            </w:pPr>
            <w:r>
              <w:t>User terminal density in active mode to be used in sharing studies</w:t>
            </w:r>
            <w:r>
              <w:rPr>
                <w:rStyle w:val="FootnoteReference"/>
                <w:sz w:val="20"/>
              </w:rPr>
              <w:t>1</w:t>
            </w:r>
          </w:p>
        </w:tc>
        <w:tc>
          <w:tcPr>
            <w:tcW w:w="4010" w:type="dxa"/>
            <w:tcBorders>
              <w:top w:val="single" w:sz="4" w:space="0" w:color="auto"/>
              <w:left w:val="single" w:sz="4" w:space="0" w:color="auto"/>
              <w:bottom w:val="single" w:sz="4" w:space="0" w:color="auto"/>
              <w:right w:val="single" w:sz="4" w:space="0" w:color="auto"/>
            </w:tcBorders>
          </w:tcPr>
          <w:p w:rsidR="00EA3554" w:rsidRDefault="00177724" w:rsidP="00245819">
            <w:pPr>
              <w:pStyle w:val="Tabletext"/>
              <w:spacing w:before="20" w:after="20"/>
              <w:jc w:val="center"/>
            </w:pPr>
            <w:r>
              <w:t>0.17 / 5MHz/km</w:t>
            </w:r>
            <w:r>
              <w:rPr>
                <w:vertAlign w:val="superscript"/>
              </w:rPr>
              <w:t>2</w:t>
            </w:r>
          </w:p>
        </w:tc>
      </w:tr>
      <w:tr w:rsidR="00EA3554">
        <w:trPr>
          <w:trHeight w:val="20"/>
          <w:jc w:val="center"/>
        </w:trPr>
        <w:tc>
          <w:tcPr>
            <w:tcW w:w="4011" w:type="dxa"/>
            <w:tcBorders>
              <w:top w:val="single" w:sz="4" w:space="0" w:color="auto"/>
              <w:left w:val="single" w:sz="4" w:space="0" w:color="auto"/>
              <w:bottom w:val="single" w:sz="4" w:space="0" w:color="auto"/>
              <w:right w:val="single" w:sz="4" w:space="0" w:color="auto"/>
            </w:tcBorders>
            <w:hideMark/>
          </w:tcPr>
          <w:p w:rsidR="00EA3554" w:rsidRDefault="00177724" w:rsidP="00245819">
            <w:pPr>
              <w:pStyle w:val="Tabletext"/>
              <w:spacing w:before="20" w:after="20"/>
              <w:rPr>
                <w:szCs w:val="20"/>
              </w:rPr>
            </w:pPr>
            <w:r>
              <w:t>Maximum user terminal transmitter output power</w:t>
            </w:r>
          </w:p>
        </w:tc>
        <w:tc>
          <w:tcPr>
            <w:tcW w:w="4010" w:type="dxa"/>
            <w:tcBorders>
              <w:top w:val="single" w:sz="4" w:space="0" w:color="auto"/>
              <w:left w:val="single" w:sz="4" w:space="0" w:color="auto"/>
              <w:bottom w:val="single" w:sz="4" w:space="0" w:color="auto"/>
              <w:right w:val="single" w:sz="4" w:space="0" w:color="auto"/>
            </w:tcBorders>
          </w:tcPr>
          <w:p w:rsidR="00EA3554" w:rsidRDefault="00177724" w:rsidP="00245819">
            <w:pPr>
              <w:pStyle w:val="Tabletext"/>
              <w:spacing w:before="20" w:after="20"/>
              <w:jc w:val="center"/>
            </w:pPr>
            <w:r>
              <w:t xml:space="preserve">23 </w:t>
            </w:r>
            <w:proofErr w:type="spellStart"/>
            <w:r>
              <w:t>dBm</w:t>
            </w:r>
            <w:proofErr w:type="spellEnd"/>
          </w:p>
        </w:tc>
      </w:tr>
      <w:tr w:rsidR="00EA3554">
        <w:trPr>
          <w:trHeight w:val="20"/>
          <w:jc w:val="center"/>
        </w:trPr>
        <w:tc>
          <w:tcPr>
            <w:tcW w:w="4011" w:type="dxa"/>
            <w:tcBorders>
              <w:top w:val="single" w:sz="4" w:space="0" w:color="auto"/>
              <w:left w:val="single" w:sz="4" w:space="0" w:color="auto"/>
              <w:bottom w:val="single" w:sz="4" w:space="0" w:color="auto"/>
              <w:right w:val="single" w:sz="4" w:space="0" w:color="auto"/>
            </w:tcBorders>
            <w:hideMark/>
          </w:tcPr>
          <w:p w:rsidR="00EA3554" w:rsidRDefault="00177724" w:rsidP="00245819">
            <w:pPr>
              <w:pStyle w:val="Tabletext"/>
              <w:spacing w:before="20" w:after="20"/>
              <w:rPr>
                <w:szCs w:val="20"/>
              </w:rPr>
            </w:pPr>
            <w:r>
              <w:t>Average user terminal transmitter output power</w:t>
            </w:r>
            <w:r>
              <w:rPr>
                <w:rStyle w:val="FootnoteReference"/>
                <w:sz w:val="20"/>
              </w:rPr>
              <w:t>1</w:t>
            </w:r>
          </w:p>
        </w:tc>
        <w:tc>
          <w:tcPr>
            <w:tcW w:w="4010" w:type="dxa"/>
            <w:tcBorders>
              <w:top w:val="single" w:sz="4" w:space="0" w:color="auto"/>
              <w:left w:val="single" w:sz="4" w:space="0" w:color="auto"/>
              <w:bottom w:val="single" w:sz="4" w:space="0" w:color="auto"/>
              <w:right w:val="single" w:sz="4" w:space="0" w:color="auto"/>
            </w:tcBorders>
          </w:tcPr>
          <w:p w:rsidR="00EA3554" w:rsidRDefault="00177724" w:rsidP="00245819">
            <w:pPr>
              <w:pStyle w:val="Tabletext"/>
              <w:spacing w:before="20" w:after="20"/>
              <w:jc w:val="center"/>
            </w:pPr>
            <w:r>
              <w:t xml:space="preserve">2 </w:t>
            </w:r>
            <w:proofErr w:type="spellStart"/>
            <w:r>
              <w:t>dBm</w:t>
            </w:r>
            <w:proofErr w:type="spellEnd"/>
            <w:r>
              <w:t xml:space="preserve"> for macro rural scenario</w:t>
            </w:r>
          </w:p>
          <w:p w:rsidR="00EA3554" w:rsidRDefault="00177724" w:rsidP="00245819">
            <w:pPr>
              <w:pStyle w:val="Tabletext"/>
              <w:spacing w:before="20" w:after="20"/>
              <w:jc w:val="center"/>
            </w:pPr>
            <w:r>
              <w:t xml:space="preserve">-9 </w:t>
            </w:r>
            <w:proofErr w:type="spellStart"/>
            <w:r>
              <w:t>dBm</w:t>
            </w:r>
            <w:proofErr w:type="spellEnd"/>
            <w:r>
              <w:t xml:space="preserve"> for macro urban/suburban scenario</w:t>
            </w:r>
          </w:p>
        </w:tc>
      </w:tr>
      <w:tr w:rsidR="00EA3554">
        <w:trPr>
          <w:trHeight w:val="20"/>
          <w:jc w:val="center"/>
        </w:trPr>
        <w:tc>
          <w:tcPr>
            <w:tcW w:w="4011" w:type="dxa"/>
            <w:tcBorders>
              <w:top w:val="single" w:sz="4" w:space="0" w:color="auto"/>
              <w:left w:val="single" w:sz="4" w:space="0" w:color="auto"/>
              <w:bottom w:val="single" w:sz="4" w:space="0" w:color="auto"/>
              <w:right w:val="single" w:sz="4" w:space="0" w:color="auto"/>
            </w:tcBorders>
            <w:hideMark/>
          </w:tcPr>
          <w:p w:rsidR="00EA3554" w:rsidRDefault="00177724" w:rsidP="00245819">
            <w:pPr>
              <w:pStyle w:val="Tabletext"/>
              <w:spacing w:before="20" w:after="20"/>
              <w:rPr>
                <w:szCs w:val="20"/>
              </w:rPr>
            </w:pPr>
            <w:r>
              <w:t>Typical antenna gain for user terminals</w:t>
            </w:r>
          </w:p>
        </w:tc>
        <w:tc>
          <w:tcPr>
            <w:tcW w:w="4010" w:type="dxa"/>
            <w:tcBorders>
              <w:top w:val="single" w:sz="4" w:space="0" w:color="auto"/>
              <w:left w:val="single" w:sz="4" w:space="0" w:color="auto"/>
              <w:bottom w:val="single" w:sz="4" w:space="0" w:color="auto"/>
              <w:right w:val="single" w:sz="4" w:space="0" w:color="auto"/>
            </w:tcBorders>
          </w:tcPr>
          <w:p w:rsidR="00EA3554" w:rsidRDefault="00177724" w:rsidP="00245819">
            <w:pPr>
              <w:pStyle w:val="Tabletext"/>
              <w:spacing w:before="20" w:after="20"/>
              <w:jc w:val="center"/>
            </w:pPr>
            <w:r>
              <w:t xml:space="preserve">-3 </w:t>
            </w:r>
            <w:proofErr w:type="spellStart"/>
            <w:r>
              <w:t>dBi</w:t>
            </w:r>
            <w:proofErr w:type="spellEnd"/>
          </w:p>
        </w:tc>
      </w:tr>
      <w:tr w:rsidR="00EA3554">
        <w:trPr>
          <w:trHeight w:val="20"/>
          <w:jc w:val="center"/>
        </w:trPr>
        <w:tc>
          <w:tcPr>
            <w:tcW w:w="4011" w:type="dxa"/>
            <w:tcBorders>
              <w:top w:val="single" w:sz="4" w:space="0" w:color="auto"/>
              <w:left w:val="single" w:sz="4" w:space="0" w:color="auto"/>
              <w:bottom w:val="single" w:sz="4" w:space="0" w:color="auto"/>
              <w:right w:val="single" w:sz="4" w:space="0" w:color="auto"/>
            </w:tcBorders>
            <w:hideMark/>
          </w:tcPr>
          <w:p w:rsidR="00EA3554" w:rsidRDefault="00177724" w:rsidP="00245819">
            <w:pPr>
              <w:pStyle w:val="Tabletext"/>
              <w:spacing w:before="20" w:after="20"/>
            </w:pPr>
            <w:r>
              <w:t>Typical body loss</w:t>
            </w:r>
          </w:p>
        </w:tc>
        <w:tc>
          <w:tcPr>
            <w:tcW w:w="4010" w:type="dxa"/>
            <w:tcBorders>
              <w:top w:val="single" w:sz="4" w:space="0" w:color="auto"/>
              <w:left w:val="single" w:sz="4" w:space="0" w:color="auto"/>
              <w:bottom w:val="single" w:sz="4" w:space="0" w:color="auto"/>
              <w:right w:val="single" w:sz="4" w:space="0" w:color="auto"/>
            </w:tcBorders>
          </w:tcPr>
          <w:p w:rsidR="00EA3554" w:rsidRDefault="00177724" w:rsidP="00245819">
            <w:pPr>
              <w:pStyle w:val="Tabletext"/>
              <w:spacing w:before="20" w:after="20"/>
              <w:jc w:val="center"/>
            </w:pPr>
            <w:r>
              <w:t>4 dB</w:t>
            </w:r>
          </w:p>
        </w:tc>
      </w:tr>
    </w:tbl>
    <w:p w:rsidR="00EA3554" w:rsidRDefault="00EA3554"/>
    <w:p w:rsidR="00EA3554" w:rsidRDefault="00177724">
      <w:r>
        <w:t>WP 5D would like to point out that the deadline for document submissions to the 15th and 16th meetings of WP 5D is 23 January 2013 and 3 July 2013 at 16:00 hours UTC respectively.</w:t>
      </w:r>
    </w:p>
    <w:p w:rsidR="00EA3554" w:rsidRDefault="00EA3554">
      <w:pPr>
        <w:rPr>
          <w:color w:val="000000"/>
        </w:rPr>
      </w:pPr>
    </w:p>
    <w:tbl>
      <w:tblPr>
        <w:tblW w:w="0" w:type="auto"/>
        <w:tblLayout w:type="fixed"/>
        <w:tblLook w:val="0000" w:firstRow="0" w:lastRow="0" w:firstColumn="0" w:lastColumn="0" w:noHBand="0" w:noVBand="0"/>
      </w:tblPr>
      <w:tblGrid>
        <w:gridCol w:w="1242"/>
        <w:gridCol w:w="3544"/>
        <w:gridCol w:w="4961"/>
      </w:tblGrid>
      <w:tr w:rsidR="00EA3554" w:rsidRPr="00F74E0A">
        <w:trPr>
          <w:cantSplit/>
        </w:trPr>
        <w:tc>
          <w:tcPr>
            <w:tcW w:w="1242" w:type="dxa"/>
            <w:vAlign w:val="center"/>
          </w:tcPr>
          <w:p w:rsidR="00EA3554" w:rsidRPr="00F74E0A" w:rsidRDefault="00177724">
            <w:pPr>
              <w:jc w:val="both"/>
              <w:rPr>
                <w:rFonts w:asciiTheme="majorBidi" w:hAnsiTheme="majorBidi" w:cstheme="majorBidi"/>
                <w:b/>
                <w:lang w:eastAsia="ja-JP"/>
              </w:rPr>
            </w:pPr>
            <w:r w:rsidRPr="00F74E0A">
              <w:rPr>
                <w:rFonts w:asciiTheme="majorBidi" w:hAnsiTheme="majorBidi" w:cstheme="majorBidi"/>
                <w:b/>
                <w:lang w:eastAsia="ja-JP"/>
              </w:rPr>
              <w:t>Status:</w:t>
            </w:r>
          </w:p>
        </w:tc>
        <w:tc>
          <w:tcPr>
            <w:tcW w:w="3544" w:type="dxa"/>
            <w:vAlign w:val="center"/>
          </w:tcPr>
          <w:p w:rsidR="00EA3554" w:rsidRPr="00F74E0A" w:rsidRDefault="00177724">
            <w:pPr>
              <w:tabs>
                <w:tab w:val="center" w:pos="7230"/>
              </w:tabs>
              <w:jc w:val="both"/>
              <w:rPr>
                <w:rFonts w:asciiTheme="majorBidi" w:hAnsiTheme="majorBidi" w:cstheme="majorBidi"/>
                <w:bCs/>
                <w:lang w:eastAsia="ja-JP"/>
              </w:rPr>
            </w:pPr>
            <w:r w:rsidRPr="00F74E0A">
              <w:rPr>
                <w:rFonts w:asciiTheme="majorBidi" w:hAnsiTheme="majorBidi" w:cstheme="majorBidi"/>
                <w:bCs/>
                <w:lang w:eastAsia="ja-JP"/>
              </w:rPr>
              <w:t>For information</w:t>
            </w:r>
          </w:p>
        </w:tc>
        <w:tc>
          <w:tcPr>
            <w:tcW w:w="4961" w:type="dxa"/>
            <w:vAlign w:val="center"/>
          </w:tcPr>
          <w:p w:rsidR="00EA3554" w:rsidRPr="00F74E0A" w:rsidRDefault="00EA3554">
            <w:pPr>
              <w:tabs>
                <w:tab w:val="left" w:pos="884"/>
              </w:tabs>
              <w:jc w:val="both"/>
              <w:rPr>
                <w:rFonts w:asciiTheme="majorBidi" w:hAnsiTheme="majorBidi" w:cstheme="majorBidi"/>
              </w:rPr>
            </w:pPr>
          </w:p>
        </w:tc>
      </w:tr>
      <w:tr w:rsidR="00EA3554" w:rsidRPr="00794410" w:rsidTr="00F74E0A">
        <w:trPr>
          <w:cantSplit/>
        </w:trPr>
        <w:tc>
          <w:tcPr>
            <w:tcW w:w="1242" w:type="dxa"/>
          </w:tcPr>
          <w:p w:rsidR="00EA3554" w:rsidRPr="00F74E0A" w:rsidRDefault="00177724" w:rsidP="00F74E0A">
            <w:pPr>
              <w:rPr>
                <w:rFonts w:asciiTheme="majorBidi" w:hAnsiTheme="majorBidi" w:cstheme="majorBidi"/>
              </w:rPr>
            </w:pPr>
            <w:r w:rsidRPr="00F74E0A">
              <w:rPr>
                <w:rFonts w:asciiTheme="majorBidi" w:hAnsiTheme="majorBidi" w:cstheme="majorBidi"/>
                <w:b/>
              </w:rPr>
              <w:t>Contact:</w:t>
            </w:r>
          </w:p>
        </w:tc>
        <w:tc>
          <w:tcPr>
            <w:tcW w:w="3544" w:type="dxa"/>
            <w:vAlign w:val="center"/>
          </w:tcPr>
          <w:p w:rsidR="00EA3554" w:rsidRPr="00F74E0A" w:rsidRDefault="00177724">
            <w:pPr>
              <w:tabs>
                <w:tab w:val="center" w:pos="7230"/>
              </w:tabs>
              <w:rPr>
                <w:rFonts w:asciiTheme="majorBidi" w:hAnsiTheme="majorBidi" w:cstheme="majorBidi"/>
              </w:rPr>
            </w:pPr>
            <w:r w:rsidRPr="00F74E0A">
              <w:rPr>
                <w:rFonts w:asciiTheme="majorBidi" w:hAnsiTheme="majorBidi" w:cstheme="majorBidi"/>
                <w:szCs w:val="24"/>
              </w:rPr>
              <w:t>Sergio BUONOMO,</w:t>
            </w:r>
            <w:r w:rsidRPr="00F74E0A">
              <w:rPr>
                <w:rFonts w:asciiTheme="majorBidi" w:hAnsiTheme="majorBidi" w:cstheme="majorBidi"/>
                <w:szCs w:val="24"/>
              </w:rPr>
              <w:br/>
              <w:t>Counsellor, Study Group 5</w:t>
            </w:r>
          </w:p>
        </w:tc>
        <w:tc>
          <w:tcPr>
            <w:tcW w:w="4961" w:type="dxa"/>
            <w:vAlign w:val="center"/>
          </w:tcPr>
          <w:p w:rsidR="00EA3554" w:rsidRPr="00F74E0A" w:rsidRDefault="00177724">
            <w:pPr>
              <w:tabs>
                <w:tab w:val="left" w:pos="884"/>
              </w:tabs>
              <w:jc w:val="both"/>
              <w:rPr>
                <w:rFonts w:asciiTheme="majorBidi" w:hAnsiTheme="majorBidi" w:cstheme="majorBidi"/>
                <w:lang w:val="de-DE"/>
              </w:rPr>
            </w:pPr>
            <w:r w:rsidRPr="00F74E0A">
              <w:rPr>
                <w:rFonts w:asciiTheme="majorBidi" w:hAnsiTheme="majorBidi" w:cstheme="majorBidi"/>
                <w:b/>
                <w:lang w:val="de-DE"/>
              </w:rPr>
              <w:t>E-mail</w:t>
            </w:r>
            <w:r w:rsidRPr="00F74E0A">
              <w:rPr>
                <w:rFonts w:asciiTheme="majorBidi" w:hAnsiTheme="majorBidi" w:cstheme="majorBidi"/>
                <w:lang w:val="de-DE"/>
              </w:rPr>
              <w:t xml:space="preserve">: </w:t>
            </w:r>
            <w:hyperlink r:id="rId17" w:history="1">
              <w:r w:rsidRPr="00BE7BC8">
                <w:rPr>
                  <w:rFonts w:asciiTheme="majorBidi" w:hAnsiTheme="majorBidi" w:cstheme="majorBidi"/>
                  <w:color w:val="0000FF"/>
                  <w:szCs w:val="24"/>
                  <w:u w:val="single"/>
                  <w:lang w:val="it-IT"/>
                </w:rPr>
                <w:t>sergio.buonomo@itu.int</w:t>
              </w:r>
            </w:hyperlink>
          </w:p>
        </w:tc>
      </w:tr>
    </w:tbl>
    <w:p w:rsidR="00EA3554" w:rsidRPr="00BE7BC8" w:rsidRDefault="00EA3554">
      <w:pPr>
        <w:jc w:val="center"/>
        <w:rPr>
          <w:lang w:val="it-IT" w:eastAsia="zh-CN"/>
        </w:rPr>
      </w:pPr>
      <w:bookmarkStart w:id="9" w:name="_GoBack"/>
      <w:bookmarkEnd w:id="9"/>
    </w:p>
    <w:sectPr w:rsidR="00EA3554" w:rsidRPr="00BE7BC8" w:rsidSect="00BE7BC8">
      <w:headerReference w:type="default" r:id="rId18"/>
      <w:pgSz w:w="12242" w:h="15842" w:code="1"/>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BC8" w:rsidRDefault="00BE7BC8">
      <w:r>
        <w:separator/>
      </w:r>
    </w:p>
  </w:endnote>
  <w:endnote w:type="continuationSeparator" w:id="0">
    <w:p w:rsidR="00BE7BC8" w:rsidRDefault="00BE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v5.0.0">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BC8" w:rsidRDefault="00BE7BC8">
      <w:r>
        <w:t>____________________</w:t>
      </w:r>
    </w:p>
  </w:footnote>
  <w:footnote w:type="continuationSeparator" w:id="0">
    <w:p w:rsidR="00BE7BC8" w:rsidRDefault="00BE7BC8">
      <w:r>
        <w:continuationSeparator/>
      </w:r>
    </w:p>
  </w:footnote>
  <w:footnote w:id="1">
    <w:p w:rsidR="00BE7BC8" w:rsidRDefault="00BE7BC8">
      <w:pPr>
        <w:pStyle w:val="FootnoteText"/>
      </w:pPr>
      <w:r>
        <w:rPr>
          <w:rStyle w:val="FootnoteReference"/>
        </w:rPr>
        <w:footnoteRef/>
      </w:r>
      <w:r>
        <w:t xml:space="preserve"> </w:t>
      </w:r>
      <w:r>
        <w:tab/>
      </w:r>
      <w:proofErr w:type="gramStart"/>
      <w:r>
        <w:rPr>
          <w:szCs w:val="24"/>
        </w:rPr>
        <w:t xml:space="preserve">According to </w:t>
      </w:r>
      <w:hyperlink r:id="rId1" w:history="1">
        <w:r>
          <w:rPr>
            <w:rStyle w:val="Hyperlink"/>
            <w:szCs w:val="24"/>
          </w:rPr>
          <w:t>JTG5-6/180 Annex 2</w:t>
        </w:r>
      </w:hyperlink>
      <w:r w:rsidRPr="00245819">
        <w:rPr>
          <w:rStyle w:val="Hyperlink"/>
          <w:szCs w:val="24"/>
          <w:u w:val="none"/>
        </w:rPr>
        <w:t>.</w:t>
      </w:r>
      <w:proofErr w:type="gramEnd"/>
    </w:p>
  </w:footnote>
  <w:footnote w:id="2">
    <w:p w:rsidR="00BE7BC8" w:rsidRDefault="00BE7BC8" w:rsidP="00BE7BC8">
      <w:pPr>
        <w:pStyle w:val="FootnoteText"/>
        <w:tabs>
          <w:tab w:val="left" w:pos="284"/>
        </w:tabs>
        <w:rPr>
          <w:lang w:val="de-DE"/>
        </w:rPr>
      </w:pPr>
      <w:r>
        <w:rPr>
          <w:rStyle w:val="FootnoteReference"/>
        </w:rPr>
        <w:footnoteRef/>
      </w:r>
      <w:r>
        <w:t xml:space="preserve"> </w:t>
      </w:r>
      <w:r>
        <w:tab/>
        <w:t xml:space="preserve">The vertical 3 dB </w:t>
      </w:r>
      <w:proofErr w:type="spellStart"/>
      <w:r>
        <w:t>beamwidth</w:t>
      </w:r>
      <w:proofErr w:type="spellEnd"/>
      <w:r>
        <w:t xml:space="preserve"> is determined from the horizontal </w:t>
      </w:r>
      <w:proofErr w:type="spellStart"/>
      <w:r>
        <w:t>beamwidth</w:t>
      </w:r>
      <w:proofErr w:type="spellEnd"/>
      <w:r>
        <w:t xml:space="preserve"> by equations in Recommendation ITU-R F.1336.  Annex 8 of this Recommendation and a k-value of 0.7 is proposed based on comparisons between the antenna models in Rec. ITU-R F.1336 and extensive measurements of antennas for frequencies below 1 GHz.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C8" w:rsidRDefault="00BE7BC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645FF">
      <w:rPr>
        <w:rStyle w:val="PageNumber"/>
        <w:noProof/>
      </w:rPr>
      <w:t>7</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554"/>
    <w:rsid w:val="00177724"/>
    <w:rsid w:val="00245819"/>
    <w:rsid w:val="00732E3B"/>
    <w:rsid w:val="00794410"/>
    <w:rsid w:val="009714AD"/>
    <w:rsid w:val="00A01447"/>
    <w:rsid w:val="00BE7BC8"/>
    <w:rsid w:val="00D645FF"/>
    <w:rsid w:val="00EA3554"/>
    <w:rsid w:val="00F74E0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E63C59"/>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D837A0"/>
    <w:pPr>
      <w:spacing w:before="0"/>
    </w:pPr>
    <w:rPr>
      <w:rFonts w:ascii="Tahoma" w:hAnsi="Tahoma" w:cs="Tahoma"/>
      <w:sz w:val="16"/>
      <w:szCs w:val="16"/>
    </w:rPr>
  </w:style>
  <w:style w:type="character" w:customStyle="1" w:styleId="BalloonTextChar">
    <w:name w:val="Balloon Text Char"/>
    <w:basedOn w:val="DefaultParagraphFont"/>
    <w:link w:val="BalloonText"/>
    <w:rsid w:val="00D837A0"/>
    <w:rPr>
      <w:rFonts w:ascii="Tahoma" w:hAnsi="Tahoma" w:cs="Tahoma"/>
      <w:sz w:val="16"/>
      <w:szCs w:val="16"/>
      <w:lang w:val="en-GB" w:eastAsia="en-US"/>
    </w:rPr>
  </w:style>
  <w:style w:type="character" w:customStyle="1" w:styleId="Heading2Char">
    <w:name w:val="Heading 2 Char"/>
    <w:basedOn w:val="DefaultParagraphFont"/>
    <w:link w:val="Heading2"/>
    <w:rsid w:val="0089276F"/>
    <w:rPr>
      <w:rFonts w:ascii="Times New Roman" w:hAnsi="Times New Roman"/>
      <w:b/>
      <w:sz w:val="24"/>
      <w:lang w:val="en-GB" w:eastAsia="en-US"/>
    </w:rPr>
  </w:style>
  <w:style w:type="character" w:customStyle="1" w:styleId="Heading3Char">
    <w:name w:val="Heading 3 Char"/>
    <w:basedOn w:val="DefaultParagraphFont"/>
    <w:link w:val="Heading3"/>
    <w:rsid w:val="0089276F"/>
    <w:rPr>
      <w:rFonts w:ascii="Times New Roman" w:hAnsi="Times New Roman"/>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89276F"/>
    <w:rPr>
      <w:rFonts w:ascii="Times New Roman" w:hAnsi="Times New Roman"/>
      <w:sz w:val="24"/>
      <w:lang w:val="en-GB" w:eastAsia="en-US"/>
    </w:rPr>
  </w:style>
  <w:style w:type="character" w:styleId="Hyperlink">
    <w:name w:val="Hyperlink"/>
    <w:basedOn w:val="DefaultParagraphFont"/>
    <w:rsid w:val="0089276F"/>
    <w:rPr>
      <w:color w:val="0000FF" w:themeColor="hyperlink"/>
      <w:u w:val="single"/>
    </w:rPr>
  </w:style>
  <w:style w:type="character" w:customStyle="1" w:styleId="TabletextChar">
    <w:name w:val="Table_text Char"/>
    <w:link w:val="Tabletext"/>
    <w:locked/>
    <w:rsid w:val="0089276F"/>
    <w:rPr>
      <w:rFonts w:ascii="Times New Roman" w:hAnsi="Times New Roman"/>
      <w:lang w:val="en-GB" w:eastAsia="en-US"/>
    </w:rPr>
  </w:style>
  <w:style w:type="table" w:styleId="TableGrid">
    <w:name w:val="Table Grid"/>
    <w:basedOn w:val="TableNormal"/>
    <w:uiPriority w:val="59"/>
    <w:rsid w:val="0089276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014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E63C59"/>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D837A0"/>
    <w:pPr>
      <w:spacing w:before="0"/>
    </w:pPr>
    <w:rPr>
      <w:rFonts w:ascii="Tahoma" w:hAnsi="Tahoma" w:cs="Tahoma"/>
      <w:sz w:val="16"/>
      <w:szCs w:val="16"/>
    </w:rPr>
  </w:style>
  <w:style w:type="character" w:customStyle="1" w:styleId="BalloonTextChar">
    <w:name w:val="Balloon Text Char"/>
    <w:basedOn w:val="DefaultParagraphFont"/>
    <w:link w:val="BalloonText"/>
    <w:rsid w:val="00D837A0"/>
    <w:rPr>
      <w:rFonts w:ascii="Tahoma" w:hAnsi="Tahoma" w:cs="Tahoma"/>
      <w:sz w:val="16"/>
      <w:szCs w:val="16"/>
      <w:lang w:val="en-GB" w:eastAsia="en-US"/>
    </w:rPr>
  </w:style>
  <w:style w:type="character" w:customStyle="1" w:styleId="Heading2Char">
    <w:name w:val="Heading 2 Char"/>
    <w:basedOn w:val="DefaultParagraphFont"/>
    <w:link w:val="Heading2"/>
    <w:rsid w:val="0089276F"/>
    <w:rPr>
      <w:rFonts w:ascii="Times New Roman" w:hAnsi="Times New Roman"/>
      <w:b/>
      <w:sz w:val="24"/>
      <w:lang w:val="en-GB" w:eastAsia="en-US"/>
    </w:rPr>
  </w:style>
  <w:style w:type="character" w:customStyle="1" w:styleId="Heading3Char">
    <w:name w:val="Heading 3 Char"/>
    <w:basedOn w:val="DefaultParagraphFont"/>
    <w:link w:val="Heading3"/>
    <w:rsid w:val="0089276F"/>
    <w:rPr>
      <w:rFonts w:ascii="Times New Roman" w:hAnsi="Times New Roman"/>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89276F"/>
    <w:rPr>
      <w:rFonts w:ascii="Times New Roman" w:hAnsi="Times New Roman"/>
      <w:sz w:val="24"/>
      <w:lang w:val="en-GB" w:eastAsia="en-US"/>
    </w:rPr>
  </w:style>
  <w:style w:type="character" w:styleId="Hyperlink">
    <w:name w:val="Hyperlink"/>
    <w:basedOn w:val="DefaultParagraphFont"/>
    <w:rsid w:val="0089276F"/>
    <w:rPr>
      <w:color w:val="0000FF" w:themeColor="hyperlink"/>
      <w:u w:val="single"/>
    </w:rPr>
  </w:style>
  <w:style w:type="character" w:customStyle="1" w:styleId="TabletextChar">
    <w:name w:val="Table_text Char"/>
    <w:link w:val="Tabletext"/>
    <w:locked/>
    <w:rsid w:val="0089276F"/>
    <w:rPr>
      <w:rFonts w:ascii="Times New Roman" w:hAnsi="Times New Roman"/>
      <w:lang w:val="en-GB" w:eastAsia="en-US"/>
    </w:rPr>
  </w:style>
  <w:style w:type="table" w:styleId="TableGrid">
    <w:name w:val="Table Grid"/>
    <w:basedOn w:val="TableNormal"/>
    <w:uiPriority w:val="59"/>
    <w:rsid w:val="0089276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014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14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pub/R-REP-M.2241"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rec/R-REC-F.1336/en" TargetMode="External"/><Relationship Id="rId17" Type="http://schemas.openxmlformats.org/officeDocument/2006/relationships/hyperlink" Target="mailto:sergio.buonomo@itu.int" TargetMode="External"/><Relationship Id="rId2" Type="http://schemas.openxmlformats.org/officeDocument/2006/relationships/customXml" Target="../customXml/item2.xml"/><Relationship Id="rId16" Type="http://schemas.openxmlformats.org/officeDocument/2006/relationships/hyperlink" Target="http://www.itu.int/md/dologin_md.asp?lang=en&amp;id=R07-JTG5.6-C-0180!N02!MSW-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numbering" TargetMode="External"/><Relationship Id="rId5" Type="http://schemas.microsoft.com/office/2007/relationships/stylesWithEffects" Target="stylesWithEffects.xml"/><Relationship Id="rId15" Type="http://schemas.openxmlformats.org/officeDocument/2006/relationships/hyperlink" Target="http://www.itu.int/md/dologin_md.asp?lang=en&amp;id=R07-JTG5.6-C-0180!N02!MSW-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tu.int/pub/R-REP-M/publications.aspx?lang=en&amp;parent=R-REP-M.203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ologin_md.asp?lang=en&amp;id=R07-JTG5.6-C-0180!N02!MS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LS</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70B5F7808D304AAB7669FEC90DDD2D" ma:contentTypeVersion="1" ma:contentTypeDescription="Create a new document." ma:contentTypeScope="" ma:versionID="6a8a9f995747ff93be159b97f09c6e7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12F08-7B5E-42AC-81E7-5054C7FED8E0}">
  <ds:schemaRefs>
    <ds:schemaRef ds:uri="http://schemas.microsoft.com/office/2006/metadata/properties"/>
    <ds:schemaRef ds:uri="http://schemas.microsoft.com/office/infopath/2007/PartnerControls"/>
    <ds:schemaRef ds:uri="http://purl.org/dc/dcmitype/"/>
    <ds:schemaRef ds:uri="http://purl.org/dc/elements/1.1/"/>
    <ds:schemaRef ds:uri="http://purl.org/dc/terms/"/>
    <ds:schemaRef ds:uri="http://www.w3.org/XML/1998/namespace"/>
    <ds:schemaRef ds:uri="http://schemas.openxmlformats.org/package/2006/metadata/core-properties"/>
    <ds:schemaRef ds:uri="http://schemas.microsoft.com/office/2006/documentManagement/types"/>
    <ds:schemaRef ds:uri="4c6a61cb-1973-4fc6-92ae-f4d7a4471404"/>
  </ds:schemaRefs>
</ds:datastoreItem>
</file>

<file path=customXml/itemProps2.xml><?xml version="1.0" encoding="utf-8"?>
<ds:datastoreItem xmlns:ds="http://schemas.openxmlformats.org/officeDocument/2006/customXml" ds:itemID="{4D4F0726-8FA7-4331-ABB0-8B7EED4334E0}">
  <ds:schemaRefs>
    <ds:schemaRef ds:uri="http://schemas.microsoft.com/sharepoint/v3/contenttype/forms"/>
  </ds:schemaRefs>
</ds:datastoreItem>
</file>

<file path=customXml/itemProps3.xml><?xml version="1.0" encoding="utf-8"?>
<ds:datastoreItem xmlns:ds="http://schemas.openxmlformats.org/officeDocument/2006/customXml" ds:itemID="{B2B0DABD-F8FB-4B71-9A6B-DC914CA7B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21</TotalTime>
  <Pages>7</Pages>
  <Words>2117</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Draft Liaison statement to 3GPP and IEEE - Parameters for LTE-Advanced and Wirelessman Advanced for use in sharing studies</vt:lpstr>
    </vt:vector>
  </TitlesOfParts>
  <Manager/>
  <Company/>
  <LinksUpToDate>false</LinksUpToDate>
  <CharactersWithSpaces>13780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Liaison statement to 3GPP and IEEE - Parameters for LTE-Advanced and Wirelessman Advanced for use in sharing studies</dc:title>
  <dc:subject>SA</dc:subject>
  <dc:creator>Fernandez Virginia</dc:creator>
  <cp:keywords/>
  <dc:description/>
  <cp:lastModifiedBy>mostyn</cp:lastModifiedBy>
  <cp:revision>6</cp:revision>
  <cp:lastPrinted>2012-10-02T17:23:00Z</cp:lastPrinted>
  <dcterms:created xsi:type="dcterms:W3CDTF">2012-10-11T01:11:00Z</dcterms:created>
  <dcterms:modified xsi:type="dcterms:W3CDTF">2012-10-17T08:45:00Z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0x010100C570B5F7808D304AAB7669FEC90DDD2D</vt:lpwstr>
  </property>
</Properties>
</file>