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E0F7B" w14:textId="77777777" w:rsidR="008C77B2" w:rsidRDefault="008C77B2">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C77B2" w14:paraId="5CAE0F7E" w14:textId="77777777">
        <w:trPr>
          <w:cantSplit/>
        </w:trPr>
        <w:tc>
          <w:tcPr>
            <w:tcW w:w="6580" w:type="dxa"/>
            <w:vAlign w:val="center"/>
          </w:tcPr>
          <w:p w14:paraId="5CAE0F7C" w14:textId="77777777" w:rsidR="008C77B2" w:rsidRDefault="00CD4E3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14:paraId="5CAE0F7D" w14:textId="77777777" w:rsidR="008C77B2" w:rsidRDefault="00CD4E3B">
            <w:pPr>
              <w:shd w:val="solid" w:color="FFFFFF" w:fill="FFFFFF"/>
              <w:spacing w:before="0" w:line="240" w:lineRule="atLeast"/>
            </w:pPr>
            <w:bookmarkStart w:id="1" w:name="ditulogo"/>
            <w:bookmarkEnd w:id="1"/>
            <w:r>
              <w:rPr>
                <w:noProof/>
                <w:lang w:val="en-US" w:eastAsia="zh-CN"/>
              </w:rPr>
              <w:drawing>
                <wp:inline distT="0" distB="0" distL="0" distR="0" wp14:anchorId="5CAE1267" wp14:editId="5CAE126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C77B2" w14:paraId="5CAE0F81" w14:textId="77777777">
        <w:trPr>
          <w:cantSplit/>
        </w:trPr>
        <w:tc>
          <w:tcPr>
            <w:tcW w:w="6580" w:type="dxa"/>
            <w:tcBorders>
              <w:bottom w:val="single" w:sz="12" w:space="0" w:color="auto"/>
            </w:tcBorders>
          </w:tcPr>
          <w:p w14:paraId="5CAE0F7F" w14:textId="77777777" w:rsidR="008C77B2" w:rsidRDefault="008C77B2">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5CAE0F80" w14:textId="77777777" w:rsidR="008C77B2" w:rsidRDefault="008C77B2">
            <w:pPr>
              <w:shd w:val="solid" w:color="FFFFFF" w:fill="FFFFFF"/>
              <w:spacing w:before="0" w:after="48" w:line="240" w:lineRule="atLeast"/>
              <w:rPr>
                <w:sz w:val="22"/>
                <w:szCs w:val="22"/>
                <w:lang w:val="en-US"/>
              </w:rPr>
            </w:pPr>
          </w:p>
        </w:tc>
      </w:tr>
      <w:tr w:rsidR="008C77B2" w14:paraId="5CAE0F84" w14:textId="77777777">
        <w:trPr>
          <w:cantSplit/>
        </w:trPr>
        <w:tc>
          <w:tcPr>
            <w:tcW w:w="6580" w:type="dxa"/>
            <w:tcBorders>
              <w:top w:val="single" w:sz="12" w:space="0" w:color="auto"/>
            </w:tcBorders>
          </w:tcPr>
          <w:p w14:paraId="5CAE0F82" w14:textId="77777777" w:rsidR="008C77B2" w:rsidRDefault="008C77B2">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5CAE0F83" w14:textId="77777777" w:rsidR="008C77B2" w:rsidRDefault="008C77B2">
            <w:pPr>
              <w:shd w:val="solid" w:color="FFFFFF" w:fill="FFFFFF"/>
              <w:spacing w:before="0" w:after="48" w:line="240" w:lineRule="atLeast"/>
              <w:rPr>
                <w:lang w:val="en-US"/>
              </w:rPr>
            </w:pPr>
          </w:p>
        </w:tc>
      </w:tr>
      <w:tr w:rsidR="008C77B2" w14:paraId="5CAE0F87" w14:textId="77777777">
        <w:trPr>
          <w:cantSplit/>
        </w:trPr>
        <w:tc>
          <w:tcPr>
            <w:tcW w:w="6580" w:type="dxa"/>
            <w:vMerge w:val="restart"/>
          </w:tcPr>
          <w:p w14:paraId="5CAE0F85" w14:textId="50A4138B" w:rsidR="008C77B2" w:rsidRDefault="001C0A31" w:rsidP="001D23A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 xml:space="preserve">Source: </w:t>
            </w:r>
            <w:r>
              <w:rPr>
                <w:rFonts w:ascii="Verdana" w:hAnsi="Verdana"/>
                <w:b/>
                <w:sz w:val="20"/>
                <w:lang w:eastAsia="zh-CN"/>
              </w:rPr>
              <w:t xml:space="preserve"> </w:t>
            </w:r>
            <w:r w:rsidRPr="001D23A4">
              <w:rPr>
                <w:rFonts w:ascii="Verdana" w:hAnsi="Verdana"/>
                <w:bCs/>
                <w:sz w:val="20"/>
                <w:lang w:eastAsia="zh-CN"/>
              </w:rPr>
              <w:t>Revision 2 to</w:t>
            </w:r>
            <w:r w:rsidR="001D23A4" w:rsidRPr="001D23A4">
              <w:rPr>
                <w:rFonts w:ascii="Verdana" w:hAnsi="Verdana"/>
                <w:bCs/>
                <w:sz w:val="20"/>
                <w:lang w:eastAsia="zh-CN"/>
              </w:rPr>
              <w:t xml:space="preserve"> </w:t>
            </w:r>
            <w:r w:rsidRPr="001D23A4">
              <w:rPr>
                <w:rFonts w:ascii="Verdana" w:hAnsi="Verdana"/>
                <w:bCs/>
                <w:sz w:val="20"/>
                <w:lang w:eastAsia="zh-CN"/>
              </w:rPr>
              <w:t>Document 5D/TEMP/28</w:t>
            </w:r>
          </w:p>
        </w:tc>
        <w:tc>
          <w:tcPr>
            <w:tcW w:w="3451" w:type="dxa"/>
          </w:tcPr>
          <w:p w14:paraId="5CAE0F86" w14:textId="5478E5A0" w:rsidR="008C77B2" w:rsidRDefault="008C77B2" w:rsidP="00CD4E3B">
            <w:pPr>
              <w:shd w:val="solid" w:color="FFFFFF" w:fill="FFFFFF"/>
              <w:spacing w:before="0" w:line="240" w:lineRule="atLeast"/>
              <w:rPr>
                <w:rFonts w:ascii="Verdana" w:hAnsi="Verdana"/>
                <w:sz w:val="20"/>
                <w:lang w:eastAsia="zh-CN"/>
              </w:rPr>
            </w:pPr>
          </w:p>
        </w:tc>
      </w:tr>
      <w:tr w:rsidR="008C77B2" w14:paraId="5CAE0F8A" w14:textId="77777777">
        <w:trPr>
          <w:cantSplit/>
        </w:trPr>
        <w:tc>
          <w:tcPr>
            <w:tcW w:w="6580" w:type="dxa"/>
            <w:vMerge/>
          </w:tcPr>
          <w:p w14:paraId="5CAE0F88" w14:textId="77777777" w:rsidR="008C77B2" w:rsidRDefault="008C77B2">
            <w:pPr>
              <w:spacing w:before="60"/>
              <w:jc w:val="center"/>
              <w:rPr>
                <w:b/>
                <w:smallCaps/>
                <w:sz w:val="32"/>
                <w:lang w:eastAsia="zh-CN"/>
              </w:rPr>
            </w:pPr>
            <w:bookmarkStart w:id="4" w:name="ddate" w:colFirst="1" w:colLast="1"/>
            <w:bookmarkEnd w:id="3"/>
          </w:p>
        </w:tc>
        <w:tc>
          <w:tcPr>
            <w:tcW w:w="3451" w:type="dxa"/>
          </w:tcPr>
          <w:p w14:paraId="5CAE0F89" w14:textId="5E681FC0" w:rsidR="008C77B2" w:rsidRDefault="001D23A4" w:rsidP="00340B9C">
            <w:pPr>
              <w:shd w:val="solid" w:color="FFFFFF" w:fill="FFFFFF"/>
              <w:spacing w:before="0" w:line="240" w:lineRule="atLeast"/>
              <w:rPr>
                <w:rFonts w:ascii="Verdana" w:hAnsi="Verdana"/>
                <w:sz w:val="20"/>
                <w:lang w:eastAsia="zh-CN"/>
              </w:rPr>
            </w:pPr>
            <w:r>
              <w:rPr>
                <w:rFonts w:ascii="Verdana" w:hAnsi="Verdana"/>
                <w:b/>
                <w:sz w:val="20"/>
                <w:lang w:eastAsia="zh-CN"/>
              </w:rPr>
              <w:t>2</w:t>
            </w:r>
            <w:r w:rsidR="00340B9C">
              <w:rPr>
                <w:rFonts w:ascii="Verdana" w:hAnsi="Verdana"/>
                <w:b/>
                <w:sz w:val="20"/>
                <w:lang w:eastAsia="zh-CN"/>
              </w:rPr>
              <w:t>7</w:t>
            </w:r>
            <w:r w:rsidR="00CD4E3B">
              <w:rPr>
                <w:rFonts w:ascii="Verdana" w:hAnsi="Verdana"/>
                <w:b/>
                <w:sz w:val="20"/>
                <w:lang w:eastAsia="zh-CN"/>
              </w:rPr>
              <w:t xml:space="preserve"> July 2012</w:t>
            </w:r>
          </w:p>
        </w:tc>
      </w:tr>
      <w:tr w:rsidR="008C77B2" w14:paraId="5CAE0F8D" w14:textId="77777777">
        <w:trPr>
          <w:cantSplit/>
        </w:trPr>
        <w:tc>
          <w:tcPr>
            <w:tcW w:w="6580" w:type="dxa"/>
            <w:vMerge/>
          </w:tcPr>
          <w:p w14:paraId="5CAE0F8B" w14:textId="77777777" w:rsidR="008C77B2" w:rsidRDefault="008C77B2">
            <w:pPr>
              <w:spacing w:before="60"/>
              <w:jc w:val="center"/>
              <w:rPr>
                <w:b/>
                <w:smallCaps/>
                <w:sz w:val="32"/>
                <w:lang w:eastAsia="zh-CN"/>
              </w:rPr>
            </w:pPr>
            <w:bookmarkStart w:id="5" w:name="dorlang" w:colFirst="1" w:colLast="1"/>
            <w:bookmarkEnd w:id="4"/>
          </w:p>
        </w:tc>
        <w:tc>
          <w:tcPr>
            <w:tcW w:w="3451" w:type="dxa"/>
          </w:tcPr>
          <w:p w14:paraId="5CAE0F8C" w14:textId="77777777" w:rsidR="008C77B2" w:rsidRDefault="00CD4E3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C77B2" w14:paraId="5CAE0F8F" w14:textId="77777777">
        <w:trPr>
          <w:cantSplit/>
        </w:trPr>
        <w:tc>
          <w:tcPr>
            <w:tcW w:w="10031" w:type="dxa"/>
            <w:gridSpan w:val="2"/>
          </w:tcPr>
          <w:p w14:paraId="5CAE0F8E" w14:textId="184B5BAA" w:rsidR="008C77B2" w:rsidRPr="006C7A70" w:rsidRDefault="00CD4E3B" w:rsidP="001D23A4">
            <w:pPr>
              <w:pStyle w:val="Source"/>
              <w:spacing w:before="480"/>
            </w:pPr>
            <w:bookmarkStart w:id="6" w:name="dsource" w:colFirst="0" w:colLast="0"/>
            <w:bookmarkEnd w:id="5"/>
            <w:r w:rsidRPr="006C7A70">
              <w:t>Working Party 5D</w:t>
            </w:r>
          </w:p>
        </w:tc>
      </w:tr>
      <w:tr w:rsidR="008C77B2" w14:paraId="5CAE0F91" w14:textId="77777777">
        <w:trPr>
          <w:cantSplit/>
        </w:trPr>
        <w:tc>
          <w:tcPr>
            <w:tcW w:w="10031" w:type="dxa"/>
            <w:gridSpan w:val="2"/>
          </w:tcPr>
          <w:p w14:paraId="520D3A3F" w14:textId="77AC2EAB" w:rsidR="008C77B2" w:rsidRDefault="00CD4E3B" w:rsidP="006C7A70">
            <w:pPr>
              <w:pStyle w:val="Title1"/>
            </w:pPr>
            <w:bookmarkStart w:id="7" w:name="drec" w:colFirst="0" w:colLast="0"/>
            <w:bookmarkEnd w:id="6"/>
            <w:r>
              <w:t xml:space="preserve">LIAISON STATEMENT TO </w:t>
            </w:r>
            <w:r w:rsidR="00950F80">
              <w:t xml:space="preserve">3GPP and IEEE </w:t>
            </w:r>
          </w:p>
          <w:p w14:paraId="5CAE0F90" w14:textId="64784904" w:rsidR="00950F80" w:rsidRPr="00950F80" w:rsidRDefault="00950F80" w:rsidP="001D23A4">
            <w:pPr>
              <w:pStyle w:val="Title1"/>
            </w:pPr>
            <w:r>
              <w:t xml:space="preserve">parameters for LTE-Advanced and </w:t>
            </w:r>
            <w:r>
              <w:rPr>
                <w:lang w:val="en-US"/>
              </w:rPr>
              <w:t>WirelessMAN</w:t>
            </w:r>
            <w:r>
              <w:rPr>
                <w:lang w:val="en-US"/>
              </w:rPr>
              <w:noBreakHyphen/>
              <w:t>Advanced</w:t>
            </w:r>
            <w:r>
              <w:t xml:space="preserve"> </w:t>
            </w:r>
            <w:r w:rsidR="001D23A4">
              <w:br/>
            </w:r>
            <w:r>
              <w:t>for use in sharing studies</w:t>
            </w:r>
          </w:p>
        </w:tc>
      </w:tr>
    </w:tbl>
    <w:p w14:paraId="5CAE0F92" w14:textId="77777777" w:rsidR="008C77B2" w:rsidRDefault="00CD4E3B">
      <w:pPr>
        <w:pStyle w:val="Heading1"/>
      </w:pPr>
      <w:bookmarkStart w:id="8" w:name="dbreak"/>
      <w:bookmarkEnd w:id="7"/>
      <w:bookmarkEnd w:id="8"/>
      <w:r>
        <w:t>1</w:t>
      </w:r>
      <w:r>
        <w:tab/>
        <w:t>Summary</w:t>
      </w:r>
    </w:p>
    <w:p w14:paraId="5CAE0F93" w14:textId="2E9A425A" w:rsidR="008C77B2" w:rsidRDefault="00CD4E3B">
      <w:r>
        <w:t xml:space="preserve">This </w:t>
      </w:r>
      <w:r w:rsidR="00340B9C">
        <w:t xml:space="preserve">Liaison </w:t>
      </w:r>
      <w:r>
        <w:t xml:space="preserve">statement requests information on parameters for LTE-Advanced and </w:t>
      </w:r>
      <w:r w:rsidR="00037A17">
        <w:rPr>
          <w:lang w:val="en-US"/>
        </w:rPr>
        <w:t>WirelessMAN</w:t>
      </w:r>
      <w:r w:rsidR="00037A17">
        <w:rPr>
          <w:lang w:val="en-US"/>
        </w:rPr>
        <w:noBreakHyphen/>
      </w:r>
      <w:r>
        <w:rPr>
          <w:lang w:val="en-US"/>
        </w:rPr>
        <w:t>Advanced</w:t>
      </w:r>
      <w:r>
        <w:t xml:space="preserve"> for use in sharing studies with other rad</w:t>
      </w:r>
      <w:r w:rsidR="00037A17">
        <w:t>iocommunication services in ITU</w:t>
      </w:r>
      <w:r w:rsidR="00037A17">
        <w:noBreakHyphen/>
      </w:r>
      <w:r>
        <w:t>R.</w:t>
      </w:r>
    </w:p>
    <w:p w14:paraId="5CAE0F94" w14:textId="2387543A" w:rsidR="008C77B2" w:rsidRDefault="00CD4E3B">
      <w:r>
        <w:t>The ITU World Radiocommunication Conference 2012 (WRC-12), which met in January/February 2012, agreed two agenda items relating to spectrum for IMT</w:t>
      </w:r>
      <w:r>
        <w:rPr>
          <w:rStyle w:val="FootnoteReference"/>
        </w:rPr>
        <w:footnoteReference w:id="1"/>
      </w:r>
      <w:r>
        <w:t xml:space="preserve"> for consideration at WRC-15</w:t>
      </w:r>
      <w:r>
        <w:rPr>
          <w:rStyle w:val="FootnoteReference"/>
        </w:rPr>
        <w:footnoteReference w:id="2"/>
      </w:r>
      <w:r>
        <w:t>:</w:t>
      </w:r>
    </w:p>
    <w:p w14:paraId="5CAE0F95" w14:textId="77777777" w:rsidR="008C77B2" w:rsidRDefault="00CD4E3B">
      <w:pPr>
        <w:pStyle w:val="enumlev1"/>
      </w:pPr>
      <w:r>
        <w:t>–</w:t>
      </w:r>
      <w:r>
        <w:tab/>
        <w:t>Agenda item 1.1 considers additional allocations to the mobile service and identification of additional frequency bands for IMT;</w:t>
      </w:r>
    </w:p>
    <w:p w14:paraId="5CAE0F96" w14:textId="77777777" w:rsidR="008C77B2" w:rsidRDefault="00CD4E3B">
      <w:pPr>
        <w:pStyle w:val="enumlev1"/>
        <w:ind w:right="-426"/>
      </w:pPr>
      <w:r>
        <w:t>–</w:t>
      </w:r>
      <w:r>
        <w:tab/>
        <w:t>Agenda item 1.2 examines the use of the frequency band 694-790 MHz in ITU-R Region 1.</w:t>
      </w:r>
    </w:p>
    <w:p w14:paraId="5CAE0F97" w14:textId="3D0D8AA6" w:rsidR="008C77B2" w:rsidRDefault="00CD4E3B" w:rsidP="00340B9C">
      <w:r>
        <w:t xml:space="preserve">Working Party 5D (WP 5D) has been requested to provide parameters for use in sharing studies for these two Agenda items. ITU-R has developed sharing parameters for IMT-2000 technologies, which are contained in Report ITU-R </w:t>
      </w:r>
      <w:hyperlink r:id="rId12" w:history="1">
        <w:r w:rsidR="00340B9C">
          <w:rPr>
            <w:rStyle w:val="Hyperlink"/>
          </w:rPr>
          <w:t>M.2039-2</w:t>
        </w:r>
      </w:hyperlink>
      <w:r>
        <w:t>. Furthermore, parameters specifically for the 790</w:t>
      </w:r>
      <w:r>
        <w:noBreakHyphen/>
        <w:t>862 MHz band were developed for the purposes of supporting the sharing studies undertaken by JTG 5-6, which were completed in 2010. WP 5D has started the task of updating these parameters for IMT-Advanced, and requests the support of 3GPP and IEEE in this work.</w:t>
      </w:r>
    </w:p>
    <w:p w14:paraId="5CAE0F98" w14:textId="77777777" w:rsidR="008C77B2" w:rsidRDefault="00CD4E3B">
      <w:pPr>
        <w:pStyle w:val="Heading1"/>
      </w:pPr>
      <w:r>
        <w:t>2</w:t>
      </w:r>
      <w:r>
        <w:tab/>
        <w:t>Introduction</w:t>
      </w:r>
    </w:p>
    <w:p w14:paraId="5CAE0F99" w14:textId="2997A7B0" w:rsidR="008C77B2" w:rsidRDefault="00CD4E3B">
      <w:pPr>
        <w:spacing w:after="120"/>
        <w:rPr>
          <w:szCs w:val="24"/>
        </w:rPr>
      </w:pPr>
      <w:r>
        <w:rPr>
          <w:szCs w:val="24"/>
        </w:rPr>
        <w:t>ITU World Radio Conference 2012 (WRC-12) agreed Agenda items 1.1 (AI 1.1) and 1.2 (AI 1.2) as work topics for consideration and decisions at the World Radio Conference 2015 (WRC-15) (planned for Oct/Nov 2015).</w:t>
      </w:r>
    </w:p>
    <w:p w14:paraId="5CAE0F9B" w14:textId="77777777" w:rsidR="008C77B2" w:rsidRDefault="00CD4E3B">
      <w:r>
        <w:t>In the work structure for AI 1.1 and AI 1.2, certain studies on “sharing &amp; compatibility” were designated to be addressed by a special purpose new entity, a Joint Task Group (JTG 4-5-6-7), created by the first Conference Preparatory Meeting (CPM 15-1) which took place immediately after WRC-12.</w:t>
      </w:r>
    </w:p>
    <w:p w14:paraId="5CAE0F9C" w14:textId="77777777" w:rsidR="008C77B2" w:rsidRDefault="00CD4E3B">
      <w:pPr>
        <w:spacing w:after="120"/>
        <w:rPr>
          <w:szCs w:val="24"/>
        </w:rPr>
      </w:pPr>
      <w:r>
        <w:rPr>
          <w:szCs w:val="24"/>
        </w:rPr>
        <w:lastRenderedPageBreak/>
        <w:t>Working Party 5D (WP 5D) as the lead group for IMT in ITU-R also has responsibility for certain work on AI 1.1 and AI 1.2.</w:t>
      </w:r>
    </w:p>
    <w:p w14:paraId="5CAE0F9D" w14:textId="77777777" w:rsidR="008C77B2" w:rsidRDefault="00CD4E3B">
      <w:pPr>
        <w:pStyle w:val="Heading1"/>
      </w:pPr>
      <w:r>
        <w:t>3</w:t>
      </w:r>
      <w:r>
        <w:tab/>
        <w:t>Information needed to support sharing studies under AIs 1.1 and 1.2</w:t>
      </w:r>
    </w:p>
    <w:p w14:paraId="5CAE0F9E" w14:textId="5A3983CF" w:rsidR="008C77B2" w:rsidRDefault="00CD4E3B">
      <w:pPr>
        <w:spacing w:after="120"/>
        <w:rPr>
          <w:szCs w:val="24"/>
        </w:rPr>
      </w:pPr>
      <w:r>
        <w:rPr>
          <w:szCs w:val="24"/>
        </w:rPr>
        <w:t>The work of WP 5D includes supporting the JTG</w:t>
      </w:r>
      <w:r w:rsidR="00F91C79">
        <w:rPr>
          <w:szCs w:val="24"/>
        </w:rPr>
        <w:t xml:space="preserve"> </w:t>
      </w:r>
      <w:r w:rsidR="00F91C79">
        <w:t>4-5-6-7</w:t>
      </w:r>
      <w:r>
        <w:rPr>
          <w:szCs w:val="24"/>
        </w:rPr>
        <w:t>’s designated studies by providing to the JTG</w:t>
      </w:r>
      <w:r w:rsidR="001C0A31">
        <w:rPr>
          <w:szCs w:val="24"/>
        </w:rPr>
        <w:t xml:space="preserve"> 4-5-6-7</w:t>
      </w:r>
      <w:r>
        <w:rPr>
          <w:szCs w:val="24"/>
        </w:rPr>
        <w:t xml:space="preserve"> information on IMT technologies (both IMT-2000 and IMT-Advanced) which includes parameters and criteria that would be utilized in sharing studies carried out in JTG 4-5-6-7.</w:t>
      </w:r>
    </w:p>
    <w:p w14:paraId="5CAE0F9F" w14:textId="77777777" w:rsidR="008C77B2" w:rsidRDefault="00CD4E3B">
      <w:pPr>
        <w:spacing w:after="120"/>
        <w:rPr>
          <w:szCs w:val="24"/>
        </w:rPr>
      </w:pPr>
      <w:r>
        <w:rPr>
          <w:szCs w:val="24"/>
        </w:rPr>
        <w:t>Deadlines were established for WP 5D to provide the relevant parameters to JTG 4-5-6-7:</w:t>
      </w:r>
    </w:p>
    <w:p w14:paraId="5CAE0FA0" w14:textId="77777777" w:rsidR="008C77B2" w:rsidRDefault="00CD4E3B">
      <w:pPr>
        <w:pStyle w:val="enumlev1"/>
      </w:pPr>
      <w:r>
        <w:t>–</w:t>
      </w:r>
      <w:r>
        <w:tab/>
        <w:t>For Agenda item 1.1, by 31 July 2013.</w:t>
      </w:r>
    </w:p>
    <w:p w14:paraId="5CAE0FA1" w14:textId="77777777" w:rsidR="008C77B2" w:rsidRDefault="00CD4E3B">
      <w:pPr>
        <w:pStyle w:val="enumlev1"/>
      </w:pPr>
      <w:r>
        <w:t>–</w:t>
      </w:r>
      <w:r>
        <w:tab/>
        <w:t>For Agenda item 1.2 before 31 December 2012.</w:t>
      </w:r>
    </w:p>
    <w:p w14:paraId="5CAE0FA2" w14:textId="77777777" w:rsidR="008C77B2" w:rsidRDefault="00CD4E3B">
      <w:pPr>
        <w:spacing w:after="120"/>
        <w:rPr>
          <w:szCs w:val="24"/>
        </w:rPr>
      </w:pPr>
      <w:r>
        <w:rPr>
          <w:szCs w:val="24"/>
        </w:rPr>
        <w:t>It was noted in WP 5D in its first meeting in the new ITU-R Study Period that:</w:t>
      </w:r>
    </w:p>
    <w:p w14:paraId="5CAE0FA3" w14:textId="77777777" w:rsidR="008C77B2" w:rsidRDefault="00CD4E3B">
      <w:pPr>
        <w:pStyle w:val="enumlev1"/>
      </w:pPr>
      <w:r>
        <w:t>–</w:t>
      </w:r>
      <w:r>
        <w:tab/>
      </w:r>
      <w:r>
        <w:rPr>
          <w:u w:val="single"/>
        </w:rPr>
        <w:t>For the IMT-2000 technologies</w:t>
      </w:r>
      <w:r>
        <w:t xml:space="preserve">, existing Report ITU-R M.2039-2 (published 2010) </w:t>
      </w:r>
      <w:r>
        <w:rPr>
          <w:i/>
        </w:rPr>
        <w:t xml:space="preserve">“Characteristics of terrestrial IMT-2000 systems for frequency sharing and interference analyses” </w:t>
      </w:r>
      <w:r>
        <w:t>addresses these types of parameters, and 3GPP and IEEE contributed to the development/updating of this Report.</w:t>
      </w:r>
    </w:p>
    <w:p w14:paraId="5CAE0FA4" w14:textId="77777777" w:rsidR="008C77B2" w:rsidRDefault="00CD4E3B">
      <w:pPr>
        <w:pStyle w:val="enumlev1"/>
      </w:pPr>
      <w:r>
        <w:t>–</w:t>
      </w:r>
      <w:r>
        <w:tab/>
      </w:r>
      <w:r>
        <w:rPr>
          <w:u w:val="single"/>
        </w:rPr>
        <w:t>For the IMT-Advanced technologies</w:t>
      </w:r>
      <w:r>
        <w:t>, these are not addressed in Report ITU-R M.2039, as the final approval of the IMT-Advanced technologies defined in Recommendation ITU-R M.2012 occurred in ITU-R in January 2012.</w:t>
      </w:r>
    </w:p>
    <w:p w14:paraId="5CAE0FA5" w14:textId="77777777" w:rsidR="008C77B2" w:rsidRDefault="00CD4E3B">
      <w:r>
        <w:t>Consequently, while Report ITU-R M.2039 addresses the relevant parameters for IMT-2000, these will need to be developed by WP 5D for IMT-Advanced, working in conjunction with the external organizations – 3GPP and IEEE. WP 5D has started work on these sharing, compatibility and protection criteria for IMT-Advanced systems for WRC-15 studies.</w:t>
      </w:r>
    </w:p>
    <w:p w14:paraId="5CAE0FA6" w14:textId="77777777" w:rsidR="008C77B2" w:rsidRDefault="00CD4E3B">
      <w:pPr>
        <w:pStyle w:val="Heading1"/>
      </w:pPr>
      <w:r>
        <w:t>4</w:t>
      </w:r>
      <w:r>
        <w:tab/>
        <w:t>Request to 3GPP and IEEE</w:t>
      </w:r>
    </w:p>
    <w:p w14:paraId="5CAE0FA7" w14:textId="208124C8" w:rsidR="008C77B2" w:rsidRDefault="00CD4E3B">
      <w:pPr>
        <w:rPr>
          <w:szCs w:val="24"/>
        </w:rPr>
      </w:pPr>
      <w:r>
        <w:rPr>
          <w:szCs w:val="24"/>
        </w:rPr>
        <w:t>Working Party 5D will need to develop parameters for the studies for both AIs 1.1 and 1.2.  However, due to the deadlines established by the JTG</w:t>
      </w:r>
      <w:r w:rsidR="00F91C79">
        <w:rPr>
          <w:szCs w:val="24"/>
        </w:rPr>
        <w:t xml:space="preserve"> </w:t>
      </w:r>
      <w:r w:rsidR="00F91C79">
        <w:t>4-5-6-7</w:t>
      </w:r>
      <w:r>
        <w:rPr>
          <w:szCs w:val="24"/>
        </w:rPr>
        <w:t xml:space="preserve"> for receipt of information, WP 5D will undertake this work in two Parts:</w:t>
      </w:r>
    </w:p>
    <w:p w14:paraId="5CAE0FA8" w14:textId="4B8CE2A9" w:rsidR="008C77B2" w:rsidRDefault="00CD4E3B" w:rsidP="00340B9C">
      <w:pPr>
        <w:pStyle w:val="enumlev1"/>
        <w:ind w:left="0" w:firstLine="0"/>
      </w:pPr>
      <w:r>
        <w:rPr>
          <w:b/>
        </w:rPr>
        <w:t>Part 1:</w:t>
      </w:r>
      <w:r>
        <w:t xml:space="preserve"> WP 5D is seeking the information relevant to the bands below 1 GHz (and for AI 1.2 particularly the band range of around 694 to 790 MHz) </w:t>
      </w:r>
    </w:p>
    <w:p w14:paraId="5CAE0FA9" w14:textId="4ED14823" w:rsidR="008C77B2" w:rsidRDefault="00CD4E3B">
      <w:pPr>
        <w:pStyle w:val="enumlev2"/>
      </w:pPr>
      <w:r>
        <w:t>i)</w:t>
      </w:r>
      <w:r>
        <w:tab/>
        <w:t>Attachment 1 contains the generic set of parameters for IMT in the band 790</w:t>
      </w:r>
      <w:r>
        <w:noBreakHyphen/>
        <w:t>862 MHz that were used for sharing studies called for under AI 1.17 of WRC-12</w:t>
      </w:r>
      <w:r>
        <w:rPr>
          <w:rStyle w:val="FootnoteReference"/>
        </w:rPr>
        <w:footnoteReference w:id="3"/>
      </w:r>
      <w:r>
        <w:t>. Please provide comments to Working Party 5D on the suitability of these parameters for the IMT-Advanced technologies in Recommendation ITU</w:t>
      </w:r>
      <w:r>
        <w:noBreakHyphen/>
        <w:t xml:space="preserve">R </w:t>
      </w:r>
      <w:hyperlink r:id="rId13" w:history="1">
        <w:r w:rsidRPr="00340B9C">
          <w:rPr>
            <w:rStyle w:val="Hyperlink"/>
          </w:rPr>
          <w:t>M.2012</w:t>
        </w:r>
      </w:hyperlink>
      <w:r>
        <w:t>.</w:t>
      </w:r>
    </w:p>
    <w:p w14:paraId="5CAE0FAA" w14:textId="2F27066E" w:rsidR="008C77B2" w:rsidRDefault="00CD4E3B">
      <w:pPr>
        <w:pStyle w:val="enumlev2"/>
        <w:rPr>
          <w:szCs w:val="24"/>
        </w:rPr>
      </w:pPr>
      <w:r>
        <w:tab/>
      </w:r>
      <w:r>
        <w:rPr>
          <w:szCs w:val="24"/>
        </w:rPr>
        <w:t xml:space="preserve">For deployment dependent parameters in the table in </w:t>
      </w:r>
      <w:r w:rsidR="00880DF1">
        <w:rPr>
          <w:szCs w:val="24"/>
        </w:rPr>
        <w:t xml:space="preserve">Attachment </w:t>
      </w:r>
      <w:r>
        <w:rPr>
          <w:szCs w:val="24"/>
        </w:rPr>
        <w:t>1, WP 5D would appreciate any appropriate background information to support the parameters. In particular:</w:t>
      </w:r>
    </w:p>
    <w:p w14:paraId="5CAE0FAB" w14:textId="77777777" w:rsidR="008C77B2" w:rsidRDefault="00CD4E3B">
      <w:pPr>
        <w:pStyle w:val="enumlev2"/>
        <w:ind w:left="2160" w:hanging="1026"/>
        <w:rPr>
          <w:szCs w:val="24"/>
        </w:rPr>
      </w:pPr>
      <w:r>
        <w:rPr>
          <w:szCs w:val="24"/>
        </w:rPr>
        <w:tab/>
        <w:t>•</w:t>
      </w:r>
      <w:r>
        <w:rPr>
          <w:szCs w:val="24"/>
        </w:rPr>
        <w:tab/>
        <w:t>For power control (row 15 in Attachment 1) it would be beneficial for WP 5D to receive information on how to incorporate the power control mechanism in sharing studies.</w:t>
      </w:r>
    </w:p>
    <w:p w14:paraId="5CAE0FAC" w14:textId="77777777" w:rsidR="008C77B2" w:rsidRDefault="00CD4E3B">
      <w:pPr>
        <w:pStyle w:val="enumlev2"/>
        <w:ind w:left="2160" w:hanging="1026"/>
        <w:rPr>
          <w:szCs w:val="24"/>
        </w:rPr>
      </w:pPr>
      <w:r>
        <w:rPr>
          <w:szCs w:val="24"/>
        </w:rPr>
        <w:tab/>
        <w:t>•</w:t>
      </w:r>
      <w:r>
        <w:rPr>
          <w:szCs w:val="24"/>
        </w:rPr>
        <w:tab/>
        <w:t>For density of users and density of user equipment (rows 16 and 17 in Attachment 1), WP 5D would be grateful for information on the number of transmitters (in user equipment) that are transmitting at the same instant in conjunction with scheduler and traffic models.</w:t>
      </w:r>
    </w:p>
    <w:p w14:paraId="5CAE0FAD" w14:textId="77777777" w:rsidR="008C77B2" w:rsidRDefault="00CD4E3B">
      <w:pPr>
        <w:pStyle w:val="enumlev2"/>
        <w:ind w:right="-142"/>
      </w:pPr>
      <w:r>
        <w:t>ii)</w:t>
      </w:r>
      <w:r>
        <w:tab/>
        <w:t>Please comment on whether these parameters would also be appropriate for adjacent frequency ranges.</w:t>
      </w:r>
    </w:p>
    <w:p w14:paraId="5CAE0FAE" w14:textId="77777777" w:rsidR="008C77B2" w:rsidRDefault="00CD4E3B">
      <w:pPr>
        <w:pStyle w:val="enumlev2"/>
        <w:ind w:right="-142"/>
        <w:rPr>
          <w:u w:val="single"/>
        </w:rPr>
      </w:pPr>
      <w:r>
        <w:t>iii)</w:t>
      </w:r>
      <w:r>
        <w:tab/>
        <w:t>WP 5D kindly asks for the Part 1 information in time for its October 2012 meeting (deadline for document submissions is 26 September 2012 at 16:00 hours UTC), in order to meet the deadline for WP 5D to provide this information to JTG 4-5-6-7 before 31 December 2012.</w:t>
      </w:r>
    </w:p>
    <w:p w14:paraId="5CAE0FAF" w14:textId="4DC94EF1" w:rsidR="008C77B2" w:rsidRDefault="00CD4E3B" w:rsidP="00340B9C">
      <w:pPr>
        <w:pStyle w:val="enumlev1"/>
        <w:spacing w:before="120"/>
        <w:ind w:left="0" w:firstLine="0"/>
      </w:pPr>
      <w:r>
        <w:rPr>
          <w:b/>
        </w:rPr>
        <w:t>Part 2:</w:t>
      </w:r>
      <w:r>
        <w:t xml:space="preserve"> WP 5D is seeking the information relevant to “suitable frequency ranges” being considered under </w:t>
      </w:r>
      <w:r>
        <w:rPr>
          <w:iCs/>
        </w:rPr>
        <w:t xml:space="preserve">AI 1.1. </w:t>
      </w:r>
      <w:r>
        <w:t>The “suitable frequency ranges” proposed in contributions to WP 5D to date extend from 470 MHz to above 6 GHz, including the bands listed in Table 1 of Report ITU-R M.2039-2 or frequency ranges adjacent to them.</w:t>
      </w:r>
    </w:p>
    <w:p w14:paraId="5CAE0FB0" w14:textId="77777777" w:rsidR="008C77B2" w:rsidRDefault="00CD4E3B">
      <w:pPr>
        <w:pStyle w:val="enumlev2"/>
      </w:pPr>
      <w:r>
        <w:t>i)</w:t>
      </w:r>
      <w:r>
        <w:tab/>
        <w:t>Utilizing the enclosed template in Attachment 2, please provide to Working Party 5D the information on IMT-Advanced system parameters corresponding to the respective technologies in Recommendation ITU-R M.2012 in support of sharing and compatibility studies in the “suitable frequency ranges”.</w:t>
      </w:r>
    </w:p>
    <w:p w14:paraId="5CAE0FB1" w14:textId="77777777" w:rsidR="008C77B2" w:rsidRDefault="00CD4E3B">
      <w:pPr>
        <w:pStyle w:val="enumlev2"/>
        <w:ind w:right="-284"/>
      </w:pPr>
      <w:r>
        <w:t>ii)</w:t>
      </w:r>
      <w:r>
        <w:tab/>
        <w:t>WP 5D kindly asks for Part 2 information in time for its July 2013 meeting, or earlier if possible (deadline for document submissions is 3 July 2013 at 16:00 hours UTC), in order to meet the deadline for WP 5D to provide this information to JTG 4-5-6-7 by 31 July 2013.</w:t>
      </w:r>
    </w:p>
    <w:p w14:paraId="5CAE0FB2" w14:textId="77777777" w:rsidR="008C77B2" w:rsidRDefault="00CD4E3B">
      <w:pPr>
        <w:pStyle w:val="enumlev2"/>
        <w:rPr>
          <w:iCs/>
        </w:rPr>
      </w:pPr>
      <w:r>
        <w:rPr>
          <w:iCs/>
        </w:rPr>
        <w:t>iii)</w:t>
      </w:r>
      <w:r>
        <w:rPr>
          <w:i/>
        </w:rPr>
        <w:tab/>
      </w:r>
      <w:r>
        <w:t xml:space="preserve">This deadline is </w:t>
      </w:r>
      <w:r>
        <w:rPr>
          <w:iCs/>
        </w:rPr>
        <w:t>the final opportunity to provide responses to the liaison for all relevant frequency ranges, including any updates to the preliminary response received for Part 1.</w:t>
      </w:r>
    </w:p>
    <w:p w14:paraId="5CAE0FB3" w14:textId="77777777" w:rsidR="008C77B2" w:rsidRDefault="00CD4E3B">
      <w:pPr>
        <w:pStyle w:val="Heading1"/>
      </w:pPr>
      <w:r>
        <w:t>5</w:t>
      </w:r>
      <w:r>
        <w:tab/>
        <w:t>Administrative information</w:t>
      </w:r>
    </w:p>
    <w:p w14:paraId="5CAE0FB4" w14:textId="77777777" w:rsidR="008C77B2" w:rsidRDefault="00CD4E3B">
      <w:pPr>
        <w:rPr>
          <w:szCs w:val="24"/>
        </w:rPr>
      </w:pPr>
      <w:r>
        <w:rPr>
          <w:szCs w:val="24"/>
        </w:rPr>
        <w:t>The planned dates of the relevant WP 5D meetings are:</w:t>
      </w:r>
    </w:p>
    <w:p w14:paraId="5CAE0FB5" w14:textId="77777777" w:rsidR="008C77B2" w:rsidRDefault="008C77B2">
      <w:pPr>
        <w:spacing w:before="0"/>
        <w:rPr>
          <w:szCs w:val="24"/>
        </w:rPr>
      </w:pPr>
    </w:p>
    <w:tbl>
      <w:tblPr>
        <w:tblW w:w="94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16"/>
        <w:gridCol w:w="750"/>
        <w:gridCol w:w="1155"/>
        <w:gridCol w:w="1251"/>
        <w:gridCol w:w="207"/>
        <w:gridCol w:w="2478"/>
        <w:gridCol w:w="2253"/>
      </w:tblGrid>
      <w:tr w:rsidR="008C77B2" w14:paraId="5CAE0FBF" w14:textId="77777777" w:rsidTr="00340B9C">
        <w:trPr>
          <w:tblHeader/>
          <w:tblCellSpacing w:w="0" w:type="dxa"/>
          <w:jc w:val="center"/>
        </w:trPr>
        <w:tc>
          <w:tcPr>
            <w:tcW w:w="1356" w:type="dxa"/>
            <w:shd w:val="clear" w:color="auto" w:fill="C0C0C0"/>
            <w:vAlign w:val="center"/>
          </w:tcPr>
          <w:p w14:paraId="5CAE0FB6" w14:textId="77777777" w:rsidR="008C77B2" w:rsidRDefault="00CD4E3B" w:rsidP="00340B9C">
            <w:pPr>
              <w:pStyle w:val="Tablehead"/>
            </w:pPr>
            <w:r>
              <w:t>ITU-R</w:t>
            </w:r>
            <w:r>
              <w:br/>
              <w:t>Group</w:t>
            </w:r>
          </w:p>
        </w:tc>
        <w:tc>
          <w:tcPr>
            <w:tcW w:w="509" w:type="dxa"/>
            <w:shd w:val="clear" w:color="auto" w:fill="C0C0C0"/>
            <w:vAlign w:val="center"/>
          </w:tcPr>
          <w:p w14:paraId="5CAE0FB7" w14:textId="22427D60" w:rsidR="008C77B2" w:rsidRDefault="00340B9C" w:rsidP="00340B9C">
            <w:pPr>
              <w:pStyle w:val="Tablehead"/>
            </w:pPr>
            <w:r>
              <w:t>Meeting</w:t>
            </w:r>
            <w:r>
              <w:br/>
            </w:r>
            <w:r w:rsidR="00CD4E3B">
              <w:t>No.</w:t>
            </w:r>
          </w:p>
        </w:tc>
        <w:tc>
          <w:tcPr>
            <w:tcW w:w="1171" w:type="dxa"/>
            <w:shd w:val="clear" w:color="auto" w:fill="C0C0C0"/>
            <w:vAlign w:val="center"/>
          </w:tcPr>
          <w:p w14:paraId="5CAE0FB9" w14:textId="3BFCAB7A" w:rsidR="008C77B2" w:rsidRDefault="00CD4E3B" w:rsidP="00340B9C">
            <w:pPr>
              <w:pStyle w:val="Tablehead"/>
            </w:pPr>
            <w:r>
              <w:t>Start</w:t>
            </w:r>
            <w:r w:rsidR="00340B9C">
              <w:br/>
            </w:r>
            <w:r>
              <w:t>(planned)</w:t>
            </w:r>
          </w:p>
        </w:tc>
        <w:tc>
          <w:tcPr>
            <w:tcW w:w="1273" w:type="dxa"/>
            <w:shd w:val="clear" w:color="auto" w:fill="C0C0C0"/>
            <w:vAlign w:val="center"/>
          </w:tcPr>
          <w:p w14:paraId="5CAE0FBB" w14:textId="4A46B3A4" w:rsidR="008C77B2" w:rsidRDefault="00CD4E3B" w:rsidP="00340B9C">
            <w:pPr>
              <w:pStyle w:val="Tablehead"/>
            </w:pPr>
            <w:r>
              <w:t>Stop</w:t>
            </w:r>
            <w:r w:rsidR="00340B9C">
              <w:br/>
            </w:r>
            <w:r>
              <w:t>(planned)</w:t>
            </w:r>
          </w:p>
        </w:tc>
        <w:tc>
          <w:tcPr>
            <w:tcW w:w="216" w:type="dxa"/>
            <w:shd w:val="clear" w:color="auto" w:fill="C0C0C0"/>
            <w:vAlign w:val="center"/>
          </w:tcPr>
          <w:p w14:paraId="5CAE0FBC" w14:textId="77777777" w:rsidR="008C77B2" w:rsidRDefault="008C77B2" w:rsidP="00340B9C">
            <w:pPr>
              <w:pStyle w:val="Tablehead"/>
            </w:pPr>
          </w:p>
        </w:tc>
        <w:tc>
          <w:tcPr>
            <w:tcW w:w="2565" w:type="dxa"/>
            <w:shd w:val="clear" w:color="auto" w:fill="C0C0C0"/>
            <w:vAlign w:val="center"/>
          </w:tcPr>
          <w:p w14:paraId="5CAE0FBD" w14:textId="77777777" w:rsidR="008C77B2" w:rsidRDefault="00CD4E3B" w:rsidP="00340B9C">
            <w:pPr>
              <w:pStyle w:val="Tablehead"/>
            </w:pPr>
            <w:r>
              <w:t>Deadline for Inputs</w:t>
            </w:r>
          </w:p>
        </w:tc>
        <w:tc>
          <w:tcPr>
            <w:tcW w:w="2320" w:type="dxa"/>
            <w:shd w:val="clear" w:color="auto" w:fill="C0C0C0"/>
            <w:vAlign w:val="center"/>
          </w:tcPr>
          <w:p w14:paraId="5CAE0FBE" w14:textId="77777777" w:rsidR="008C77B2" w:rsidRDefault="00CD4E3B" w:rsidP="00340B9C">
            <w:pPr>
              <w:pStyle w:val="Tablehead"/>
            </w:pPr>
            <w:r>
              <w:t>Requested from</w:t>
            </w:r>
            <w:r>
              <w:br/>
              <w:t>3GPP and IEEE</w:t>
            </w:r>
          </w:p>
        </w:tc>
      </w:tr>
      <w:tr w:rsidR="008C77B2" w14:paraId="5CAE0FC7" w14:textId="77777777">
        <w:trPr>
          <w:tblCellSpacing w:w="0" w:type="dxa"/>
          <w:jc w:val="center"/>
        </w:trPr>
        <w:tc>
          <w:tcPr>
            <w:tcW w:w="1356" w:type="dxa"/>
            <w:shd w:val="clear" w:color="auto" w:fill="FFFFFF"/>
          </w:tcPr>
          <w:p w14:paraId="5CAE0FC0" w14:textId="77777777" w:rsidR="008C77B2" w:rsidRDefault="00CD4E3B">
            <w:pPr>
              <w:pStyle w:val="Tabletext"/>
              <w:jc w:val="center"/>
            </w:pPr>
            <w:r>
              <w:t>WP 5D</w:t>
            </w:r>
          </w:p>
        </w:tc>
        <w:tc>
          <w:tcPr>
            <w:tcW w:w="509" w:type="dxa"/>
            <w:shd w:val="clear" w:color="auto" w:fill="FFFFFF"/>
          </w:tcPr>
          <w:p w14:paraId="5CAE0FC1" w14:textId="77777777" w:rsidR="008C77B2" w:rsidRDefault="00CD4E3B">
            <w:pPr>
              <w:pStyle w:val="Tabletext"/>
              <w:jc w:val="center"/>
              <w:rPr>
                <w:color w:val="000000"/>
              </w:rPr>
            </w:pPr>
            <w:r>
              <w:rPr>
                <w:color w:val="000000"/>
              </w:rPr>
              <w:t>13</w:t>
            </w:r>
          </w:p>
        </w:tc>
        <w:tc>
          <w:tcPr>
            <w:tcW w:w="1171" w:type="dxa"/>
            <w:shd w:val="clear" w:color="auto" w:fill="FFFFFF"/>
          </w:tcPr>
          <w:p w14:paraId="5CAE0FC2" w14:textId="77777777" w:rsidR="008C77B2" w:rsidRDefault="00CD4E3B">
            <w:pPr>
              <w:pStyle w:val="Tabletext"/>
              <w:jc w:val="center"/>
              <w:rPr>
                <w:color w:val="000000"/>
              </w:rPr>
            </w:pPr>
            <w:r>
              <w:rPr>
                <w:color w:val="000000"/>
              </w:rPr>
              <w:t>16 July 12</w:t>
            </w:r>
          </w:p>
        </w:tc>
        <w:tc>
          <w:tcPr>
            <w:tcW w:w="1273" w:type="dxa"/>
            <w:shd w:val="clear" w:color="auto" w:fill="FFFFFF"/>
          </w:tcPr>
          <w:p w14:paraId="5CAE0FC3" w14:textId="77777777" w:rsidR="008C77B2" w:rsidRDefault="00CD4E3B">
            <w:pPr>
              <w:pStyle w:val="Tabletext"/>
              <w:jc w:val="center"/>
              <w:rPr>
                <w:color w:val="000000"/>
              </w:rPr>
            </w:pPr>
            <w:r>
              <w:rPr>
                <w:color w:val="000000"/>
              </w:rPr>
              <w:t>20 July 12</w:t>
            </w:r>
          </w:p>
        </w:tc>
        <w:tc>
          <w:tcPr>
            <w:tcW w:w="216" w:type="dxa"/>
            <w:shd w:val="clear" w:color="auto" w:fill="FFFFFF"/>
          </w:tcPr>
          <w:p w14:paraId="5CAE0FC4" w14:textId="77777777" w:rsidR="008C77B2" w:rsidRDefault="008C77B2">
            <w:pPr>
              <w:pStyle w:val="Tabletext"/>
              <w:jc w:val="center"/>
              <w:rPr>
                <w:color w:val="000000"/>
              </w:rPr>
            </w:pPr>
          </w:p>
        </w:tc>
        <w:tc>
          <w:tcPr>
            <w:tcW w:w="2565" w:type="dxa"/>
            <w:shd w:val="clear" w:color="auto" w:fill="FFFFFF"/>
          </w:tcPr>
          <w:p w14:paraId="5CAE0FC5" w14:textId="77777777" w:rsidR="008C77B2" w:rsidRDefault="008C77B2">
            <w:pPr>
              <w:pStyle w:val="Tabletext"/>
              <w:jc w:val="center"/>
              <w:rPr>
                <w:color w:val="000000"/>
              </w:rPr>
            </w:pPr>
          </w:p>
        </w:tc>
        <w:tc>
          <w:tcPr>
            <w:tcW w:w="2320" w:type="dxa"/>
            <w:shd w:val="clear" w:color="auto" w:fill="FFFFFF"/>
          </w:tcPr>
          <w:p w14:paraId="5CAE0FC6" w14:textId="77777777" w:rsidR="008C77B2" w:rsidRDefault="008C77B2">
            <w:pPr>
              <w:pStyle w:val="Tabletext"/>
              <w:jc w:val="center"/>
              <w:rPr>
                <w:color w:val="000000"/>
              </w:rPr>
            </w:pPr>
          </w:p>
        </w:tc>
      </w:tr>
      <w:tr w:rsidR="008C77B2" w14:paraId="5CAE0FCF" w14:textId="77777777">
        <w:trPr>
          <w:tblCellSpacing w:w="0" w:type="dxa"/>
          <w:jc w:val="center"/>
        </w:trPr>
        <w:tc>
          <w:tcPr>
            <w:tcW w:w="1356" w:type="dxa"/>
            <w:shd w:val="clear" w:color="auto" w:fill="FFFFFF"/>
          </w:tcPr>
          <w:p w14:paraId="5CAE0FC8" w14:textId="77777777" w:rsidR="008C77B2" w:rsidRDefault="00CD4E3B">
            <w:pPr>
              <w:pStyle w:val="Tabletext"/>
              <w:jc w:val="center"/>
              <w:rPr>
                <w:b/>
              </w:rPr>
            </w:pPr>
            <w:r>
              <w:rPr>
                <w:b/>
              </w:rPr>
              <w:t>WP 5D</w:t>
            </w:r>
          </w:p>
        </w:tc>
        <w:tc>
          <w:tcPr>
            <w:tcW w:w="509" w:type="dxa"/>
            <w:shd w:val="clear" w:color="auto" w:fill="FFFFFF"/>
          </w:tcPr>
          <w:p w14:paraId="5CAE0FC9" w14:textId="77777777" w:rsidR="008C77B2" w:rsidRDefault="00CD4E3B">
            <w:pPr>
              <w:pStyle w:val="Tabletext"/>
              <w:jc w:val="center"/>
              <w:rPr>
                <w:b/>
                <w:color w:val="000000"/>
              </w:rPr>
            </w:pPr>
            <w:r>
              <w:rPr>
                <w:b/>
                <w:color w:val="000000"/>
              </w:rPr>
              <w:t>14</w:t>
            </w:r>
          </w:p>
        </w:tc>
        <w:tc>
          <w:tcPr>
            <w:tcW w:w="1171" w:type="dxa"/>
            <w:shd w:val="clear" w:color="auto" w:fill="FFFFFF"/>
          </w:tcPr>
          <w:p w14:paraId="5CAE0FCA" w14:textId="77777777" w:rsidR="008C77B2" w:rsidRDefault="00CD4E3B">
            <w:pPr>
              <w:pStyle w:val="Tabletext"/>
              <w:jc w:val="center"/>
              <w:rPr>
                <w:b/>
                <w:color w:val="000000"/>
              </w:rPr>
            </w:pPr>
            <w:r>
              <w:rPr>
                <w:b/>
                <w:color w:val="000000"/>
              </w:rPr>
              <w:t>3 Oct. 12</w:t>
            </w:r>
          </w:p>
        </w:tc>
        <w:tc>
          <w:tcPr>
            <w:tcW w:w="1273" w:type="dxa"/>
            <w:shd w:val="clear" w:color="auto" w:fill="FFFFFF"/>
          </w:tcPr>
          <w:p w14:paraId="5CAE0FCB" w14:textId="77777777" w:rsidR="008C77B2" w:rsidRDefault="00CD4E3B">
            <w:pPr>
              <w:pStyle w:val="Tabletext"/>
              <w:jc w:val="center"/>
              <w:rPr>
                <w:b/>
                <w:color w:val="000000"/>
              </w:rPr>
            </w:pPr>
            <w:r>
              <w:rPr>
                <w:b/>
                <w:color w:val="000000"/>
              </w:rPr>
              <w:t>11 Oct. 12</w:t>
            </w:r>
          </w:p>
        </w:tc>
        <w:tc>
          <w:tcPr>
            <w:tcW w:w="216" w:type="dxa"/>
            <w:shd w:val="clear" w:color="auto" w:fill="FFFFFF"/>
          </w:tcPr>
          <w:p w14:paraId="5CAE0FCC" w14:textId="77777777" w:rsidR="008C77B2" w:rsidRDefault="008C77B2">
            <w:pPr>
              <w:pStyle w:val="Tabletext"/>
              <w:jc w:val="center"/>
              <w:rPr>
                <w:b/>
                <w:color w:val="000000"/>
              </w:rPr>
            </w:pPr>
          </w:p>
        </w:tc>
        <w:tc>
          <w:tcPr>
            <w:tcW w:w="2565" w:type="dxa"/>
            <w:shd w:val="clear" w:color="auto" w:fill="FFFFFF"/>
          </w:tcPr>
          <w:p w14:paraId="5CAE0FCD" w14:textId="77777777" w:rsidR="008C77B2" w:rsidRDefault="00CD4E3B">
            <w:pPr>
              <w:pStyle w:val="Tabletext"/>
              <w:jc w:val="center"/>
              <w:rPr>
                <w:b/>
                <w:color w:val="000000"/>
              </w:rPr>
            </w:pPr>
            <w:r>
              <w:rPr>
                <w:b/>
                <w:color w:val="000000"/>
              </w:rPr>
              <w:t xml:space="preserve">26 September 2012 </w:t>
            </w:r>
            <w:r>
              <w:rPr>
                <w:b/>
                <w:color w:val="000000"/>
              </w:rPr>
              <w:br/>
              <w:t>@ 16:00 hours UTC</w:t>
            </w:r>
          </w:p>
        </w:tc>
        <w:tc>
          <w:tcPr>
            <w:tcW w:w="2320" w:type="dxa"/>
            <w:shd w:val="clear" w:color="auto" w:fill="FFFFFF"/>
          </w:tcPr>
          <w:p w14:paraId="5CAE0FCE" w14:textId="77777777" w:rsidR="008C77B2" w:rsidRDefault="00CD4E3B">
            <w:pPr>
              <w:pStyle w:val="Tabletext"/>
              <w:jc w:val="center"/>
              <w:rPr>
                <w:b/>
                <w:color w:val="000000"/>
              </w:rPr>
            </w:pPr>
            <w:r>
              <w:rPr>
                <w:b/>
                <w:color w:val="000000"/>
              </w:rPr>
              <w:t>Part 1 Information</w:t>
            </w:r>
          </w:p>
        </w:tc>
      </w:tr>
      <w:tr w:rsidR="008C77B2" w14:paraId="5CAE0FD9" w14:textId="77777777">
        <w:trPr>
          <w:tblCellSpacing w:w="0" w:type="dxa"/>
          <w:jc w:val="center"/>
        </w:trPr>
        <w:tc>
          <w:tcPr>
            <w:tcW w:w="1356" w:type="dxa"/>
            <w:shd w:val="clear" w:color="auto" w:fill="FFFFFF"/>
          </w:tcPr>
          <w:p w14:paraId="5CAE0FD0" w14:textId="77777777" w:rsidR="008C77B2" w:rsidRDefault="00CD4E3B">
            <w:pPr>
              <w:pStyle w:val="Tabletext"/>
              <w:jc w:val="center"/>
            </w:pPr>
            <w:r>
              <w:t>WP 5D</w:t>
            </w:r>
          </w:p>
        </w:tc>
        <w:tc>
          <w:tcPr>
            <w:tcW w:w="509" w:type="dxa"/>
            <w:shd w:val="clear" w:color="auto" w:fill="FFFFFF"/>
          </w:tcPr>
          <w:p w14:paraId="5CAE0FD1" w14:textId="77777777" w:rsidR="008C77B2" w:rsidRDefault="00CD4E3B">
            <w:pPr>
              <w:pStyle w:val="Tabletext"/>
              <w:jc w:val="center"/>
              <w:rPr>
                <w:color w:val="000000"/>
              </w:rPr>
            </w:pPr>
            <w:r>
              <w:rPr>
                <w:color w:val="000000"/>
              </w:rPr>
              <w:t>15</w:t>
            </w:r>
          </w:p>
        </w:tc>
        <w:tc>
          <w:tcPr>
            <w:tcW w:w="1171" w:type="dxa"/>
            <w:shd w:val="clear" w:color="auto" w:fill="FFFFFF"/>
          </w:tcPr>
          <w:p w14:paraId="5CAE0FD2" w14:textId="77777777" w:rsidR="008C77B2" w:rsidRDefault="00CD4E3B">
            <w:pPr>
              <w:pStyle w:val="Tabletext"/>
              <w:jc w:val="center"/>
              <w:rPr>
                <w:color w:val="000000"/>
              </w:rPr>
            </w:pPr>
            <w:r>
              <w:rPr>
                <w:color w:val="000000"/>
              </w:rPr>
              <w:t>30 Jan 13</w:t>
            </w:r>
          </w:p>
          <w:p w14:paraId="5CAE0FD3" w14:textId="77777777" w:rsidR="008C77B2" w:rsidRDefault="008C77B2">
            <w:pPr>
              <w:pStyle w:val="Tabletext"/>
              <w:jc w:val="center"/>
              <w:rPr>
                <w:strike/>
                <w:color w:val="000000"/>
              </w:rPr>
            </w:pPr>
          </w:p>
        </w:tc>
        <w:tc>
          <w:tcPr>
            <w:tcW w:w="1273" w:type="dxa"/>
            <w:shd w:val="clear" w:color="auto" w:fill="FFFFFF"/>
          </w:tcPr>
          <w:p w14:paraId="5CAE0FD4" w14:textId="77777777" w:rsidR="008C77B2" w:rsidRDefault="00CD4E3B">
            <w:pPr>
              <w:pStyle w:val="Tabletext"/>
              <w:jc w:val="center"/>
              <w:rPr>
                <w:color w:val="000000"/>
              </w:rPr>
            </w:pPr>
            <w:r>
              <w:rPr>
                <w:color w:val="000000"/>
              </w:rPr>
              <w:t>6 Feb 13</w:t>
            </w:r>
          </w:p>
          <w:p w14:paraId="5CAE0FD5" w14:textId="77777777" w:rsidR="008C77B2" w:rsidRDefault="008C77B2">
            <w:pPr>
              <w:pStyle w:val="Tabletext"/>
              <w:jc w:val="center"/>
              <w:rPr>
                <w:strike/>
                <w:color w:val="000000"/>
              </w:rPr>
            </w:pPr>
          </w:p>
        </w:tc>
        <w:tc>
          <w:tcPr>
            <w:tcW w:w="216" w:type="dxa"/>
            <w:shd w:val="clear" w:color="auto" w:fill="FFFFFF"/>
          </w:tcPr>
          <w:p w14:paraId="5CAE0FD6" w14:textId="77777777" w:rsidR="008C77B2" w:rsidRDefault="008C77B2">
            <w:pPr>
              <w:pStyle w:val="Tabletext"/>
              <w:jc w:val="center"/>
              <w:rPr>
                <w:color w:val="000000"/>
              </w:rPr>
            </w:pPr>
          </w:p>
        </w:tc>
        <w:tc>
          <w:tcPr>
            <w:tcW w:w="2565" w:type="dxa"/>
            <w:shd w:val="clear" w:color="auto" w:fill="FFFFFF"/>
          </w:tcPr>
          <w:p w14:paraId="5CAE0FD7" w14:textId="77777777" w:rsidR="008C77B2" w:rsidRDefault="00CD4E3B">
            <w:pPr>
              <w:pStyle w:val="Tabletext"/>
              <w:jc w:val="center"/>
              <w:rPr>
                <w:color w:val="000000"/>
              </w:rPr>
            </w:pPr>
            <w:r>
              <w:rPr>
                <w:color w:val="000000"/>
              </w:rPr>
              <w:t xml:space="preserve">23 January 2013 </w:t>
            </w:r>
            <w:r>
              <w:rPr>
                <w:color w:val="000000"/>
              </w:rPr>
              <w:br/>
              <w:t>@ 16:00 hours UTC</w:t>
            </w:r>
          </w:p>
        </w:tc>
        <w:tc>
          <w:tcPr>
            <w:tcW w:w="2320" w:type="dxa"/>
            <w:shd w:val="clear" w:color="auto" w:fill="FFFFFF"/>
          </w:tcPr>
          <w:p w14:paraId="5CAE0FD8" w14:textId="77777777" w:rsidR="008C77B2" w:rsidRDefault="008C77B2">
            <w:pPr>
              <w:pStyle w:val="Tabletext"/>
              <w:jc w:val="center"/>
              <w:rPr>
                <w:color w:val="000000"/>
              </w:rPr>
            </w:pPr>
          </w:p>
        </w:tc>
      </w:tr>
      <w:tr w:rsidR="008C77B2" w14:paraId="5CAE0FE3" w14:textId="77777777">
        <w:trPr>
          <w:tblCellSpacing w:w="0" w:type="dxa"/>
          <w:jc w:val="center"/>
        </w:trPr>
        <w:tc>
          <w:tcPr>
            <w:tcW w:w="1356" w:type="dxa"/>
            <w:shd w:val="clear" w:color="auto" w:fill="FFFFFF"/>
          </w:tcPr>
          <w:p w14:paraId="5CAE0FDA" w14:textId="77777777" w:rsidR="008C77B2" w:rsidRDefault="00CD4E3B">
            <w:pPr>
              <w:pStyle w:val="Tabletext"/>
              <w:jc w:val="center"/>
              <w:rPr>
                <w:b/>
              </w:rPr>
            </w:pPr>
            <w:r>
              <w:rPr>
                <w:b/>
              </w:rPr>
              <w:t>WP 5D</w:t>
            </w:r>
          </w:p>
        </w:tc>
        <w:tc>
          <w:tcPr>
            <w:tcW w:w="509" w:type="dxa"/>
            <w:shd w:val="clear" w:color="auto" w:fill="FFFFFF"/>
          </w:tcPr>
          <w:p w14:paraId="5CAE0FDB" w14:textId="77777777" w:rsidR="008C77B2" w:rsidRDefault="00CD4E3B">
            <w:pPr>
              <w:pStyle w:val="Tabletext"/>
              <w:jc w:val="center"/>
              <w:rPr>
                <w:b/>
                <w:color w:val="000000"/>
              </w:rPr>
            </w:pPr>
            <w:r>
              <w:rPr>
                <w:b/>
                <w:color w:val="000000"/>
              </w:rPr>
              <w:t>16</w:t>
            </w:r>
          </w:p>
        </w:tc>
        <w:tc>
          <w:tcPr>
            <w:tcW w:w="1171" w:type="dxa"/>
            <w:shd w:val="clear" w:color="auto" w:fill="FFFFFF"/>
          </w:tcPr>
          <w:p w14:paraId="5CAE0FDC" w14:textId="77777777" w:rsidR="008C77B2" w:rsidRDefault="00CD4E3B">
            <w:pPr>
              <w:pStyle w:val="Tabletext"/>
              <w:jc w:val="center"/>
              <w:rPr>
                <w:b/>
                <w:color w:val="000000"/>
              </w:rPr>
            </w:pPr>
            <w:r>
              <w:rPr>
                <w:b/>
                <w:color w:val="000000"/>
              </w:rPr>
              <w:t>10 Jul. 13</w:t>
            </w:r>
          </w:p>
        </w:tc>
        <w:tc>
          <w:tcPr>
            <w:tcW w:w="1273" w:type="dxa"/>
            <w:shd w:val="clear" w:color="auto" w:fill="FFFFFF"/>
          </w:tcPr>
          <w:p w14:paraId="5CAE0FDD" w14:textId="77777777" w:rsidR="008C77B2" w:rsidRDefault="00CD4E3B">
            <w:pPr>
              <w:pStyle w:val="Tabletext"/>
              <w:jc w:val="center"/>
              <w:rPr>
                <w:b/>
                <w:color w:val="000000"/>
              </w:rPr>
            </w:pPr>
            <w:r>
              <w:rPr>
                <w:b/>
                <w:color w:val="000000"/>
              </w:rPr>
              <w:t>17 Jul. 13</w:t>
            </w:r>
          </w:p>
        </w:tc>
        <w:tc>
          <w:tcPr>
            <w:tcW w:w="216" w:type="dxa"/>
            <w:shd w:val="clear" w:color="auto" w:fill="FFFFFF"/>
          </w:tcPr>
          <w:p w14:paraId="5CAE0FDE" w14:textId="77777777" w:rsidR="008C77B2" w:rsidRDefault="008C77B2">
            <w:pPr>
              <w:pStyle w:val="Tabletext"/>
              <w:jc w:val="center"/>
              <w:rPr>
                <w:b/>
                <w:color w:val="000000"/>
              </w:rPr>
            </w:pPr>
          </w:p>
        </w:tc>
        <w:tc>
          <w:tcPr>
            <w:tcW w:w="2565" w:type="dxa"/>
            <w:shd w:val="clear" w:color="auto" w:fill="FFFFFF"/>
          </w:tcPr>
          <w:p w14:paraId="5CAE0FDF" w14:textId="77777777" w:rsidR="008C77B2" w:rsidRDefault="00CD4E3B">
            <w:pPr>
              <w:pStyle w:val="Tabletext"/>
              <w:jc w:val="center"/>
              <w:rPr>
                <w:b/>
                <w:color w:val="000000"/>
              </w:rPr>
            </w:pPr>
            <w:r>
              <w:rPr>
                <w:b/>
                <w:color w:val="000000"/>
              </w:rPr>
              <w:t xml:space="preserve">3 July 2013 </w:t>
            </w:r>
            <w:r>
              <w:rPr>
                <w:b/>
                <w:color w:val="000000"/>
              </w:rPr>
              <w:br/>
              <w:t>@ 16:00 hours UTC</w:t>
            </w:r>
          </w:p>
        </w:tc>
        <w:tc>
          <w:tcPr>
            <w:tcW w:w="2320" w:type="dxa"/>
            <w:shd w:val="clear" w:color="auto" w:fill="FFFFFF"/>
          </w:tcPr>
          <w:p w14:paraId="5CAE0FE0" w14:textId="77777777" w:rsidR="008C77B2" w:rsidRDefault="00CD4E3B">
            <w:pPr>
              <w:pStyle w:val="Tabletext"/>
              <w:jc w:val="center"/>
              <w:rPr>
                <w:b/>
                <w:color w:val="000000"/>
              </w:rPr>
            </w:pPr>
            <w:r>
              <w:rPr>
                <w:b/>
                <w:color w:val="000000"/>
              </w:rPr>
              <w:t>Part 1 Information (updated if needed)</w:t>
            </w:r>
          </w:p>
          <w:p w14:paraId="5CAE0FE1" w14:textId="77777777" w:rsidR="008C77B2" w:rsidRDefault="00CD4E3B">
            <w:pPr>
              <w:pStyle w:val="Tabletext"/>
              <w:jc w:val="center"/>
              <w:rPr>
                <w:b/>
                <w:color w:val="000000"/>
              </w:rPr>
            </w:pPr>
            <w:r>
              <w:rPr>
                <w:b/>
                <w:color w:val="000000"/>
              </w:rPr>
              <w:t>&amp;</w:t>
            </w:r>
          </w:p>
          <w:p w14:paraId="5CAE0FE2" w14:textId="77777777" w:rsidR="008C77B2" w:rsidRDefault="00CD4E3B">
            <w:pPr>
              <w:pStyle w:val="Tabletext"/>
              <w:jc w:val="center"/>
              <w:rPr>
                <w:b/>
                <w:color w:val="000000"/>
              </w:rPr>
            </w:pPr>
            <w:r>
              <w:rPr>
                <w:b/>
                <w:color w:val="000000"/>
              </w:rPr>
              <w:t>Part 2 Information</w:t>
            </w:r>
          </w:p>
        </w:tc>
      </w:tr>
    </w:tbl>
    <w:p w14:paraId="1176E4AE" w14:textId="77777777" w:rsidR="001D23A4" w:rsidRDefault="001D23A4">
      <w:pPr>
        <w:pStyle w:val="Heading1"/>
      </w:pPr>
    </w:p>
    <w:p w14:paraId="551143CB" w14:textId="77777777" w:rsidR="001D23A4" w:rsidRDefault="001D23A4">
      <w:pPr>
        <w:tabs>
          <w:tab w:val="clear" w:pos="1134"/>
          <w:tab w:val="clear" w:pos="1871"/>
          <w:tab w:val="clear" w:pos="2268"/>
        </w:tabs>
        <w:overflowPunct/>
        <w:autoSpaceDE/>
        <w:autoSpaceDN/>
        <w:adjustRightInd/>
        <w:spacing w:before="0"/>
        <w:textAlignment w:val="auto"/>
        <w:rPr>
          <w:b/>
          <w:sz w:val="28"/>
        </w:rPr>
      </w:pPr>
      <w:r>
        <w:br w:type="page"/>
      </w:r>
    </w:p>
    <w:p w14:paraId="5CAE0FE4" w14:textId="192FAD1F" w:rsidR="008C77B2" w:rsidRDefault="00CD4E3B">
      <w:pPr>
        <w:pStyle w:val="Heading1"/>
      </w:pPr>
      <w:r>
        <w:t>6</w:t>
      </w:r>
      <w:r>
        <w:tab/>
        <w:t>Reference documents</w:t>
      </w:r>
    </w:p>
    <w:p w14:paraId="5CAE0FE5" w14:textId="51AE932A" w:rsidR="008C77B2" w:rsidRDefault="00CD4E3B">
      <w:pPr>
        <w:tabs>
          <w:tab w:val="left" w:pos="851"/>
          <w:tab w:val="left" w:pos="1276"/>
          <w:tab w:val="left" w:pos="4962"/>
          <w:tab w:val="left" w:pos="6237"/>
        </w:tabs>
        <w:snapToGrid w:val="0"/>
        <w:spacing w:before="240"/>
        <w:ind w:left="795" w:hanging="795"/>
      </w:pPr>
      <w:r>
        <w:t>1)</w:t>
      </w:r>
      <w:r>
        <w:tab/>
        <w:t xml:space="preserve">Report ITU-R </w:t>
      </w:r>
      <w:hyperlink r:id="rId14" w:history="1">
        <w:r>
          <w:rPr>
            <w:rStyle w:val="Hyperlink"/>
          </w:rPr>
          <w:t>M.2039-2</w:t>
        </w:r>
      </w:hyperlink>
      <w:r>
        <w:t xml:space="preserve"> – Characteristics of terrestrial IMT-2000 systems for frequency sharing &amp; interference analyses</w:t>
      </w:r>
      <w:r w:rsidR="00340B9C">
        <w:t>.</w:t>
      </w:r>
    </w:p>
    <w:p w14:paraId="5CAE0FE6" w14:textId="61CB5CA8" w:rsidR="008C77B2" w:rsidRDefault="00CD4E3B">
      <w:pPr>
        <w:tabs>
          <w:tab w:val="left" w:pos="851"/>
          <w:tab w:val="left" w:pos="1276"/>
          <w:tab w:val="left" w:pos="4962"/>
          <w:tab w:val="left" w:pos="6237"/>
        </w:tabs>
        <w:snapToGrid w:val="0"/>
        <w:spacing w:before="240"/>
        <w:ind w:left="795" w:hanging="795"/>
      </w:pPr>
      <w:r>
        <w:t>2)</w:t>
      </w:r>
      <w:r>
        <w:tab/>
      </w:r>
      <w:r w:rsidRPr="00340B9C">
        <w:rPr>
          <w:bCs/>
        </w:rPr>
        <w:t>Annex 2</w:t>
      </w:r>
      <w:r>
        <w:t xml:space="preserve"> of the Chairman’s Report of the fifth and final meeting of JTG 5-6, Document 5</w:t>
      </w:r>
      <w:r>
        <w:noBreakHyphen/>
        <w:t>6/180;</w:t>
      </w:r>
      <w:r>
        <w:rPr>
          <w:b/>
        </w:rPr>
        <w:t xml:space="preserve"> </w:t>
      </w:r>
      <w:r>
        <w:t>List of IMT systems characteristics for use in sharing studies in the band 790-862 MHz</w:t>
      </w:r>
      <w:r w:rsidR="00340B9C">
        <w:t>:</w:t>
      </w:r>
    </w:p>
    <w:bookmarkStart w:id="9" w:name="_MON_1404888365"/>
    <w:bookmarkEnd w:id="9"/>
    <w:bookmarkStart w:id="10" w:name="_MON_1404888360"/>
    <w:bookmarkEnd w:id="10"/>
    <w:p w14:paraId="5983914C" w14:textId="29E2A5F6" w:rsidR="00340B9C" w:rsidRDefault="00340B9C" w:rsidP="00340B9C">
      <w:pPr>
        <w:tabs>
          <w:tab w:val="left" w:pos="851"/>
          <w:tab w:val="left" w:pos="1276"/>
          <w:tab w:val="left" w:pos="4962"/>
          <w:tab w:val="left" w:pos="6237"/>
        </w:tabs>
        <w:snapToGrid w:val="0"/>
        <w:spacing w:before="240"/>
        <w:ind w:left="795" w:hanging="795"/>
        <w:jc w:val="center"/>
      </w:pPr>
      <w:r>
        <w:object w:dxaOrig="1539" w:dyaOrig="996" w14:anchorId="155C3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5" o:title=""/>
          </v:shape>
          <o:OLEObject Type="Embed" ProgID="Word.Document.8" ShapeID="_x0000_i1025" DrawAspect="Icon" ObjectID="_1404894386" r:id="rId16">
            <o:FieldCodes>\s</o:FieldCodes>
          </o:OLEObject>
        </w:object>
      </w:r>
    </w:p>
    <w:p w14:paraId="5CAE0FE8" w14:textId="77777777" w:rsidR="008C77B2" w:rsidRDefault="00CD4E3B">
      <w:r>
        <w:t>Contact person for reply liaisons to WP 5D and technical enquiries:</w:t>
      </w:r>
    </w:p>
    <w:p w14:paraId="3D7D85C2" w14:textId="77777777" w:rsidR="00880DF1" w:rsidRDefault="00880DF1"/>
    <w:p w14:paraId="5CAE0FE9" w14:textId="77777777" w:rsidR="008C77B2" w:rsidRDefault="00CD4E3B">
      <w:pPr>
        <w:tabs>
          <w:tab w:val="clear" w:pos="1134"/>
          <w:tab w:val="clear" w:pos="1871"/>
          <w:tab w:val="clear" w:pos="2268"/>
          <w:tab w:val="left" w:pos="794"/>
          <w:tab w:val="left" w:pos="1191"/>
          <w:tab w:val="left" w:pos="1588"/>
          <w:tab w:val="left" w:pos="1985"/>
        </w:tabs>
        <w:rPr>
          <w:rFonts w:ascii="Times" w:hAnsi="Times"/>
          <w:szCs w:val="24"/>
        </w:rPr>
      </w:pPr>
      <w:r>
        <w:rPr>
          <w:rFonts w:ascii="Times" w:hAnsi="Times"/>
          <w:b/>
          <w:bCs/>
          <w:szCs w:val="24"/>
        </w:rPr>
        <w:t>Contact:</w:t>
      </w:r>
      <w:r>
        <w:rPr>
          <w:rFonts w:ascii="Times" w:hAnsi="Times"/>
          <w:b/>
          <w:bCs/>
          <w:szCs w:val="24"/>
        </w:rPr>
        <w:tab/>
      </w:r>
      <w:r>
        <w:rPr>
          <w:rFonts w:ascii="Times" w:hAnsi="Times"/>
          <w:szCs w:val="24"/>
        </w:rPr>
        <w:t>Sergio BUONOMO</w:t>
      </w:r>
      <w:r>
        <w:rPr>
          <w:rFonts w:ascii="Times" w:hAnsi="Times"/>
          <w:szCs w:val="24"/>
        </w:rPr>
        <w:tab/>
      </w:r>
      <w:r>
        <w:rPr>
          <w:rFonts w:ascii="Times" w:hAnsi="Times"/>
          <w:szCs w:val="24"/>
        </w:rPr>
        <w:tab/>
      </w:r>
      <w:r>
        <w:rPr>
          <w:rFonts w:ascii="Times" w:hAnsi="Times"/>
          <w:szCs w:val="24"/>
        </w:rPr>
        <w:tab/>
      </w:r>
      <w:r>
        <w:rPr>
          <w:rFonts w:ascii="Times" w:hAnsi="Times"/>
          <w:b/>
          <w:bCs/>
          <w:szCs w:val="24"/>
        </w:rPr>
        <w:t>E-mail:</w:t>
      </w:r>
      <w:r>
        <w:rPr>
          <w:rFonts w:ascii="Times" w:hAnsi="Times"/>
          <w:szCs w:val="24"/>
        </w:rPr>
        <w:t xml:space="preserve"> </w:t>
      </w:r>
      <w:hyperlink r:id="rId17" w:history="1">
        <w:r>
          <w:rPr>
            <w:rFonts w:ascii="Times" w:hAnsi="Times"/>
            <w:color w:val="0000FF"/>
            <w:szCs w:val="24"/>
            <w:u w:val="single"/>
          </w:rPr>
          <w:t>sergio.buonomo@itu.int</w:t>
        </w:r>
      </w:hyperlink>
      <w:r>
        <w:rPr>
          <w:rFonts w:ascii="Times" w:hAnsi="Times"/>
          <w:szCs w:val="24"/>
        </w:rPr>
        <w:t xml:space="preserve"> </w:t>
      </w:r>
      <w:r>
        <w:rPr>
          <w:rFonts w:ascii="Times" w:hAnsi="Times"/>
          <w:szCs w:val="24"/>
        </w:rPr>
        <w:br/>
      </w:r>
      <w:r>
        <w:rPr>
          <w:rFonts w:ascii="Times" w:hAnsi="Times"/>
          <w:szCs w:val="24"/>
        </w:rPr>
        <w:tab/>
      </w:r>
      <w:r>
        <w:rPr>
          <w:rFonts w:ascii="Times" w:hAnsi="Times"/>
          <w:szCs w:val="24"/>
        </w:rPr>
        <w:tab/>
        <w:t>Counsellor, Study Group 5</w:t>
      </w:r>
    </w:p>
    <w:p w14:paraId="5CAE0FEA" w14:textId="77777777" w:rsidR="008C77B2" w:rsidRDefault="008C77B2"/>
    <w:p w14:paraId="5CAE0FEB" w14:textId="77777777" w:rsidR="008C77B2" w:rsidRDefault="00CD4E3B">
      <w:pPr>
        <w:rPr>
          <w:b/>
        </w:rPr>
      </w:pPr>
      <w:r>
        <w:rPr>
          <w:b/>
        </w:rPr>
        <w:br w:type="page"/>
      </w:r>
    </w:p>
    <w:p w14:paraId="5CAE0FEC" w14:textId="77777777" w:rsidR="008C77B2" w:rsidRDefault="00CD4E3B">
      <w:pPr>
        <w:pStyle w:val="AppendixNo"/>
      </w:pPr>
      <w:r>
        <w:t>Attachment 1</w:t>
      </w:r>
    </w:p>
    <w:p w14:paraId="5CAE0FED" w14:textId="77777777" w:rsidR="008C77B2" w:rsidRDefault="00CD4E3B">
      <w:pPr>
        <w:pStyle w:val="Appendixtitle"/>
      </w:pPr>
      <w:r>
        <w:t>Generic set of parameters for IMT in the band 790-862 MHz to be used for sharing studies called for under WRC-12 AI 1.17</w:t>
      </w:r>
    </w:p>
    <w:p w14:paraId="5CAE0FEE" w14:textId="77777777" w:rsidR="008C77B2" w:rsidRDefault="008C77B2">
      <w:pPr>
        <w:spacing w:before="0"/>
      </w:pPr>
    </w:p>
    <w:tbl>
      <w:tblPr>
        <w:tblW w:w="9915" w:type="dxa"/>
        <w:jc w:val="center"/>
        <w:tblLayout w:type="fixed"/>
        <w:tblLook w:val="01E0" w:firstRow="1" w:lastRow="1" w:firstColumn="1" w:lastColumn="1" w:noHBand="0" w:noVBand="0"/>
      </w:tblPr>
      <w:tblGrid>
        <w:gridCol w:w="706"/>
        <w:gridCol w:w="5069"/>
        <w:gridCol w:w="2070"/>
        <w:gridCol w:w="2070"/>
      </w:tblGrid>
      <w:tr w:rsidR="008C77B2" w14:paraId="5CAE0FF3" w14:textId="77777777">
        <w:trPr>
          <w:cantSplit/>
          <w:tblHeader/>
          <w:jc w:val="center"/>
        </w:trPr>
        <w:tc>
          <w:tcPr>
            <w:tcW w:w="706" w:type="dxa"/>
            <w:tcBorders>
              <w:top w:val="single" w:sz="4" w:space="0" w:color="auto"/>
              <w:left w:val="single" w:sz="4" w:space="0" w:color="auto"/>
              <w:bottom w:val="single" w:sz="4" w:space="0" w:color="auto"/>
              <w:right w:val="single" w:sz="4" w:space="0" w:color="auto"/>
            </w:tcBorders>
            <w:hideMark/>
          </w:tcPr>
          <w:p w14:paraId="5CAE0FEF" w14:textId="77777777" w:rsidR="008C77B2" w:rsidRDefault="00CD4E3B">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14:paraId="5CAE0FF0" w14:textId="77777777"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14:paraId="5CAE0FF1" w14:textId="77777777"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14:paraId="5CAE0FF2" w14:textId="77777777" w:rsidR="008C77B2" w:rsidRDefault="00CD4E3B">
            <w:pPr>
              <w:pStyle w:val="Tablehead"/>
              <w:rPr>
                <w:lang w:val="en-US"/>
              </w:rPr>
            </w:pPr>
            <w:r>
              <w:rPr>
                <w:lang w:val="en-US"/>
              </w:rPr>
              <w:t>Mobile station</w:t>
            </w:r>
          </w:p>
        </w:tc>
      </w:tr>
      <w:tr w:rsidR="008C77B2" w14:paraId="5CAE0FF8"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0FF4" w14:textId="77777777" w:rsidR="008C77B2" w:rsidRDefault="00CD4E3B">
            <w:pPr>
              <w:pStyle w:val="Tabletext"/>
              <w:rPr>
                <w:lang w:val="en-US"/>
              </w:rPr>
            </w:pP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14:paraId="5CAE0FF5" w14:textId="77777777" w:rsidR="008C77B2" w:rsidRDefault="00CD4E3B">
            <w:pPr>
              <w:pStyle w:val="Tabletext"/>
              <w:rPr>
                <w:lang w:val="en-US"/>
              </w:rPr>
            </w:pPr>
            <w:r>
              <w:rPr>
                <w:lang w:val="en-US"/>
              </w:rPr>
              <w:t>Class of emission</w:t>
            </w:r>
          </w:p>
        </w:tc>
        <w:tc>
          <w:tcPr>
            <w:tcW w:w="2070" w:type="dxa"/>
            <w:tcBorders>
              <w:top w:val="single" w:sz="4" w:space="0" w:color="auto"/>
              <w:left w:val="single" w:sz="4" w:space="0" w:color="auto"/>
              <w:bottom w:val="single" w:sz="4" w:space="0" w:color="auto"/>
              <w:right w:val="single" w:sz="4" w:space="0" w:color="auto"/>
            </w:tcBorders>
          </w:tcPr>
          <w:p w14:paraId="5CAE0FF6" w14:textId="77777777" w:rsidR="008C77B2" w:rsidRDefault="008C77B2">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tcPr>
          <w:p w14:paraId="5CAE0FF7" w14:textId="77777777" w:rsidR="008C77B2" w:rsidRDefault="008C77B2">
            <w:pPr>
              <w:pStyle w:val="Tabletext"/>
              <w:jc w:val="center"/>
              <w:rPr>
                <w:lang w:val="en-US"/>
              </w:rPr>
            </w:pPr>
          </w:p>
        </w:tc>
      </w:tr>
      <w:tr w:rsidR="008C77B2" w14:paraId="5CAE0FFD"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0FF9" w14:textId="77777777" w:rsidR="008C77B2" w:rsidRDefault="00CD4E3B">
            <w:pPr>
              <w:pStyle w:val="Tabletext"/>
              <w:rPr>
                <w:lang w:val="en-US"/>
              </w:rPr>
            </w:pP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14:paraId="5CAE0FFA" w14:textId="77777777" w:rsidR="008C77B2" w:rsidRDefault="00CD4E3B">
            <w:pPr>
              <w:pStyle w:val="Tabletext"/>
              <w:rPr>
                <w:lang w:val="en-US"/>
              </w:rPr>
            </w:pPr>
            <w:r>
              <w:rPr>
                <w:lang w:val="en-US"/>
              </w:rPr>
              <w:t>Modulation parameters</w:t>
            </w:r>
          </w:p>
        </w:tc>
        <w:tc>
          <w:tcPr>
            <w:tcW w:w="2070" w:type="dxa"/>
            <w:tcBorders>
              <w:top w:val="single" w:sz="4" w:space="0" w:color="auto"/>
              <w:left w:val="single" w:sz="4" w:space="0" w:color="auto"/>
              <w:bottom w:val="single" w:sz="4" w:space="0" w:color="auto"/>
              <w:right w:val="single" w:sz="4" w:space="0" w:color="auto"/>
            </w:tcBorders>
            <w:hideMark/>
          </w:tcPr>
          <w:p w14:paraId="5CAE0FFB" w14:textId="77777777" w:rsidR="008C77B2" w:rsidRDefault="00CD4E3B">
            <w:pPr>
              <w:pStyle w:val="Tabletext"/>
              <w:jc w:val="center"/>
              <w:rPr>
                <w:lang w:val="en-US"/>
              </w:rPr>
            </w:pPr>
            <w:r>
              <w:rPr>
                <w:lang w:val="en-US"/>
              </w:rPr>
              <w:t>QPSK</w:t>
            </w:r>
            <w:r>
              <w:rPr>
                <w:lang w:val="en-US"/>
              </w:rPr>
              <w:br/>
              <w:t>16-QAM</w:t>
            </w:r>
            <w:r>
              <w:rPr>
                <w:lang w:val="en-US"/>
              </w:rPr>
              <w:br/>
              <w:t>64-QAM</w:t>
            </w:r>
          </w:p>
        </w:tc>
        <w:tc>
          <w:tcPr>
            <w:tcW w:w="2070" w:type="dxa"/>
            <w:tcBorders>
              <w:top w:val="single" w:sz="4" w:space="0" w:color="auto"/>
              <w:left w:val="single" w:sz="4" w:space="0" w:color="auto"/>
              <w:bottom w:val="single" w:sz="4" w:space="0" w:color="auto"/>
              <w:right w:val="single" w:sz="4" w:space="0" w:color="auto"/>
            </w:tcBorders>
            <w:hideMark/>
          </w:tcPr>
          <w:p w14:paraId="5CAE0FFC" w14:textId="77777777" w:rsidR="008C77B2" w:rsidRDefault="00CD4E3B">
            <w:pPr>
              <w:pStyle w:val="Tabletext"/>
              <w:jc w:val="center"/>
              <w:rPr>
                <w:lang w:val="en-US"/>
              </w:rPr>
            </w:pPr>
            <w:r>
              <w:rPr>
                <w:lang w:val="en-US"/>
              </w:rPr>
              <w:t>QPSK</w:t>
            </w:r>
            <w:r>
              <w:rPr>
                <w:lang w:val="en-US"/>
              </w:rPr>
              <w:br/>
              <w:t>16-QAM</w:t>
            </w:r>
            <w:r>
              <w:rPr>
                <w:lang w:val="en-US"/>
              </w:rPr>
              <w:br/>
              <w:t>64-QAM</w:t>
            </w:r>
          </w:p>
        </w:tc>
      </w:tr>
      <w:tr w:rsidR="008C77B2" w14:paraId="5CAE1001"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0FFE" w14:textId="77777777" w:rsidR="008C77B2" w:rsidRDefault="00CD4E3B">
            <w:pPr>
              <w:pStyle w:val="Tabletext"/>
              <w:rPr>
                <w:lang w:val="en-US" w:eastAsia="ko-KR"/>
              </w:rPr>
            </w:pPr>
            <w:r>
              <w:rPr>
                <w:lang w:val="en-US"/>
              </w:rPr>
              <w:t>3</w:t>
            </w:r>
            <w:r>
              <w:rPr>
                <w:lang w:val="en-US" w:eastAsia="ko-KR"/>
              </w:rPr>
              <w:t>.</w:t>
            </w:r>
          </w:p>
        </w:tc>
        <w:tc>
          <w:tcPr>
            <w:tcW w:w="5070" w:type="dxa"/>
            <w:tcBorders>
              <w:top w:val="single" w:sz="4" w:space="0" w:color="auto"/>
              <w:left w:val="single" w:sz="4" w:space="0" w:color="auto"/>
              <w:bottom w:val="single" w:sz="4" w:space="0" w:color="auto"/>
              <w:right w:val="single" w:sz="4" w:space="0" w:color="auto"/>
            </w:tcBorders>
            <w:hideMark/>
          </w:tcPr>
          <w:p w14:paraId="5CAE0FFF" w14:textId="77777777" w:rsidR="008C77B2" w:rsidRDefault="00CD4E3B">
            <w:pPr>
              <w:pStyle w:val="Tabletext"/>
              <w:rPr>
                <w:lang w:val="en-US"/>
              </w:rPr>
            </w:pPr>
            <w:r>
              <w:rPr>
                <w:lang w:val="en-US"/>
              </w:rPr>
              <w:t>Duplex mode</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00" w14:textId="77777777" w:rsidR="008C77B2" w:rsidRDefault="00CD4E3B">
            <w:pPr>
              <w:pStyle w:val="Tabletext"/>
              <w:jc w:val="center"/>
              <w:rPr>
                <w:lang w:val="en-US"/>
              </w:rPr>
            </w:pPr>
            <w:r>
              <w:rPr>
                <w:lang w:val="en-US"/>
              </w:rPr>
              <w:t>FDD/TDD</w:t>
            </w:r>
          </w:p>
        </w:tc>
      </w:tr>
      <w:tr w:rsidR="008C77B2" w14:paraId="5CAE1006"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02" w14:textId="77777777" w:rsidR="008C77B2" w:rsidRDefault="00CD4E3B">
            <w:pPr>
              <w:pStyle w:val="Tabletext"/>
              <w:rPr>
                <w:lang w:val="en-US"/>
              </w:rPr>
            </w:pPr>
            <w:r>
              <w:rPr>
                <w:lang w:val="en-US" w:eastAsia="ko-KR"/>
              </w:rPr>
              <w:t>4</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03" w14:textId="77777777" w:rsidR="008C77B2" w:rsidRDefault="00CD4E3B">
            <w:pPr>
              <w:pStyle w:val="Tabletext"/>
              <w:rPr>
                <w:lang w:val="en-US"/>
              </w:rPr>
            </w:pPr>
            <w:r>
              <w:rPr>
                <w:lang w:val="en-US"/>
              </w:rPr>
              <w:t>Spectral mask of signals, including</w:t>
            </w:r>
          </w:p>
        </w:tc>
        <w:tc>
          <w:tcPr>
            <w:tcW w:w="2070" w:type="dxa"/>
            <w:tcBorders>
              <w:top w:val="single" w:sz="4" w:space="0" w:color="auto"/>
              <w:left w:val="single" w:sz="4" w:space="0" w:color="auto"/>
              <w:bottom w:val="single" w:sz="4" w:space="0" w:color="auto"/>
              <w:right w:val="single" w:sz="4" w:space="0" w:color="auto"/>
            </w:tcBorders>
            <w:hideMark/>
          </w:tcPr>
          <w:p w14:paraId="5CAE1004" w14:textId="77777777" w:rsidR="008C77B2" w:rsidRDefault="00CD4E3B">
            <w:pPr>
              <w:pStyle w:val="Tabletext"/>
              <w:jc w:val="center"/>
              <w:rPr>
                <w:vertAlign w:val="superscript"/>
                <w:lang w:val="en-US"/>
              </w:rPr>
            </w:pPr>
            <w:r>
              <w:rPr>
                <w:lang w:val="en-US"/>
              </w:rPr>
              <w:t>-</w:t>
            </w:r>
            <w:r>
              <w:rPr>
                <w:rStyle w:val="FootnoteReference"/>
                <w:szCs w:val="22"/>
                <w:vertAlign w:val="superscript"/>
                <w:lang w:val="en-US"/>
              </w:rPr>
              <w:footnoteReference w:id="4"/>
            </w:r>
          </w:p>
        </w:tc>
        <w:tc>
          <w:tcPr>
            <w:tcW w:w="2070" w:type="dxa"/>
            <w:tcBorders>
              <w:top w:val="single" w:sz="4" w:space="0" w:color="auto"/>
              <w:left w:val="single" w:sz="4" w:space="0" w:color="auto"/>
              <w:bottom w:val="single" w:sz="4" w:space="0" w:color="auto"/>
              <w:right w:val="single" w:sz="4" w:space="0" w:color="auto"/>
            </w:tcBorders>
            <w:hideMark/>
          </w:tcPr>
          <w:p w14:paraId="5CAE1005" w14:textId="77777777" w:rsidR="008C77B2" w:rsidRDefault="00CD4E3B">
            <w:pPr>
              <w:pStyle w:val="Tabletext"/>
              <w:jc w:val="center"/>
              <w:rPr>
                <w:lang w:val="en-US"/>
              </w:rPr>
            </w:pPr>
            <w:r>
              <w:rPr>
                <w:lang w:val="en-US"/>
              </w:rPr>
              <w:t>-</w:t>
            </w:r>
            <w:r>
              <w:rPr>
                <w:rStyle w:val="FootnoteReference"/>
                <w:szCs w:val="22"/>
                <w:vertAlign w:val="superscript"/>
                <w:lang w:val="en-US"/>
              </w:rPr>
              <w:footnoteReference w:id="5"/>
            </w:r>
          </w:p>
        </w:tc>
      </w:tr>
      <w:tr w:rsidR="008C77B2" w14:paraId="5CAE100B"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07" w14:textId="77777777" w:rsidR="008C77B2" w:rsidRDefault="00CD4E3B">
            <w:pPr>
              <w:pStyle w:val="Tabletext"/>
              <w:rPr>
                <w:lang w:val="en-US"/>
              </w:rPr>
            </w:pPr>
            <w:r>
              <w:rPr>
                <w:lang w:val="en-US" w:eastAsia="ko-KR"/>
              </w:rPr>
              <w:t>4</w:t>
            </w: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14:paraId="5CAE1008" w14:textId="77777777" w:rsidR="008C77B2" w:rsidRDefault="00CD4E3B">
            <w:pPr>
              <w:pStyle w:val="Tabletext"/>
              <w:rPr>
                <w:lang w:val="en-US"/>
              </w:rPr>
            </w:pPr>
            <w:r>
              <w:rPr>
                <w:lang w:val="en-US"/>
              </w:rPr>
              <w:t>−3 dB radiation bandwidth</w:t>
            </w:r>
          </w:p>
        </w:tc>
        <w:tc>
          <w:tcPr>
            <w:tcW w:w="2070" w:type="dxa"/>
            <w:tcBorders>
              <w:top w:val="single" w:sz="4" w:space="0" w:color="auto"/>
              <w:left w:val="single" w:sz="4" w:space="0" w:color="auto"/>
              <w:bottom w:val="single" w:sz="4" w:space="0" w:color="auto"/>
              <w:right w:val="single" w:sz="4" w:space="0" w:color="auto"/>
            </w:tcBorders>
            <w:hideMark/>
          </w:tcPr>
          <w:p w14:paraId="5CAE1009" w14:textId="77777777"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14:paraId="5CAE100A" w14:textId="77777777" w:rsidR="008C77B2" w:rsidRDefault="00CD4E3B">
            <w:pPr>
              <w:pStyle w:val="Tabletext"/>
              <w:jc w:val="center"/>
              <w:rPr>
                <w:lang w:val="en-US"/>
              </w:rPr>
            </w:pPr>
            <w:r>
              <w:rPr>
                <w:lang w:val="en-US"/>
              </w:rPr>
              <w:t>-</w:t>
            </w:r>
          </w:p>
        </w:tc>
      </w:tr>
      <w:tr w:rsidR="008C77B2" w14:paraId="5CAE1010"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0C" w14:textId="77777777" w:rsidR="008C77B2" w:rsidRDefault="00CD4E3B">
            <w:pPr>
              <w:pStyle w:val="Tabletext"/>
              <w:rPr>
                <w:lang w:val="en-US"/>
              </w:rPr>
            </w:pPr>
            <w:r>
              <w:rPr>
                <w:lang w:val="en-US" w:eastAsia="ko-KR"/>
              </w:rPr>
              <w:t>4</w:t>
            </w: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14:paraId="5CAE100D" w14:textId="77777777" w:rsidR="008C77B2" w:rsidRDefault="00CD4E3B">
            <w:pPr>
              <w:pStyle w:val="Tabletext"/>
              <w:rPr>
                <w:lang w:val="en-US"/>
              </w:rPr>
            </w:pPr>
            <w:r>
              <w:rPr>
                <w:lang w:val="en-US"/>
              </w:rPr>
              <w:t>−30 dB radiation bandwidth</w:t>
            </w:r>
          </w:p>
        </w:tc>
        <w:tc>
          <w:tcPr>
            <w:tcW w:w="2070" w:type="dxa"/>
            <w:tcBorders>
              <w:top w:val="single" w:sz="4" w:space="0" w:color="auto"/>
              <w:left w:val="single" w:sz="4" w:space="0" w:color="auto"/>
              <w:bottom w:val="single" w:sz="4" w:space="0" w:color="auto"/>
              <w:right w:val="single" w:sz="4" w:space="0" w:color="auto"/>
            </w:tcBorders>
            <w:hideMark/>
          </w:tcPr>
          <w:p w14:paraId="5CAE100E" w14:textId="77777777"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14:paraId="5CAE100F" w14:textId="77777777" w:rsidR="008C77B2" w:rsidRDefault="00CD4E3B">
            <w:pPr>
              <w:pStyle w:val="Tabletext"/>
              <w:jc w:val="center"/>
              <w:rPr>
                <w:lang w:val="en-US"/>
              </w:rPr>
            </w:pPr>
            <w:r>
              <w:rPr>
                <w:lang w:val="en-US"/>
              </w:rPr>
              <w:t>-</w:t>
            </w:r>
          </w:p>
        </w:tc>
      </w:tr>
      <w:tr w:rsidR="008C77B2" w14:paraId="5CAE1015"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11" w14:textId="77777777" w:rsidR="008C77B2" w:rsidRDefault="00CD4E3B">
            <w:pPr>
              <w:pStyle w:val="Tabletext"/>
              <w:rPr>
                <w:lang w:val="en-US"/>
              </w:rPr>
            </w:pPr>
            <w:r>
              <w:rPr>
                <w:lang w:val="en-US" w:eastAsia="ko-KR"/>
              </w:rPr>
              <w:t>4</w:t>
            </w:r>
            <w:r>
              <w:rPr>
                <w:lang w:val="en-US"/>
              </w:rPr>
              <w:t>.3</w:t>
            </w:r>
          </w:p>
        </w:tc>
        <w:tc>
          <w:tcPr>
            <w:tcW w:w="5070" w:type="dxa"/>
            <w:tcBorders>
              <w:top w:val="single" w:sz="4" w:space="0" w:color="auto"/>
              <w:left w:val="single" w:sz="4" w:space="0" w:color="auto"/>
              <w:bottom w:val="single" w:sz="4" w:space="0" w:color="auto"/>
              <w:right w:val="single" w:sz="4" w:space="0" w:color="auto"/>
            </w:tcBorders>
            <w:hideMark/>
          </w:tcPr>
          <w:p w14:paraId="5CAE1012" w14:textId="77777777" w:rsidR="008C77B2" w:rsidRDefault="00CD4E3B">
            <w:pPr>
              <w:pStyle w:val="Tabletext"/>
              <w:rPr>
                <w:lang w:val="en-US"/>
              </w:rPr>
            </w:pPr>
            <w:r>
              <w:rPr>
                <w:lang w:val="en-US"/>
              </w:rPr>
              <w:t>−60 dB radiation bandwidth</w:t>
            </w:r>
          </w:p>
        </w:tc>
        <w:tc>
          <w:tcPr>
            <w:tcW w:w="2070" w:type="dxa"/>
            <w:tcBorders>
              <w:top w:val="single" w:sz="4" w:space="0" w:color="auto"/>
              <w:left w:val="single" w:sz="4" w:space="0" w:color="auto"/>
              <w:bottom w:val="single" w:sz="4" w:space="0" w:color="auto"/>
              <w:right w:val="single" w:sz="4" w:space="0" w:color="auto"/>
            </w:tcBorders>
            <w:hideMark/>
          </w:tcPr>
          <w:p w14:paraId="5CAE1013" w14:textId="77777777"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14:paraId="5CAE1014" w14:textId="77777777" w:rsidR="008C77B2" w:rsidRDefault="00CD4E3B">
            <w:pPr>
              <w:pStyle w:val="Tabletext"/>
              <w:jc w:val="center"/>
              <w:rPr>
                <w:lang w:val="en-US"/>
              </w:rPr>
            </w:pPr>
            <w:r>
              <w:rPr>
                <w:lang w:val="en-US"/>
              </w:rPr>
              <w:t>-</w:t>
            </w:r>
          </w:p>
        </w:tc>
      </w:tr>
      <w:tr w:rsidR="008C77B2" w14:paraId="5CAE101A" w14:textId="77777777">
        <w:trPr>
          <w:cantSplit/>
          <w:trHeight w:val="382"/>
          <w:jc w:val="center"/>
        </w:trPr>
        <w:tc>
          <w:tcPr>
            <w:tcW w:w="706" w:type="dxa"/>
            <w:tcBorders>
              <w:top w:val="single" w:sz="4" w:space="0" w:color="auto"/>
              <w:left w:val="single" w:sz="4" w:space="0" w:color="auto"/>
              <w:bottom w:val="single" w:sz="4" w:space="0" w:color="auto"/>
              <w:right w:val="single" w:sz="4" w:space="0" w:color="auto"/>
            </w:tcBorders>
            <w:hideMark/>
          </w:tcPr>
          <w:p w14:paraId="5CAE1016" w14:textId="77777777" w:rsidR="008C77B2" w:rsidRDefault="00CD4E3B">
            <w:pPr>
              <w:pStyle w:val="Tabletext"/>
              <w:rPr>
                <w:lang w:val="en-US"/>
              </w:rPr>
            </w:pPr>
            <w:r>
              <w:rPr>
                <w:lang w:val="en-US" w:eastAsia="ko-KR"/>
              </w:rPr>
              <w:t>5</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17" w14:textId="77777777" w:rsidR="008C77B2" w:rsidRDefault="00CD4E3B">
            <w:pPr>
              <w:pStyle w:val="Tabletext"/>
              <w:rPr>
                <w:lang w:val="en-US"/>
              </w:rPr>
            </w:pPr>
            <w:r>
              <w:rPr>
                <w:lang w:val="en-US"/>
              </w:rPr>
              <w:t>Maximum spectral power density, dB(mW/Hz)</w:t>
            </w:r>
          </w:p>
        </w:tc>
        <w:tc>
          <w:tcPr>
            <w:tcW w:w="2070" w:type="dxa"/>
            <w:tcBorders>
              <w:top w:val="single" w:sz="4" w:space="0" w:color="auto"/>
              <w:left w:val="single" w:sz="4" w:space="0" w:color="auto"/>
              <w:bottom w:val="single" w:sz="4" w:space="0" w:color="auto"/>
              <w:right w:val="single" w:sz="4" w:space="0" w:color="auto"/>
            </w:tcBorders>
            <w:hideMark/>
          </w:tcPr>
          <w:p w14:paraId="5CAE1018" w14:textId="77777777" w:rsidR="008C77B2" w:rsidRDefault="00CD4E3B">
            <w:pPr>
              <w:pStyle w:val="Tabletext"/>
              <w:jc w:val="center"/>
              <w:rPr>
                <w:lang w:val="en-US"/>
              </w:rPr>
            </w:pPr>
            <w:r>
              <w:rPr>
                <w:lang w:val="en-US"/>
              </w:rPr>
              <w:t>−23</w:t>
            </w:r>
          </w:p>
        </w:tc>
        <w:tc>
          <w:tcPr>
            <w:tcW w:w="2070" w:type="dxa"/>
            <w:tcBorders>
              <w:top w:val="single" w:sz="4" w:space="0" w:color="auto"/>
              <w:left w:val="single" w:sz="4" w:space="0" w:color="auto"/>
              <w:bottom w:val="single" w:sz="4" w:space="0" w:color="auto"/>
              <w:right w:val="single" w:sz="4" w:space="0" w:color="auto"/>
            </w:tcBorders>
            <w:hideMark/>
          </w:tcPr>
          <w:p w14:paraId="5CAE1019" w14:textId="77777777" w:rsidR="008C77B2" w:rsidRDefault="00CD4E3B">
            <w:pPr>
              <w:pStyle w:val="Tabletext"/>
              <w:jc w:val="center"/>
              <w:rPr>
                <w:lang w:val="en-US"/>
              </w:rPr>
            </w:pPr>
            <w:r>
              <w:rPr>
                <w:lang w:val="en-US"/>
              </w:rPr>
              <w:t>−42.5</w:t>
            </w:r>
          </w:p>
        </w:tc>
      </w:tr>
      <w:tr w:rsidR="008C77B2" w14:paraId="5CAE101E"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1B" w14:textId="77777777" w:rsidR="008C77B2" w:rsidRDefault="00CD4E3B">
            <w:pPr>
              <w:pStyle w:val="Tabletext"/>
              <w:rPr>
                <w:lang w:val="en-US"/>
              </w:rPr>
            </w:pPr>
            <w:r>
              <w:rPr>
                <w:lang w:val="en-US" w:eastAsia="ko-KR"/>
              </w:rPr>
              <w:t>6</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1C" w14:textId="77777777" w:rsidR="008C77B2" w:rsidRDefault="00CD4E3B">
            <w:pPr>
              <w:pStyle w:val="Tabletext"/>
              <w:rPr>
                <w:lang w:val="en-US"/>
              </w:rPr>
            </w:pPr>
            <w:r>
              <w:rPr>
                <w:lang w:val="en-US"/>
              </w:rPr>
              <w:t>Signal bandwidth (MHz)</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1D" w14:textId="77777777" w:rsidR="008C77B2" w:rsidRDefault="00CD4E3B">
            <w:pPr>
              <w:pStyle w:val="Tabletext"/>
              <w:jc w:val="center"/>
              <w:rPr>
                <w:lang w:val="en-US"/>
              </w:rPr>
            </w:pPr>
            <w:r>
              <w:rPr>
                <w:lang w:val="en-US"/>
              </w:rPr>
              <w:t>-</w:t>
            </w:r>
            <w:r>
              <w:rPr>
                <w:rStyle w:val="FootnoteReference"/>
                <w:szCs w:val="22"/>
                <w:vertAlign w:val="superscript"/>
                <w:lang w:val="en-US"/>
              </w:rPr>
              <w:footnoteReference w:id="6"/>
            </w:r>
          </w:p>
        </w:tc>
      </w:tr>
      <w:tr w:rsidR="008C77B2" w14:paraId="5CAE1023"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1F" w14:textId="77777777" w:rsidR="008C77B2" w:rsidRDefault="00CD4E3B">
            <w:pPr>
              <w:pStyle w:val="Tabletext"/>
              <w:rPr>
                <w:lang w:val="en-US"/>
              </w:rPr>
            </w:pPr>
            <w:r>
              <w:rPr>
                <w:lang w:val="en-US" w:eastAsia="ko-KR"/>
              </w:rPr>
              <w:t>7</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20" w14:textId="77777777" w:rsidR="008C77B2" w:rsidRDefault="00CD4E3B">
            <w:pPr>
              <w:pStyle w:val="Tabletext"/>
              <w:rPr>
                <w:lang w:val="en-US"/>
              </w:rPr>
            </w:pPr>
            <w:r>
              <w:rPr>
                <w:lang w:val="en-US"/>
              </w:rPr>
              <w:t>Transmitter e.i.r.p. (dBm)</w:t>
            </w:r>
          </w:p>
        </w:tc>
        <w:tc>
          <w:tcPr>
            <w:tcW w:w="2070" w:type="dxa"/>
            <w:tcBorders>
              <w:top w:val="single" w:sz="4" w:space="0" w:color="auto"/>
              <w:left w:val="single" w:sz="4" w:space="0" w:color="auto"/>
              <w:bottom w:val="single" w:sz="4" w:space="0" w:color="auto"/>
              <w:right w:val="single" w:sz="4" w:space="0" w:color="auto"/>
            </w:tcBorders>
          </w:tcPr>
          <w:p w14:paraId="5CAE1021" w14:textId="77777777" w:rsidR="008C77B2" w:rsidRDefault="008C77B2">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vAlign w:val="center"/>
          </w:tcPr>
          <w:p w14:paraId="5CAE1022" w14:textId="77777777" w:rsidR="008C77B2" w:rsidRDefault="008C77B2">
            <w:pPr>
              <w:pStyle w:val="Tabletext"/>
              <w:jc w:val="center"/>
              <w:rPr>
                <w:lang w:val="en-US"/>
              </w:rPr>
            </w:pPr>
          </w:p>
        </w:tc>
      </w:tr>
      <w:tr w:rsidR="008C77B2" w14:paraId="5CAE1028" w14:textId="77777777">
        <w:trPr>
          <w:cantSplit/>
          <w:jc w:val="center"/>
        </w:trPr>
        <w:tc>
          <w:tcPr>
            <w:tcW w:w="706" w:type="dxa"/>
            <w:tcBorders>
              <w:top w:val="single" w:sz="4" w:space="0" w:color="auto"/>
              <w:left w:val="single" w:sz="4" w:space="0" w:color="auto"/>
              <w:bottom w:val="single" w:sz="4" w:space="0" w:color="auto"/>
              <w:right w:val="single" w:sz="4" w:space="0" w:color="auto"/>
            </w:tcBorders>
          </w:tcPr>
          <w:p w14:paraId="5CAE1024" w14:textId="77777777" w:rsidR="008C77B2" w:rsidRDefault="008C77B2">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hideMark/>
          </w:tcPr>
          <w:p w14:paraId="5CAE1025" w14:textId="77777777" w:rsidR="008C77B2" w:rsidRDefault="00CD4E3B">
            <w:pPr>
              <w:pStyle w:val="Tabletext"/>
              <w:rPr>
                <w:lang w:val="en-US"/>
              </w:rPr>
            </w:pPr>
            <w:r>
              <w:rPr>
                <w:lang w:val="en-US"/>
              </w:rPr>
              <w:t>Maximum Transmitter e.i.r.p. (dBm)</w:t>
            </w:r>
          </w:p>
        </w:tc>
        <w:tc>
          <w:tcPr>
            <w:tcW w:w="2070" w:type="dxa"/>
            <w:tcBorders>
              <w:top w:val="single" w:sz="4" w:space="0" w:color="auto"/>
              <w:left w:val="single" w:sz="4" w:space="0" w:color="auto"/>
              <w:bottom w:val="single" w:sz="4" w:space="0" w:color="auto"/>
              <w:right w:val="single" w:sz="4" w:space="0" w:color="auto"/>
            </w:tcBorders>
            <w:hideMark/>
          </w:tcPr>
          <w:p w14:paraId="5CAE1026" w14:textId="77777777" w:rsidR="008C77B2" w:rsidRDefault="00CD4E3B">
            <w:pPr>
              <w:pStyle w:val="Tabletext"/>
              <w:jc w:val="center"/>
              <w:rPr>
                <w:lang w:val="en-US"/>
              </w:rPr>
            </w:pPr>
            <w:r>
              <w:rPr>
                <w:lang w:val="en-US"/>
              </w:rPr>
              <w:t>55</w:t>
            </w:r>
            <w:r>
              <w:rPr>
                <w:rStyle w:val="FootnoteReference"/>
                <w:szCs w:val="22"/>
                <w:vertAlign w:val="superscript"/>
                <w:lang w:val="en-US"/>
              </w:rPr>
              <w:footnoteReference w:id="7"/>
            </w:r>
            <w:r>
              <w:rPr>
                <w:rStyle w:val="FootnoteReference"/>
                <w:lang w:val="en-US"/>
              </w:rPr>
              <w:t xml:space="preserve">, </w:t>
            </w:r>
            <w:r>
              <w:rPr>
                <w:rStyle w:val="FootnoteReference"/>
                <w:szCs w:val="22"/>
                <w:vertAlign w:val="superscript"/>
                <w:lang w:val="en-US"/>
              </w:rPr>
              <w:footnoteReference w:id="8"/>
            </w:r>
          </w:p>
        </w:tc>
        <w:tc>
          <w:tcPr>
            <w:tcW w:w="2070" w:type="dxa"/>
            <w:tcBorders>
              <w:top w:val="single" w:sz="4" w:space="0" w:color="auto"/>
              <w:left w:val="single" w:sz="4" w:space="0" w:color="auto"/>
              <w:bottom w:val="single" w:sz="4" w:space="0" w:color="auto"/>
              <w:right w:val="single" w:sz="4" w:space="0" w:color="auto"/>
            </w:tcBorders>
            <w:vAlign w:val="center"/>
            <w:hideMark/>
          </w:tcPr>
          <w:p w14:paraId="5CAE1027" w14:textId="77777777" w:rsidR="008C77B2" w:rsidRDefault="00CD4E3B">
            <w:pPr>
              <w:pStyle w:val="Tabletext"/>
              <w:jc w:val="center"/>
              <w:rPr>
                <w:lang w:val="en-US"/>
              </w:rPr>
            </w:pPr>
            <w:r>
              <w:rPr>
                <w:lang w:val="en-US"/>
              </w:rPr>
              <w:t>21 to 23</w:t>
            </w:r>
            <w:r>
              <w:rPr>
                <w:rStyle w:val="FootnoteReference"/>
                <w:szCs w:val="22"/>
                <w:vertAlign w:val="superscript"/>
                <w:lang w:val="en-US"/>
              </w:rPr>
              <w:footnoteReference w:id="9"/>
            </w:r>
          </w:p>
        </w:tc>
      </w:tr>
      <w:tr w:rsidR="008C77B2" w14:paraId="5CAE102D" w14:textId="77777777">
        <w:trPr>
          <w:cantSplit/>
          <w:jc w:val="center"/>
        </w:trPr>
        <w:tc>
          <w:tcPr>
            <w:tcW w:w="706" w:type="dxa"/>
            <w:tcBorders>
              <w:top w:val="single" w:sz="4" w:space="0" w:color="auto"/>
              <w:left w:val="single" w:sz="4" w:space="0" w:color="auto"/>
              <w:bottom w:val="single" w:sz="4" w:space="0" w:color="auto"/>
              <w:right w:val="single" w:sz="4" w:space="0" w:color="auto"/>
            </w:tcBorders>
          </w:tcPr>
          <w:p w14:paraId="5CAE1029" w14:textId="77777777" w:rsidR="008C77B2" w:rsidRDefault="008C77B2">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hideMark/>
          </w:tcPr>
          <w:p w14:paraId="5CAE102A" w14:textId="77777777" w:rsidR="008C77B2" w:rsidRDefault="00CD4E3B">
            <w:pPr>
              <w:pStyle w:val="Tabletext"/>
              <w:rPr>
                <w:lang w:val="en-US"/>
              </w:rPr>
            </w:pPr>
            <w:r>
              <w:rPr>
                <w:lang w:val="en-US"/>
              </w:rPr>
              <w:t>Average Transmitter e.i.r.p. (dBm)</w:t>
            </w:r>
          </w:p>
        </w:tc>
        <w:tc>
          <w:tcPr>
            <w:tcW w:w="2070" w:type="dxa"/>
            <w:tcBorders>
              <w:top w:val="single" w:sz="4" w:space="0" w:color="auto"/>
              <w:left w:val="single" w:sz="4" w:space="0" w:color="auto"/>
              <w:bottom w:val="single" w:sz="4" w:space="0" w:color="auto"/>
              <w:right w:val="single" w:sz="4" w:space="0" w:color="auto"/>
            </w:tcBorders>
            <w:hideMark/>
          </w:tcPr>
          <w:p w14:paraId="5CAE102B" w14:textId="77777777" w:rsidR="008C77B2" w:rsidRDefault="00CD4E3B">
            <w:pPr>
              <w:pStyle w:val="Tabletext"/>
              <w:jc w:val="center"/>
              <w:rPr>
                <w:lang w:val="en-US"/>
              </w:rPr>
            </w:pPr>
            <w:r>
              <w:rPr>
                <w:lang w:val="en-US"/>
              </w:rPr>
              <w:t>Deployment dependant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CAE102C" w14:textId="77777777" w:rsidR="008C77B2" w:rsidRDefault="00CD4E3B">
            <w:pPr>
              <w:pStyle w:val="Tabletext"/>
              <w:jc w:val="center"/>
              <w:rPr>
                <w:lang w:val="en-US"/>
              </w:rPr>
            </w:pPr>
            <w:r>
              <w:rPr>
                <w:lang w:val="en-US"/>
              </w:rPr>
              <w:t>2 (rural)</w:t>
            </w:r>
            <w:r>
              <w:rPr>
                <w:lang w:val="en-US"/>
              </w:rPr>
              <w:br/>
              <w:t>−9 (urban)</w:t>
            </w:r>
          </w:p>
        </w:tc>
      </w:tr>
      <w:tr w:rsidR="008C77B2" w14:paraId="5CAE1032"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2E" w14:textId="77777777" w:rsidR="008C77B2" w:rsidRDefault="00CD4E3B">
            <w:pPr>
              <w:pStyle w:val="Tabletext"/>
              <w:rPr>
                <w:lang w:val="en-US"/>
              </w:rPr>
            </w:pPr>
            <w:r>
              <w:rPr>
                <w:lang w:val="en-US" w:eastAsia="ko-KR"/>
              </w:rPr>
              <w:t>8</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2F" w14:textId="77777777" w:rsidR="008C77B2" w:rsidRDefault="00CD4E3B">
            <w:pPr>
              <w:pStyle w:val="Tabletext"/>
              <w:rPr>
                <w:lang w:val="en-US"/>
              </w:rPr>
            </w:pPr>
            <w:r>
              <w:rPr>
                <w:lang w:val="en-US"/>
              </w:rPr>
              <w:t>Typical height of the transmitting antenna (m)</w:t>
            </w:r>
          </w:p>
        </w:tc>
        <w:tc>
          <w:tcPr>
            <w:tcW w:w="2070" w:type="dxa"/>
            <w:tcBorders>
              <w:top w:val="single" w:sz="4" w:space="0" w:color="auto"/>
              <w:left w:val="single" w:sz="4" w:space="0" w:color="auto"/>
              <w:bottom w:val="single" w:sz="4" w:space="0" w:color="auto"/>
              <w:right w:val="single" w:sz="4" w:space="0" w:color="auto"/>
            </w:tcBorders>
            <w:hideMark/>
          </w:tcPr>
          <w:p w14:paraId="5CAE1030" w14:textId="77777777" w:rsidR="008C77B2" w:rsidRDefault="00CD4E3B">
            <w:pPr>
              <w:pStyle w:val="Tabletext"/>
              <w:jc w:val="center"/>
              <w:rPr>
                <w:lang w:val="en-US"/>
              </w:rPr>
            </w:pPr>
            <w:r>
              <w:rPr>
                <w:lang w:val="en-US"/>
              </w:rPr>
              <w:t>20 to 30</w:t>
            </w:r>
          </w:p>
        </w:tc>
        <w:tc>
          <w:tcPr>
            <w:tcW w:w="2070" w:type="dxa"/>
            <w:tcBorders>
              <w:top w:val="single" w:sz="4" w:space="0" w:color="auto"/>
              <w:left w:val="single" w:sz="4" w:space="0" w:color="auto"/>
              <w:bottom w:val="single" w:sz="4" w:space="0" w:color="auto"/>
              <w:right w:val="single" w:sz="4" w:space="0" w:color="auto"/>
            </w:tcBorders>
            <w:hideMark/>
          </w:tcPr>
          <w:p w14:paraId="5CAE1031" w14:textId="77777777" w:rsidR="008C77B2" w:rsidRDefault="00CD4E3B">
            <w:pPr>
              <w:pStyle w:val="Tabletext"/>
              <w:jc w:val="center"/>
              <w:rPr>
                <w:lang w:val="en-US"/>
              </w:rPr>
            </w:pPr>
            <w:r>
              <w:rPr>
                <w:lang w:val="en-US"/>
              </w:rPr>
              <w:t>1.5</w:t>
            </w:r>
          </w:p>
        </w:tc>
      </w:tr>
      <w:tr w:rsidR="008C77B2" w14:paraId="5CAE1037"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33" w14:textId="77777777" w:rsidR="008C77B2" w:rsidRDefault="00CD4E3B">
            <w:pPr>
              <w:pStyle w:val="Tabletext"/>
              <w:rPr>
                <w:lang w:val="en-US"/>
              </w:rPr>
            </w:pPr>
            <w:r>
              <w:rPr>
                <w:lang w:val="en-US" w:eastAsia="ko-KR"/>
              </w:rPr>
              <w:t>9</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34" w14:textId="77777777" w:rsidR="008C77B2" w:rsidRDefault="00CD4E3B">
            <w:pPr>
              <w:pStyle w:val="Tabletext"/>
              <w:rPr>
                <w:lang w:val="en-US"/>
              </w:rPr>
            </w:pPr>
            <w:r>
              <w:rPr>
                <w:lang w:val="en-US"/>
              </w:rPr>
              <w:t>Transmitting antenna type (sectorized/omnidirectional)</w:t>
            </w:r>
          </w:p>
        </w:tc>
        <w:tc>
          <w:tcPr>
            <w:tcW w:w="2070" w:type="dxa"/>
            <w:tcBorders>
              <w:top w:val="single" w:sz="4" w:space="0" w:color="auto"/>
              <w:left w:val="single" w:sz="4" w:space="0" w:color="auto"/>
              <w:bottom w:val="single" w:sz="4" w:space="0" w:color="auto"/>
              <w:right w:val="single" w:sz="4" w:space="0" w:color="auto"/>
            </w:tcBorders>
            <w:hideMark/>
          </w:tcPr>
          <w:p w14:paraId="5CAE1035" w14:textId="77777777" w:rsidR="008C77B2" w:rsidRDefault="00CD4E3B">
            <w:pPr>
              <w:pStyle w:val="Tabletext"/>
              <w:jc w:val="center"/>
              <w:rPr>
                <w:lang w:val="en-US"/>
              </w:rPr>
            </w:pPr>
            <w:r>
              <w:rPr>
                <w:lang w:val="en-US"/>
              </w:rPr>
              <w:t>3 sectors</w:t>
            </w:r>
          </w:p>
        </w:tc>
        <w:tc>
          <w:tcPr>
            <w:tcW w:w="2070" w:type="dxa"/>
            <w:tcBorders>
              <w:top w:val="single" w:sz="4" w:space="0" w:color="auto"/>
              <w:left w:val="single" w:sz="4" w:space="0" w:color="auto"/>
              <w:bottom w:val="single" w:sz="4" w:space="0" w:color="auto"/>
              <w:right w:val="single" w:sz="4" w:space="0" w:color="auto"/>
            </w:tcBorders>
            <w:hideMark/>
          </w:tcPr>
          <w:p w14:paraId="5CAE1036" w14:textId="77777777" w:rsidR="008C77B2" w:rsidRDefault="00CD4E3B">
            <w:pPr>
              <w:pStyle w:val="Tabletext"/>
              <w:jc w:val="center"/>
              <w:rPr>
                <w:lang w:val="en-US"/>
              </w:rPr>
            </w:pPr>
            <w:r>
              <w:rPr>
                <w:lang w:val="en-US"/>
              </w:rPr>
              <w:t>omni</w:t>
            </w:r>
          </w:p>
        </w:tc>
      </w:tr>
      <w:tr w:rsidR="008C77B2" w14:paraId="5CAE103C"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38" w14:textId="77777777" w:rsidR="008C77B2" w:rsidRDefault="00CD4E3B">
            <w:pPr>
              <w:pStyle w:val="Tabletext"/>
              <w:rPr>
                <w:lang w:val="en-US"/>
              </w:rPr>
            </w:pPr>
            <w:r>
              <w:rPr>
                <w:lang w:val="en-US" w:eastAsia="ko-KR"/>
              </w:rPr>
              <w:t>10</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39" w14:textId="77777777" w:rsidR="008C77B2" w:rsidRDefault="00CD4E3B">
            <w:pPr>
              <w:pStyle w:val="Tabletext"/>
              <w:rPr>
                <w:lang w:val="en-US"/>
              </w:rPr>
            </w:pPr>
            <w:r>
              <w:rPr>
                <w:lang w:val="en-US"/>
              </w:rPr>
              <w:t>Transmitting antenna gain, dBi</w:t>
            </w:r>
          </w:p>
        </w:tc>
        <w:tc>
          <w:tcPr>
            <w:tcW w:w="2070" w:type="dxa"/>
            <w:tcBorders>
              <w:top w:val="single" w:sz="4" w:space="0" w:color="auto"/>
              <w:left w:val="single" w:sz="4" w:space="0" w:color="auto"/>
              <w:bottom w:val="single" w:sz="4" w:space="0" w:color="auto"/>
              <w:right w:val="single" w:sz="4" w:space="0" w:color="auto"/>
            </w:tcBorders>
            <w:hideMark/>
          </w:tcPr>
          <w:p w14:paraId="5CAE103A" w14:textId="77777777" w:rsidR="008C77B2" w:rsidRDefault="00CD4E3B">
            <w:pPr>
              <w:pStyle w:val="Tabletext"/>
              <w:jc w:val="center"/>
              <w:rPr>
                <w:lang w:val="en-US"/>
              </w:rPr>
            </w:pPr>
            <w:r>
              <w:rPr>
                <w:lang w:val="en-US"/>
              </w:rPr>
              <w:t>15</w:t>
            </w:r>
          </w:p>
        </w:tc>
        <w:tc>
          <w:tcPr>
            <w:tcW w:w="2070" w:type="dxa"/>
            <w:tcBorders>
              <w:top w:val="single" w:sz="4" w:space="0" w:color="auto"/>
              <w:left w:val="single" w:sz="4" w:space="0" w:color="auto"/>
              <w:bottom w:val="single" w:sz="4" w:space="0" w:color="auto"/>
              <w:right w:val="single" w:sz="4" w:space="0" w:color="auto"/>
            </w:tcBorders>
            <w:hideMark/>
          </w:tcPr>
          <w:p w14:paraId="5CAE103B" w14:textId="77777777" w:rsidR="008C77B2" w:rsidRDefault="00CD4E3B">
            <w:pPr>
              <w:pStyle w:val="Tabletext"/>
              <w:jc w:val="center"/>
              <w:rPr>
                <w:lang w:val="en-US"/>
              </w:rPr>
            </w:pPr>
            <w:r>
              <w:rPr>
                <w:lang w:val="en-US"/>
              </w:rPr>
              <w:t>0</w:t>
            </w:r>
          </w:p>
        </w:tc>
      </w:tr>
      <w:tr w:rsidR="008C77B2" w14:paraId="5CAE1041"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3D" w14:textId="77777777" w:rsidR="008C77B2" w:rsidRDefault="00CD4E3B">
            <w:pPr>
              <w:pStyle w:val="Tabletext"/>
              <w:rPr>
                <w:lang w:val="en-US"/>
              </w:rPr>
            </w:pPr>
            <w:r>
              <w:rPr>
                <w:lang w:val="en-US"/>
              </w:rPr>
              <w:t>1</w:t>
            </w:r>
            <w:r>
              <w:rPr>
                <w:lang w:val="en-US" w:eastAsia="ko-KR"/>
              </w:rPr>
              <w:t>1</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3E" w14:textId="77777777" w:rsidR="008C77B2" w:rsidRDefault="00CD4E3B">
            <w:pPr>
              <w:pStyle w:val="Tabletext"/>
              <w:rPr>
                <w:lang w:val="en-US"/>
              </w:rPr>
            </w:pPr>
            <w:r>
              <w:rPr>
                <w:lang w:val="en-US"/>
              </w:rPr>
              <w:t>Feeder loss (dB)</w:t>
            </w:r>
          </w:p>
        </w:tc>
        <w:tc>
          <w:tcPr>
            <w:tcW w:w="2070" w:type="dxa"/>
            <w:tcBorders>
              <w:top w:val="single" w:sz="4" w:space="0" w:color="auto"/>
              <w:left w:val="single" w:sz="4" w:space="0" w:color="auto"/>
              <w:bottom w:val="single" w:sz="4" w:space="0" w:color="auto"/>
              <w:right w:val="single" w:sz="4" w:space="0" w:color="auto"/>
            </w:tcBorders>
            <w:hideMark/>
          </w:tcPr>
          <w:p w14:paraId="5CAE103F" w14:textId="77777777" w:rsidR="008C77B2" w:rsidRDefault="00CD4E3B">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hideMark/>
          </w:tcPr>
          <w:p w14:paraId="5CAE1040" w14:textId="77777777" w:rsidR="008C77B2" w:rsidRDefault="00CD4E3B">
            <w:pPr>
              <w:pStyle w:val="Tabletext"/>
              <w:jc w:val="center"/>
              <w:rPr>
                <w:lang w:val="en-US"/>
              </w:rPr>
            </w:pPr>
            <w:r>
              <w:rPr>
                <w:lang w:val="en-US"/>
              </w:rPr>
              <w:t>0</w:t>
            </w:r>
          </w:p>
        </w:tc>
      </w:tr>
      <w:tr w:rsidR="008C77B2" w14:paraId="5CAE1046"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42" w14:textId="77777777" w:rsidR="008C77B2" w:rsidRDefault="00CD4E3B">
            <w:pPr>
              <w:pStyle w:val="Tabletext"/>
              <w:rPr>
                <w:lang w:val="en-US"/>
              </w:rPr>
            </w:pPr>
            <w:r>
              <w:rPr>
                <w:lang w:val="en-US"/>
              </w:rPr>
              <w:t>1</w:t>
            </w:r>
            <w:r>
              <w:rPr>
                <w:lang w:val="en-US" w:eastAsia="ko-KR"/>
              </w:rPr>
              <w:t>2</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43" w14:textId="77777777" w:rsidR="008C77B2" w:rsidRDefault="00CD4E3B">
            <w:pPr>
              <w:pStyle w:val="Tabletext"/>
              <w:rPr>
                <w:lang w:val="en-US"/>
              </w:rPr>
            </w:pPr>
            <w:r>
              <w:rPr>
                <w:lang w:val="en-US"/>
              </w:rPr>
              <w:t>Antenna pattern model</w:t>
            </w:r>
          </w:p>
        </w:tc>
        <w:tc>
          <w:tcPr>
            <w:tcW w:w="2070" w:type="dxa"/>
            <w:tcBorders>
              <w:top w:val="single" w:sz="4" w:space="0" w:color="auto"/>
              <w:left w:val="single" w:sz="4" w:space="0" w:color="auto"/>
              <w:bottom w:val="single" w:sz="4" w:space="0" w:color="auto"/>
              <w:right w:val="single" w:sz="4" w:space="0" w:color="auto"/>
            </w:tcBorders>
            <w:hideMark/>
          </w:tcPr>
          <w:p w14:paraId="5CAE1044" w14:textId="77777777" w:rsidR="008C77B2" w:rsidRDefault="00CD4E3B">
            <w:pPr>
              <w:pStyle w:val="Tabletext"/>
              <w:jc w:val="center"/>
              <w:rPr>
                <w:lang w:val="en-US"/>
              </w:rPr>
            </w:pPr>
            <w:r>
              <w:rPr>
                <w:lang w:val="en-US"/>
              </w:rPr>
              <w:t>ITU-R F.1336-2</w:t>
            </w:r>
            <w:r>
              <w:rPr>
                <w:rStyle w:val="FootnoteReference"/>
                <w:szCs w:val="22"/>
                <w:vertAlign w:val="superscript"/>
                <w:lang w:val="en-US"/>
              </w:rPr>
              <w:footnoteReference w:id="10"/>
            </w:r>
          </w:p>
        </w:tc>
        <w:tc>
          <w:tcPr>
            <w:tcW w:w="2070" w:type="dxa"/>
            <w:tcBorders>
              <w:top w:val="single" w:sz="4" w:space="0" w:color="auto"/>
              <w:left w:val="single" w:sz="4" w:space="0" w:color="auto"/>
              <w:bottom w:val="single" w:sz="4" w:space="0" w:color="auto"/>
              <w:right w:val="single" w:sz="4" w:space="0" w:color="auto"/>
            </w:tcBorders>
            <w:hideMark/>
          </w:tcPr>
          <w:p w14:paraId="5CAE1045" w14:textId="77777777" w:rsidR="008C77B2" w:rsidRDefault="00CD4E3B">
            <w:pPr>
              <w:pStyle w:val="Tabletext"/>
              <w:jc w:val="center"/>
              <w:rPr>
                <w:lang w:val="en-US"/>
              </w:rPr>
            </w:pPr>
            <w:r>
              <w:rPr>
                <w:lang w:val="en-US"/>
              </w:rPr>
              <w:t>omni</w:t>
            </w:r>
          </w:p>
        </w:tc>
      </w:tr>
      <w:tr w:rsidR="008C77B2" w14:paraId="5CAE104B"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47" w14:textId="77777777" w:rsidR="008C77B2" w:rsidRDefault="00CD4E3B">
            <w:pPr>
              <w:pStyle w:val="Tabletext"/>
              <w:rPr>
                <w:lang w:val="en-US"/>
              </w:rPr>
            </w:pPr>
            <w:r>
              <w:rPr>
                <w:lang w:val="en-US"/>
              </w:rPr>
              <w:t>1</w:t>
            </w:r>
            <w:r>
              <w:rPr>
                <w:lang w:val="en-US" w:eastAsia="ko-KR"/>
              </w:rPr>
              <w:t>2</w:t>
            </w: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14:paraId="5CAE1048" w14:textId="6B425C7B" w:rsidR="008C77B2" w:rsidRDefault="00CD4E3B">
            <w:pPr>
              <w:pStyle w:val="Tabletext"/>
              <w:rPr>
                <w:lang w:val="en-US"/>
              </w:rPr>
            </w:pPr>
            <w:r>
              <w:rPr>
                <w:lang w:val="en-US"/>
              </w:rPr>
              <w:t xml:space="preserve">–  </w:t>
            </w:r>
            <w:r w:rsidR="00340B9C">
              <w:rPr>
                <w:lang w:val="en-US"/>
              </w:rPr>
              <w:t xml:space="preserve">aperture </w:t>
            </w:r>
            <w:r>
              <w:rPr>
                <w:lang w:val="en-US"/>
              </w:rPr>
              <w:t>in the horizontal plane at 3 dB (in deg.)</w:t>
            </w:r>
          </w:p>
        </w:tc>
        <w:tc>
          <w:tcPr>
            <w:tcW w:w="2070" w:type="dxa"/>
            <w:tcBorders>
              <w:top w:val="single" w:sz="4" w:space="0" w:color="auto"/>
              <w:left w:val="single" w:sz="4" w:space="0" w:color="auto"/>
              <w:bottom w:val="single" w:sz="4" w:space="0" w:color="auto"/>
              <w:right w:val="single" w:sz="4" w:space="0" w:color="auto"/>
            </w:tcBorders>
            <w:hideMark/>
          </w:tcPr>
          <w:p w14:paraId="5CAE1049" w14:textId="77777777" w:rsidR="008C77B2" w:rsidRDefault="00CD4E3B">
            <w:pPr>
              <w:pStyle w:val="Tabletext"/>
              <w:jc w:val="center"/>
              <w:rPr>
                <w:lang w:val="en-US"/>
              </w:rPr>
            </w:pPr>
            <w:r>
              <w:rPr>
                <w:lang w:val="en-US"/>
              </w:rPr>
              <w:t>65</w:t>
            </w:r>
          </w:p>
        </w:tc>
        <w:tc>
          <w:tcPr>
            <w:tcW w:w="2070" w:type="dxa"/>
            <w:tcBorders>
              <w:top w:val="single" w:sz="4" w:space="0" w:color="auto"/>
              <w:left w:val="single" w:sz="4" w:space="0" w:color="auto"/>
              <w:bottom w:val="single" w:sz="4" w:space="0" w:color="auto"/>
              <w:right w:val="single" w:sz="4" w:space="0" w:color="auto"/>
            </w:tcBorders>
            <w:hideMark/>
          </w:tcPr>
          <w:p w14:paraId="5CAE104A" w14:textId="77777777" w:rsidR="008C77B2" w:rsidRDefault="00CD4E3B">
            <w:pPr>
              <w:pStyle w:val="Tabletext"/>
              <w:jc w:val="center"/>
              <w:rPr>
                <w:lang w:val="en-US"/>
              </w:rPr>
            </w:pPr>
            <w:r>
              <w:rPr>
                <w:lang w:val="en-US"/>
              </w:rPr>
              <w:t>NA</w:t>
            </w:r>
          </w:p>
        </w:tc>
      </w:tr>
    </w:tbl>
    <w:p w14:paraId="5CAE104C" w14:textId="77777777" w:rsidR="008C77B2" w:rsidRDefault="008C77B2">
      <w:pPr>
        <w:tabs>
          <w:tab w:val="clear" w:pos="1134"/>
          <w:tab w:val="clear" w:pos="1871"/>
          <w:tab w:val="clear" w:pos="2268"/>
        </w:tabs>
        <w:overflowPunct/>
        <w:autoSpaceDE/>
        <w:autoSpaceDN/>
        <w:adjustRightInd/>
        <w:spacing w:before="0"/>
        <w:rPr>
          <w:sz w:val="20"/>
        </w:rPr>
        <w:sectPr w:rsidR="008C77B2" w:rsidSect="001D23A4">
          <w:headerReference w:type="default" r:id="rId18"/>
          <w:footerReference w:type="default" r:id="rId19"/>
          <w:footerReference w:type="first" r:id="rId20"/>
          <w:pgSz w:w="11907" w:h="16834" w:code="9"/>
          <w:pgMar w:top="1418" w:right="1134" w:bottom="1418" w:left="1134" w:header="720" w:footer="720" w:gutter="0"/>
          <w:paperSrc w:first="15" w:other="15"/>
          <w:cols w:space="720"/>
          <w:titlePg/>
        </w:sectPr>
      </w:pPr>
    </w:p>
    <w:tbl>
      <w:tblPr>
        <w:tblW w:w="9915" w:type="dxa"/>
        <w:jc w:val="center"/>
        <w:tblLayout w:type="fixed"/>
        <w:tblLook w:val="01E0" w:firstRow="1" w:lastRow="1" w:firstColumn="1" w:lastColumn="1" w:noHBand="0" w:noVBand="0"/>
      </w:tblPr>
      <w:tblGrid>
        <w:gridCol w:w="706"/>
        <w:gridCol w:w="5069"/>
        <w:gridCol w:w="2070"/>
        <w:gridCol w:w="2070"/>
      </w:tblGrid>
      <w:tr w:rsidR="008C77B2" w14:paraId="5CAE1051" w14:textId="77777777" w:rsidTr="00340B9C">
        <w:trPr>
          <w:cantSplit/>
          <w:tblHeader/>
          <w:jc w:val="center"/>
        </w:trPr>
        <w:tc>
          <w:tcPr>
            <w:tcW w:w="706" w:type="dxa"/>
            <w:tcBorders>
              <w:top w:val="single" w:sz="4" w:space="0" w:color="auto"/>
              <w:left w:val="single" w:sz="4" w:space="0" w:color="auto"/>
              <w:bottom w:val="single" w:sz="4" w:space="0" w:color="auto"/>
              <w:right w:val="single" w:sz="4" w:space="0" w:color="auto"/>
            </w:tcBorders>
            <w:hideMark/>
          </w:tcPr>
          <w:p w14:paraId="5CAE104D" w14:textId="77777777" w:rsidR="008C77B2" w:rsidRDefault="00CD4E3B">
            <w:pPr>
              <w:pStyle w:val="Tablehead"/>
              <w:rPr>
                <w:lang w:val="en-US"/>
              </w:rPr>
            </w:pPr>
            <w:r>
              <w:rPr>
                <w:lang w:val="en-US"/>
              </w:rPr>
              <w:t>No</w:t>
            </w:r>
          </w:p>
        </w:tc>
        <w:tc>
          <w:tcPr>
            <w:tcW w:w="5069" w:type="dxa"/>
            <w:tcBorders>
              <w:top w:val="single" w:sz="4" w:space="0" w:color="auto"/>
              <w:left w:val="single" w:sz="4" w:space="0" w:color="auto"/>
              <w:bottom w:val="single" w:sz="4" w:space="0" w:color="auto"/>
              <w:right w:val="single" w:sz="4" w:space="0" w:color="auto"/>
            </w:tcBorders>
            <w:hideMark/>
          </w:tcPr>
          <w:p w14:paraId="5CAE104E" w14:textId="77777777"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14:paraId="5CAE104F" w14:textId="77777777"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14:paraId="5CAE1050" w14:textId="77777777" w:rsidR="008C77B2" w:rsidRDefault="00CD4E3B">
            <w:pPr>
              <w:pStyle w:val="Tablehead"/>
              <w:rPr>
                <w:lang w:val="en-US"/>
              </w:rPr>
            </w:pPr>
            <w:r>
              <w:rPr>
                <w:lang w:val="en-US"/>
              </w:rPr>
              <w:t>Mobile station</w:t>
            </w:r>
          </w:p>
        </w:tc>
      </w:tr>
      <w:tr w:rsidR="008C77B2" w14:paraId="5CAE1056"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52" w14:textId="77777777" w:rsidR="008C77B2" w:rsidRDefault="00CD4E3B">
            <w:pPr>
              <w:pStyle w:val="Tabletext"/>
              <w:rPr>
                <w:lang w:val="en-US"/>
              </w:rPr>
            </w:pPr>
            <w:r>
              <w:rPr>
                <w:lang w:val="en-US"/>
              </w:rPr>
              <w:t>1</w:t>
            </w:r>
            <w:r>
              <w:rPr>
                <w:lang w:val="en-US" w:eastAsia="ko-KR"/>
              </w:rPr>
              <w:t>2</w:t>
            </w:r>
            <w:r>
              <w:rPr>
                <w:lang w:val="en-US"/>
              </w:rPr>
              <w:t>.2</w:t>
            </w:r>
          </w:p>
        </w:tc>
        <w:tc>
          <w:tcPr>
            <w:tcW w:w="5069" w:type="dxa"/>
            <w:tcBorders>
              <w:top w:val="single" w:sz="4" w:space="0" w:color="auto"/>
              <w:left w:val="single" w:sz="4" w:space="0" w:color="auto"/>
              <w:bottom w:val="single" w:sz="4" w:space="0" w:color="auto"/>
              <w:right w:val="single" w:sz="4" w:space="0" w:color="auto"/>
            </w:tcBorders>
            <w:hideMark/>
          </w:tcPr>
          <w:p w14:paraId="5CAE1053" w14:textId="77777777" w:rsidR="008C77B2" w:rsidRDefault="00CD4E3B">
            <w:pPr>
              <w:pStyle w:val="Tabletext"/>
              <w:rPr>
                <w:lang w:val="en-US"/>
              </w:rPr>
            </w:pPr>
            <w:r>
              <w:rPr>
                <w:lang w:val="en-US"/>
              </w:rPr>
              <w:t>–  aperture in the vertical plane at 3 dB (in deg.)</w:t>
            </w:r>
          </w:p>
        </w:tc>
        <w:tc>
          <w:tcPr>
            <w:tcW w:w="2070" w:type="dxa"/>
            <w:tcBorders>
              <w:top w:val="single" w:sz="4" w:space="0" w:color="auto"/>
              <w:left w:val="single" w:sz="4" w:space="0" w:color="auto"/>
              <w:bottom w:val="single" w:sz="4" w:space="0" w:color="auto"/>
              <w:right w:val="single" w:sz="4" w:space="0" w:color="auto"/>
            </w:tcBorders>
            <w:hideMark/>
          </w:tcPr>
          <w:p w14:paraId="5CAE1054" w14:textId="77777777" w:rsidR="008C77B2" w:rsidRDefault="00CD4E3B">
            <w:pPr>
              <w:pStyle w:val="Tabletext"/>
              <w:jc w:val="center"/>
              <w:rPr>
                <w:lang w:val="en-US"/>
              </w:rPr>
            </w:pPr>
            <w:r>
              <w:rPr>
                <w:lang w:val="en-US"/>
              </w:rPr>
              <w:t>15</w:t>
            </w:r>
            <w:r>
              <w:rPr>
                <w:rStyle w:val="FootnoteReference"/>
                <w:szCs w:val="22"/>
                <w:vertAlign w:val="superscript"/>
                <w:lang w:val="en-US"/>
              </w:rPr>
              <w:footnoteReference w:id="11"/>
            </w:r>
          </w:p>
        </w:tc>
        <w:tc>
          <w:tcPr>
            <w:tcW w:w="2070" w:type="dxa"/>
            <w:tcBorders>
              <w:top w:val="single" w:sz="4" w:space="0" w:color="auto"/>
              <w:left w:val="single" w:sz="4" w:space="0" w:color="auto"/>
              <w:bottom w:val="single" w:sz="4" w:space="0" w:color="auto"/>
              <w:right w:val="single" w:sz="4" w:space="0" w:color="auto"/>
            </w:tcBorders>
            <w:hideMark/>
          </w:tcPr>
          <w:p w14:paraId="5CAE1055" w14:textId="77777777" w:rsidR="008C77B2" w:rsidRDefault="00CD4E3B">
            <w:pPr>
              <w:pStyle w:val="Tabletext"/>
              <w:jc w:val="center"/>
              <w:rPr>
                <w:lang w:val="en-US"/>
              </w:rPr>
            </w:pPr>
            <w:r>
              <w:rPr>
                <w:lang w:val="en-US"/>
              </w:rPr>
              <w:t>NA</w:t>
            </w:r>
          </w:p>
        </w:tc>
      </w:tr>
      <w:tr w:rsidR="008C77B2" w14:paraId="5CAE105B"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57" w14:textId="77777777" w:rsidR="008C77B2" w:rsidRDefault="00CD4E3B">
            <w:pPr>
              <w:pStyle w:val="Tabletext"/>
              <w:rPr>
                <w:lang w:val="en-US"/>
              </w:rPr>
            </w:pPr>
            <w:r>
              <w:rPr>
                <w:lang w:val="en-US"/>
              </w:rPr>
              <w:t>1</w:t>
            </w:r>
            <w:r>
              <w:rPr>
                <w:lang w:val="en-US" w:eastAsia="ko-KR"/>
              </w:rPr>
              <w:t>2</w:t>
            </w:r>
            <w:r>
              <w:rPr>
                <w:lang w:val="en-US"/>
              </w:rPr>
              <w:t>.3</w:t>
            </w:r>
          </w:p>
        </w:tc>
        <w:tc>
          <w:tcPr>
            <w:tcW w:w="5069" w:type="dxa"/>
            <w:tcBorders>
              <w:top w:val="single" w:sz="4" w:space="0" w:color="auto"/>
              <w:left w:val="single" w:sz="4" w:space="0" w:color="auto"/>
              <w:bottom w:val="single" w:sz="4" w:space="0" w:color="auto"/>
              <w:right w:val="single" w:sz="4" w:space="0" w:color="auto"/>
            </w:tcBorders>
            <w:hideMark/>
          </w:tcPr>
          <w:p w14:paraId="5CAE1058" w14:textId="77777777" w:rsidR="008C77B2" w:rsidRDefault="00CD4E3B">
            <w:pPr>
              <w:pStyle w:val="Tabletext"/>
              <w:rPr>
                <w:lang w:val="en-US"/>
              </w:rPr>
            </w:pPr>
            <w:r>
              <w:rPr>
                <w:lang w:val="en-US"/>
              </w:rPr>
              <w:t>–  antenna downtilt</w:t>
            </w:r>
          </w:p>
        </w:tc>
        <w:tc>
          <w:tcPr>
            <w:tcW w:w="2070" w:type="dxa"/>
            <w:tcBorders>
              <w:top w:val="single" w:sz="4" w:space="0" w:color="auto"/>
              <w:left w:val="single" w:sz="4" w:space="0" w:color="auto"/>
              <w:bottom w:val="single" w:sz="4" w:space="0" w:color="auto"/>
              <w:right w:val="single" w:sz="4" w:space="0" w:color="auto"/>
            </w:tcBorders>
            <w:hideMark/>
          </w:tcPr>
          <w:p w14:paraId="5CAE1059" w14:textId="77777777" w:rsidR="008C77B2" w:rsidRDefault="00CD4E3B">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hideMark/>
          </w:tcPr>
          <w:p w14:paraId="5CAE105A" w14:textId="77777777" w:rsidR="008C77B2" w:rsidRDefault="00CD4E3B">
            <w:pPr>
              <w:pStyle w:val="Tabletext"/>
              <w:jc w:val="center"/>
              <w:rPr>
                <w:lang w:val="en-US"/>
              </w:rPr>
            </w:pPr>
            <w:r>
              <w:rPr>
                <w:lang w:val="en-US"/>
              </w:rPr>
              <w:t>NA</w:t>
            </w:r>
          </w:p>
        </w:tc>
      </w:tr>
      <w:tr w:rsidR="008C77B2" w14:paraId="5CAE1060"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5C" w14:textId="77777777" w:rsidR="008C77B2" w:rsidRDefault="00CD4E3B">
            <w:pPr>
              <w:pStyle w:val="Tabletext"/>
              <w:rPr>
                <w:lang w:val="en-US"/>
              </w:rPr>
            </w:pPr>
            <w:r>
              <w:rPr>
                <w:lang w:val="en-US"/>
              </w:rPr>
              <w:t>1</w:t>
            </w:r>
            <w:r>
              <w:rPr>
                <w:lang w:val="en-US" w:eastAsia="ko-KR"/>
              </w:rPr>
              <w:t>3</w:t>
            </w:r>
            <w:r>
              <w:rPr>
                <w:lang w:val="en-US"/>
              </w:rPr>
              <w:t>.</w:t>
            </w:r>
          </w:p>
        </w:tc>
        <w:tc>
          <w:tcPr>
            <w:tcW w:w="5069" w:type="dxa"/>
            <w:tcBorders>
              <w:top w:val="single" w:sz="4" w:space="0" w:color="auto"/>
              <w:left w:val="single" w:sz="4" w:space="0" w:color="auto"/>
              <w:bottom w:val="single" w:sz="4" w:space="0" w:color="auto"/>
              <w:right w:val="single" w:sz="4" w:space="0" w:color="auto"/>
            </w:tcBorders>
            <w:hideMark/>
          </w:tcPr>
          <w:p w14:paraId="5CAE105D" w14:textId="77777777" w:rsidR="008C77B2" w:rsidRDefault="00CD4E3B">
            <w:pPr>
              <w:pStyle w:val="Tabletext"/>
              <w:rPr>
                <w:lang w:val="en-US"/>
              </w:rPr>
            </w:pPr>
            <w:r>
              <w:rPr>
                <w:lang w:val="en-US"/>
              </w:rPr>
              <w:t>Relative level of side lobes</w:t>
            </w:r>
          </w:p>
        </w:tc>
        <w:tc>
          <w:tcPr>
            <w:tcW w:w="2070" w:type="dxa"/>
            <w:tcBorders>
              <w:top w:val="single" w:sz="4" w:space="0" w:color="auto"/>
              <w:left w:val="single" w:sz="4" w:space="0" w:color="auto"/>
              <w:bottom w:val="single" w:sz="4" w:space="0" w:color="auto"/>
              <w:right w:val="single" w:sz="4" w:space="0" w:color="auto"/>
            </w:tcBorders>
            <w:hideMark/>
          </w:tcPr>
          <w:p w14:paraId="5CAE105E" w14:textId="77777777" w:rsidR="008C77B2" w:rsidRDefault="00CD4E3B">
            <w:pPr>
              <w:pStyle w:val="Tabletext"/>
              <w:jc w:val="center"/>
              <w:rPr>
                <w:lang w:val="en-US"/>
              </w:rPr>
            </w:pPr>
            <w:r>
              <w:rPr>
                <w:rFonts w:ascii="CG Times" w:hAnsi="CG Times"/>
                <w:lang w:val="en-US" w:eastAsia="ja-JP"/>
              </w:rPr>
              <w:t>–20 dB</w:t>
            </w:r>
          </w:p>
        </w:tc>
        <w:tc>
          <w:tcPr>
            <w:tcW w:w="2070" w:type="dxa"/>
            <w:tcBorders>
              <w:top w:val="single" w:sz="4" w:space="0" w:color="auto"/>
              <w:left w:val="single" w:sz="4" w:space="0" w:color="auto"/>
              <w:bottom w:val="single" w:sz="4" w:space="0" w:color="auto"/>
              <w:right w:val="single" w:sz="4" w:space="0" w:color="auto"/>
            </w:tcBorders>
            <w:hideMark/>
          </w:tcPr>
          <w:p w14:paraId="5CAE105F" w14:textId="77777777" w:rsidR="008C77B2" w:rsidRDefault="00CD4E3B">
            <w:pPr>
              <w:pStyle w:val="Tabletext"/>
              <w:jc w:val="center"/>
              <w:rPr>
                <w:lang w:val="en-US"/>
              </w:rPr>
            </w:pPr>
            <w:r>
              <w:rPr>
                <w:rFonts w:ascii="CG Times" w:hAnsi="CG Times"/>
                <w:lang w:val="en-US" w:eastAsia="ja-JP"/>
              </w:rPr>
              <w:t>NA</w:t>
            </w:r>
          </w:p>
        </w:tc>
      </w:tr>
      <w:tr w:rsidR="008C77B2" w14:paraId="5CAE1065"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61" w14:textId="77777777" w:rsidR="008C77B2" w:rsidRDefault="00CD4E3B">
            <w:pPr>
              <w:pStyle w:val="Tabletext"/>
              <w:rPr>
                <w:lang w:val="en-US" w:eastAsia="ko-KR"/>
              </w:rPr>
            </w:pPr>
            <w:r>
              <w:rPr>
                <w:lang w:val="en-US"/>
              </w:rPr>
              <w:t>1</w:t>
            </w:r>
            <w:r>
              <w:rPr>
                <w:lang w:val="en-US" w:eastAsia="ko-KR"/>
              </w:rPr>
              <w:t>4.</w:t>
            </w:r>
          </w:p>
        </w:tc>
        <w:tc>
          <w:tcPr>
            <w:tcW w:w="5069" w:type="dxa"/>
            <w:tcBorders>
              <w:top w:val="single" w:sz="4" w:space="0" w:color="auto"/>
              <w:left w:val="single" w:sz="4" w:space="0" w:color="auto"/>
              <w:bottom w:val="single" w:sz="4" w:space="0" w:color="auto"/>
              <w:right w:val="single" w:sz="4" w:space="0" w:color="auto"/>
            </w:tcBorders>
            <w:hideMark/>
          </w:tcPr>
          <w:p w14:paraId="5CAE1062" w14:textId="77777777" w:rsidR="008C77B2" w:rsidRDefault="00CD4E3B">
            <w:pPr>
              <w:pStyle w:val="Tabletext"/>
              <w:rPr>
                <w:lang w:val="en-US"/>
              </w:rPr>
            </w:pPr>
            <w:r>
              <w:rPr>
                <w:lang w:val="en-US"/>
              </w:rPr>
              <w:t>Channel bandwidth (MHz)</w:t>
            </w:r>
            <w:r>
              <w:rPr>
                <w:rStyle w:val="FootnoteReference"/>
                <w:szCs w:val="22"/>
                <w:vertAlign w:val="superscript"/>
                <w:lang w:val="en-US"/>
              </w:rPr>
              <w:footnoteReference w:id="12"/>
            </w:r>
          </w:p>
        </w:tc>
        <w:tc>
          <w:tcPr>
            <w:tcW w:w="2070" w:type="dxa"/>
            <w:tcBorders>
              <w:top w:val="single" w:sz="4" w:space="0" w:color="auto"/>
              <w:left w:val="single" w:sz="4" w:space="0" w:color="auto"/>
              <w:bottom w:val="single" w:sz="4" w:space="0" w:color="auto"/>
              <w:right w:val="single" w:sz="4" w:space="0" w:color="auto"/>
            </w:tcBorders>
            <w:hideMark/>
          </w:tcPr>
          <w:p w14:paraId="5CAE1063" w14:textId="77777777" w:rsidR="008C77B2" w:rsidRDefault="00CD4E3B">
            <w:pPr>
              <w:pStyle w:val="Tabletext"/>
              <w:jc w:val="center"/>
              <w:rPr>
                <w:lang w:val="en-US"/>
              </w:rPr>
            </w:pPr>
            <w:r>
              <w:rPr>
                <w:lang w:val="en-US"/>
              </w:rPr>
              <w:t>5</w:t>
            </w:r>
            <w:r>
              <w:rPr>
                <w:lang w:val="en-US"/>
              </w:rPr>
              <w:br/>
              <w:t>1.25</w:t>
            </w:r>
          </w:p>
        </w:tc>
        <w:tc>
          <w:tcPr>
            <w:tcW w:w="2070" w:type="dxa"/>
            <w:tcBorders>
              <w:top w:val="single" w:sz="4" w:space="0" w:color="auto"/>
              <w:left w:val="single" w:sz="4" w:space="0" w:color="auto"/>
              <w:bottom w:val="single" w:sz="4" w:space="0" w:color="auto"/>
              <w:right w:val="single" w:sz="4" w:space="0" w:color="auto"/>
            </w:tcBorders>
            <w:hideMark/>
          </w:tcPr>
          <w:p w14:paraId="5CAE1064" w14:textId="77777777" w:rsidR="008C77B2" w:rsidRDefault="00CD4E3B">
            <w:pPr>
              <w:pStyle w:val="Tabletext"/>
              <w:jc w:val="center"/>
              <w:rPr>
                <w:lang w:val="en-US"/>
              </w:rPr>
            </w:pPr>
            <w:r>
              <w:rPr>
                <w:lang w:val="en-US"/>
              </w:rPr>
              <w:t>5</w:t>
            </w:r>
            <w:r>
              <w:rPr>
                <w:lang w:val="en-US"/>
              </w:rPr>
              <w:br/>
              <w:t>1.25</w:t>
            </w:r>
          </w:p>
        </w:tc>
      </w:tr>
      <w:tr w:rsidR="008C77B2" w14:paraId="5CAE106A"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66" w14:textId="77777777" w:rsidR="008C77B2" w:rsidRDefault="00CD4E3B">
            <w:pPr>
              <w:pStyle w:val="Tabletext"/>
              <w:rPr>
                <w:lang w:val="en-US" w:eastAsia="ko-KR"/>
              </w:rPr>
            </w:pPr>
            <w:r>
              <w:rPr>
                <w:lang w:val="en-US"/>
              </w:rPr>
              <w:t>1</w:t>
            </w:r>
            <w:r>
              <w:rPr>
                <w:lang w:val="en-US" w:eastAsia="ko-KR"/>
              </w:rPr>
              <w:t>5.</w:t>
            </w:r>
          </w:p>
        </w:tc>
        <w:tc>
          <w:tcPr>
            <w:tcW w:w="5069" w:type="dxa"/>
            <w:tcBorders>
              <w:top w:val="single" w:sz="4" w:space="0" w:color="auto"/>
              <w:left w:val="single" w:sz="4" w:space="0" w:color="auto"/>
              <w:bottom w:val="single" w:sz="4" w:space="0" w:color="auto"/>
              <w:right w:val="single" w:sz="4" w:space="0" w:color="auto"/>
            </w:tcBorders>
            <w:hideMark/>
          </w:tcPr>
          <w:p w14:paraId="5CAE1067" w14:textId="77777777" w:rsidR="008C77B2" w:rsidRDefault="00CD4E3B">
            <w:pPr>
              <w:pStyle w:val="Tabletext"/>
              <w:rPr>
                <w:lang w:val="en-US"/>
              </w:rPr>
            </w:pPr>
            <w:r>
              <w:rPr>
                <w:lang w:val="en-US"/>
              </w:rPr>
              <w:t>Power control range (dB)</w:t>
            </w:r>
          </w:p>
        </w:tc>
        <w:tc>
          <w:tcPr>
            <w:tcW w:w="2070" w:type="dxa"/>
            <w:tcBorders>
              <w:top w:val="single" w:sz="4" w:space="0" w:color="auto"/>
              <w:left w:val="single" w:sz="4" w:space="0" w:color="auto"/>
              <w:bottom w:val="single" w:sz="4" w:space="0" w:color="auto"/>
              <w:right w:val="single" w:sz="4" w:space="0" w:color="auto"/>
            </w:tcBorders>
            <w:hideMark/>
          </w:tcPr>
          <w:p w14:paraId="5CAE1068" w14:textId="77777777" w:rsidR="008C77B2" w:rsidRDefault="00CD4E3B">
            <w:pPr>
              <w:pStyle w:val="Tabletext"/>
              <w:jc w:val="center"/>
              <w:rPr>
                <w:lang w:val="en-US"/>
              </w:rPr>
            </w:pPr>
            <w:r>
              <w:rPr>
                <w:lang w:val="en-US"/>
              </w:rPr>
              <w:t>20</w:t>
            </w:r>
          </w:p>
        </w:tc>
        <w:tc>
          <w:tcPr>
            <w:tcW w:w="2070" w:type="dxa"/>
            <w:tcBorders>
              <w:top w:val="single" w:sz="4" w:space="0" w:color="auto"/>
              <w:left w:val="single" w:sz="4" w:space="0" w:color="auto"/>
              <w:bottom w:val="single" w:sz="4" w:space="0" w:color="auto"/>
              <w:right w:val="single" w:sz="4" w:space="0" w:color="auto"/>
            </w:tcBorders>
            <w:hideMark/>
          </w:tcPr>
          <w:p w14:paraId="5CAE1069" w14:textId="77777777" w:rsidR="008C77B2" w:rsidRDefault="00CD4E3B">
            <w:pPr>
              <w:pStyle w:val="Tabletext"/>
              <w:jc w:val="center"/>
              <w:rPr>
                <w:lang w:val="en-US"/>
              </w:rPr>
            </w:pPr>
            <w:r>
              <w:rPr>
                <w:lang w:val="en-US"/>
              </w:rPr>
              <w:t>60</w:t>
            </w:r>
          </w:p>
        </w:tc>
      </w:tr>
      <w:tr w:rsidR="008C77B2" w14:paraId="5CAE1070"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6B" w14:textId="77777777" w:rsidR="008C77B2" w:rsidRDefault="00CD4E3B">
            <w:pPr>
              <w:pStyle w:val="Tabletext"/>
              <w:rPr>
                <w:szCs w:val="22"/>
                <w:lang w:val="en-US" w:eastAsia="ko-KR"/>
              </w:rPr>
            </w:pPr>
            <w:r>
              <w:rPr>
                <w:szCs w:val="22"/>
                <w:lang w:val="en-US"/>
              </w:rPr>
              <w:t>1</w:t>
            </w:r>
            <w:r>
              <w:rPr>
                <w:szCs w:val="22"/>
                <w:lang w:val="en-US" w:eastAsia="ko-KR"/>
              </w:rPr>
              <w:t>6.</w:t>
            </w:r>
          </w:p>
        </w:tc>
        <w:tc>
          <w:tcPr>
            <w:tcW w:w="5069" w:type="dxa"/>
            <w:tcBorders>
              <w:top w:val="single" w:sz="4" w:space="0" w:color="auto"/>
              <w:left w:val="single" w:sz="4" w:space="0" w:color="auto"/>
              <w:bottom w:val="single" w:sz="4" w:space="0" w:color="auto"/>
              <w:right w:val="single" w:sz="4" w:space="0" w:color="auto"/>
            </w:tcBorders>
            <w:hideMark/>
          </w:tcPr>
          <w:p w14:paraId="5CAE106C" w14:textId="77777777" w:rsidR="008C77B2" w:rsidRDefault="00CD4E3B">
            <w:pPr>
              <w:pStyle w:val="Tabletext"/>
              <w:rPr>
                <w:szCs w:val="22"/>
                <w:lang w:val="en-US"/>
              </w:rPr>
            </w:pPr>
            <w:r>
              <w:rPr>
                <w:szCs w:val="22"/>
                <w:lang w:val="en-US"/>
              </w:rPr>
              <w:t xml:space="preserve">density of the </w:t>
            </w:r>
            <w:bookmarkStart w:id="11" w:name="_Ref229987886"/>
            <w:r>
              <w:rPr>
                <w:szCs w:val="22"/>
                <w:lang w:val="en-US"/>
              </w:rPr>
              <w:t>active users</w:t>
            </w:r>
            <w:r>
              <w:rPr>
                <w:rStyle w:val="FootnoteReference"/>
                <w:szCs w:val="22"/>
                <w:vertAlign w:val="superscript"/>
                <w:lang w:val="en-US"/>
              </w:rPr>
              <w:footnoteReference w:id="13"/>
            </w:r>
            <w:bookmarkEnd w:id="11"/>
            <w:r>
              <w:rPr>
                <w:rStyle w:val="FootnoteReference"/>
                <w:szCs w:val="22"/>
                <w:vertAlign w:val="superscript"/>
                <w:lang w:val="en-US"/>
              </w:rPr>
              <w:t>,</w:t>
            </w:r>
            <w:r>
              <w:rPr>
                <w:rStyle w:val="FootnoteReference"/>
                <w:szCs w:val="22"/>
                <w:vertAlign w:val="superscript"/>
                <w:lang w:val="en-US"/>
              </w:rPr>
              <w:footnoteReference w:id="14"/>
            </w:r>
            <w:r>
              <w:rPr>
                <w:lang w:val="en-US"/>
              </w:rPr>
              <w:t xml:space="preserve"> </w:t>
            </w:r>
            <w:r>
              <w:rPr>
                <w:szCs w:val="22"/>
                <w:lang w:val="en-US"/>
              </w:rPr>
              <w:t xml:space="preserve"> (number per km</w:t>
            </w:r>
            <w:r>
              <w:rPr>
                <w:szCs w:val="22"/>
                <w:vertAlign w:val="superscript"/>
                <w:lang w:val="en-US"/>
              </w:rPr>
              <w:t>2</w:t>
            </w:r>
            <w:r>
              <w:rPr>
                <w:szCs w:val="22"/>
                <w:lang w:val="en-US"/>
              </w:rPr>
              <w:t>)</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6D" w14:textId="77777777" w:rsidR="008C77B2" w:rsidRDefault="00CD4E3B">
            <w:pPr>
              <w:pStyle w:val="Tabletext"/>
              <w:rPr>
                <w:szCs w:val="22"/>
                <w:lang w:val="en-US"/>
              </w:rPr>
            </w:pPr>
            <w:r>
              <w:rPr>
                <w:szCs w:val="22"/>
                <w:lang w:val="en-US"/>
              </w:rPr>
              <w:t>Rural: 1</w:t>
            </w:r>
            <w:bookmarkStart w:id="12" w:name="_Ref232582298"/>
            <w:r>
              <w:rPr>
                <w:rStyle w:val="FootnoteReference"/>
                <w:szCs w:val="22"/>
                <w:vertAlign w:val="superscript"/>
                <w:lang w:val="en-US"/>
              </w:rPr>
              <w:footnoteReference w:id="15"/>
            </w:r>
            <w:bookmarkEnd w:id="12"/>
            <w:r>
              <w:rPr>
                <w:szCs w:val="22"/>
                <w:lang w:val="en-US"/>
              </w:rPr>
              <w:t xml:space="preserve"> active user operating at the same time (average number of simultaneously active users)</w:t>
            </w:r>
          </w:p>
          <w:p w14:paraId="5CAE106E" w14:textId="77777777" w:rsidR="008C77B2" w:rsidRDefault="00CD4E3B">
            <w:pPr>
              <w:pStyle w:val="Tabletext"/>
              <w:rPr>
                <w:szCs w:val="22"/>
                <w:lang w:val="en-US"/>
              </w:rPr>
            </w:pPr>
            <w:r>
              <w:rPr>
                <w:szCs w:val="22"/>
                <w:lang w:val="en-US"/>
              </w:rPr>
              <w:t>Suburban : 13</w:t>
            </w:r>
          </w:p>
          <w:p w14:paraId="5CAE106F" w14:textId="77777777" w:rsidR="008C77B2" w:rsidRDefault="00CD4E3B">
            <w:pPr>
              <w:pStyle w:val="Tabletext"/>
              <w:rPr>
                <w:szCs w:val="22"/>
                <w:lang w:val="en-US"/>
              </w:rPr>
            </w:pPr>
            <w:r>
              <w:rPr>
                <w:szCs w:val="22"/>
                <w:lang w:val="en-US"/>
              </w:rPr>
              <w:t xml:space="preserve">Urban/In-building : </w:t>
            </w:r>
            <w:bookmarkStart w:id="13" w:name="_Ref229987818"/>
            <w:r>
              <w:rPr>
                <w:szCs w:val="22"/>
                <w:lang w:val="en-US"/>
              </w:rPr>
              <w:t>18</w:t>
            </w:r>
            <w:bookmarkEnd w:id="13"/>
          </w:p>
        </w:tc>
      </w:tr>
      <w:tr w:rsidR="008C77B2" w14:paraId="5CAE1078" w14:textId="77777777" w:rsidTr="00340B9C">
        <w:trPr>
          <w:cantSplit/>
          <w:trHeight w:val="1974"/>
          <w:jc w:val="center"/>
        </w:trPr>
        <w:tc>
          <w:tcPr>
            <w:tcW w:w="706" w:type="dxa"/>
            <w:tcBorders>
              <w:top w:val="single" w:sz="4" w:space="0" w:color="auto"/>
              <w:left w:val="single" w:sz="4" w:space="0" w:color="auto"/>
              <w:bottom w:val="single" w:sz="4" w:space="0" w:color="auto"/>
              <w:right w:val="single" w:sz="4" w:space="0" w:color="auto"/>
            </w:tcBorders>
            <w:hideMark/>
          </w:tcPr>
          <w:p w14:paraId="5CAE1071" w14:textId="77777777" w:rsidR="008C77B2" w:rsidRDefault="00CD4E3B">
            <w:pPr>
              <w:pStyle w:val="Tabletext"/>
              <w:rPr>
                <w:szCs w:val="22"/>
                <w:lang w:val="en-US" w:eastAsia="ko-KR"/>
              </w:rPr>
            </w:pPr>
            <w:r>
              <w:rPr>
                <w:szCs w:val="22"/>
                <w:lang w:val="en-US"/>
              </w:rPr>
              <w:t>1</w:t>
            </w:r>
            <w:r>
              <w:rPr>
                <w:szCs w:val="22"/>
                <w:lang w:val="en-US" w:eastAsia="ko-KR"/>
              </w:rPr>
              <w:t>7.</w:t>
            </w:r>
          </w:p>
        </w:tc>
        <w:tc>
          <w:tcPr>
            <w:tcW w:w="5069" w:type="dxa"/>
            <w:tcBorders>
              <w:top w:val="single" w:sz="4" w:space="0" w:color="auto"/>
              <w:left w:val="single" w:sz="4" w:space="0" w:color="auto"/>
              <w:bottom w:val="single" w:sz="4" w:space="0" w:color="auto"/>
              <w:right w:val="single" w:sz="4" w:space="0" w:color="auto"/>
            </w:tcBorders>
          </w:tcPr>
          <w:p w14:paraId="5CAE1072" w14:textId="77777777" w:rsidR="008C77B2" w:rsidRDefault="00CD4E3B">
            <w:pPr>
              <w:pStyle w:val="Tabletext"/>
              <w:rPr>
                <w:sz w:val="28"/>
                <w:szCs w:val="28"/>
                <w:vertAlign w:val="superscript"/>
                <w:lang w:val="en-US"/>
              </w:rPr>
            </w:pPr>
            <w:r>
              <w:rPr>
                <w:szCs w:val="22"/>
                <w:lang w:val="en-US"/>
              </w:rPr>
              <w:t>density of user equipments (number per km</w:t>
            </w:r>
            <w:r>
              <w:rPr>
                <w:szCs w:val="22"/>
                <w:vertAlign w:val="superscript"/>
                <w:lang w:val="en-US"/>
              </w:rPr>
              <w:t>2</w:t>
            </w:r>
            <w:r>
              <w:rPr>
                <w:szCs w:val="22"/>
                <w:lang w:val="en-US"/>
              </w:rPr>
              <w:t>) simultaneously operating in a 5 MHz bandwidth</w:t>
            </w:r>
            <w:r>
              <w:fldChar w:fldCharType="begin"/>
            </w:r>
            <w:r>
              <w:instrText xml:space="preserve"> NOTEREF _Ref229987886 \h  \* MERGEFORMAT </w:instrText>
            </w:r>
            <w:r>
              <w:fldChar w:fldCharType="separate"/>
            </w:r>
            <w:r w:rsidR="00442B04" w:rsidRPr="00442B04">
              <w:rPr>
                <w:sz w:val="28"/>
                <w:szCs w:val="28"/>
                <w:vertAlign w:val="superscript"/>
                <w:lang w:val="en-US"/>
              </w:rPr>
              <w:t>13</w:t>
            </w:r>
            <w:r>
              <w:fldChar w:fldCharType="end"/>
            </w:r>
            <w:r>
              <w:rPr>
                <w:sz w:val="28"/>
                <w:szCs w:val="28"/>
                <w:vertAlign w:val="superscript"/>
                <w:lang w:val="en-US"/>
              </w:rPr>
              <w:t>,</w:t>
            </w:r>
            <w:r>
              <w:rPr>
                <w:rStyle w:val="FootnoteReference"/>
                <w:szCs w:val="28"/>
                <w:vertAlign w:val="superscript"/>
                <w:lang w:val="en-US"/>
              </w:rPr>
              <w:footnoteReference w:id="16"/>
            </w:r>
          </w:p>
          <w:p w14:paraId="5CAE1073" w14:textId="77777777" w:rsidR="008C77B2" w:rsidRDefault="008C77B2">
            <w:pPr>
              <w:pStyle w:val="Tabletext"/>
              <w:rPr>
                <w:szCs w:val="22"/>
                <w:lang w:val="en-US"/>
              </w:rPr>
            </w:pPr>
          </w:p>
        </w:tc>
        <w:tc>
          <w:tcPr>
            <w:tcW w:w="4140" w:type="dxa"/>
            <w:gridSpan w:val="2"/>
            <w:tcBorders>
              <w:top w:val="single" w:sz="4" w:space="0" w:color="auto"/>
              <w:left w:val="single" w:sz="4" w:space="0" w:color="auto"/>
              <w:bottom w:val="single" w:sz="4" w:space="0" w:color="auto"/>
              <w:right w:val="single" w:sz="4" w:space="0" w:color="auto"/>
            </w:tcBorders>
          </w:tcPr>
          <w:p w14:paraId="5CAE1074" w14:textId="77777777" w:rsidR="008C77B2" w:rsidRDefault="00CD4E3B">
            <w:pPr>
              <w:pStyle w:val="Tabletext"/>
              <w:rPr>
                <w:szCs w:val="22"/>
                <w:lang w:val="en-US"/>
              </w:rPr>
            </w:pPr>
            <w:r>
              <w:rPr>
                <w:szCs w:val="22"/>
                <w:lang w:val="en-US"/>
              </w:rPr>
              <w:t>Rural = 0.17 (Freq reuse=1)</w:t>
            </w:r>
            <w:r>
              <w:rPr>
                <w:szCs w:val="22"/>
                <w:lang w:val="en-US"/>
              </w:rPr>
              <w:br/>
              <w:t>Rural = 0.17 (Freq reuse=3)</w:t>
            </w:r>
          </w:p>
          <w:p w14:paraId="5CAE1075" w14:textId="77777777" w:rsidR="008C77B2" w:rsidRDefault="00CD4E3B">
            <w:pPr>
              <w:pStyle w:val="Tabletext"/>
              <w:rPr>
                <w:szCs w:val="22"/>
                <w:lang w:val="en-US"/>
              </w:rPr>
            </w:pPr>
            <w:r>
              <w:rPr>
                <w:szCs w:val="22"/>
                <w:lang w:val="en-US"/>
              </w:rPr>
              <w:t>Suburban = 2.16 (Freq reuse=1)</w:t>
            </w:r>
          </w:p>
          <w:p w14:paraId="5CAE1076" w14:textId="77777777" w:rsidR="008C77B2" w:rsidRDefault="00CD4E3B">
            <w:pPr>
              <w:pStyle w:val="Tabletext"/>
              <w:rPr>
                <w:szCs w:val="22"/>
                <w:lang w:val="en-US"/>
              </w:rPr>
            </w:pPr>
            <w:r>
              <w:rPr>
                <w:szCs w:val="22"/>
                <w:lang w:val="en-US"/>
              </w:rPr>
              <w:t>Urban = 3 (Freq reuse=1)</w:t>
            </w:r>
          </w:p>
          <w:p w14:paraId="5CAE1077" w14:textId="77777777" w:rsidR="008C77B2" w:rsidRDefault="008C77B2">
            <w:pPr>
              <w:pStyle w:val="Tabletext"/>
              <w:rPr>
                <w:szCs w:val="22"/>
                <w:vertAlign w:val="superscript"/>
                <w:lang w:val="en-US"/>
              </w:rPr>
            </w:pPr>
          </w:p>
        </w:tc>
      </w:tr>
    </w:tbl>
    <w:p w14:paraId="2FE542E9" w14:textId="77777777" w:rsidR="00340B9C" w:rsidRDefault="00340B9C">
      <w:r>
        <w:rPr>
          <w:b/>
        </w:rPr>
        <w:br w:type="page"/>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069"/>
        <w:gridCol w:w="2070"/>
        <w:gridCol w:w="2070"/>
      </w:tblGrid>
      <w:tr w:rsidR="008C77B2" w14:paraId="5CAE107E"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7A" w14:textId="0B3CA07B" w:rsidR="008C77B2" w:rsidRDefault="00CD4E3B">
            <w:pPr>
              <w:pStyle w:val="Tablehead"/>
              <w:rPr>
                <w:lang w:val="en-US"/>
              </w:rPr>
            </w:pPr>
            <w:r>
              <w:rPr>
                <w:lang w:val="en-US"/>
              </w:rPr>
              <w:t>No</w:t>
            </w:r>
          </w:p>
        </w:tc>
        <w:tc>
          <w:tcPr>
            <w:tcW w:w="5069" w:type="dxa"/>
            <w:tcBorders>
              <w:top w:val="single" w:sz="4" w:space="0" w:color="auto"/>
              <w:left w:val="single" w:sz="4" w:space="0" w:color="auto"/>
              <w:bottom w:val="single" w:sz="4" w:space="0" w:color="auto"/>
              <w:right w:val="single" w:sz="4" w:space="0" w:color="auto"/>
            </w:tcBorders>
            <w:hideMark/>
          </w:tcPr>
          <w:p w14:paraId="5CAE107B" w14:textId="77777777"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14:paraId="5CAE107C" w14:textId="77777777"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14:paraId="5CAE107D" w14:textId="77777777" w:rsidR="008C77B2" w:rsidRDefault="00CD4E3B">
            <w:pPr>
              <w:pStyle w:val="Tablehead"/>
              <w:rPr>
                <w:lang w:val="en-US"/>
              </w:rPr>
            </w:pPr>
            <w:r>
              <w:rPr>
                <w:lang w:val="en-US"/>
              </w:rPr>
              <w:t>Mobile station</w:t>
            </w:r>
          </w:p>
        </w:tc>
      </w:tr>
      <w:tr w:rsidR="008C77B2" w14:paraId="5CAE1083"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7F" w14:textId="77777777" w:rsidR="008C77B2" w:rsidRDefault="00CD4E3B">
            <w:pPr>
              <w:pStyle w:val="Tabletext"/>
              <w:rPr>
                <w:szCs w:val="22"/>
                <w:lang w:val="en-US" w:eastAsia="ko-KR"/>
              </w:rPr>
            </w:pPr>
            <w:r>
              <w:rPr>
                <w:szCs w:val="22"/>
                <w:lang w:val="en-US"/>
              </w:rPr>
              <w:t>1</w:t>
            </w:r>
            <w:r>
              <w:rPr>
                <w:szCs w:val="22"/>
                <w:lang w:val="en-US" w:eastAsia="ko-KR"/>
              </w:rPr>
              <w:t>8.</w:t>
            </w:r>
          </w:p>
        </w:tc>
        <w:tc>
          <w:tcPr>
            <w:tcW w:w="5069" w:type="dxa"/>
            <w:tcBorders>
              <w:top w:val="single" w:sz="4" w:space="0" w:color="auto"/>
              <w:left w:val="single" w:sz="4" w:space="0" w:color="auto"/>
              <w:bottom w:val="single" w:sz="4" w:space="0" w:color="auto"/>
              <w:right w:val="single" w:sz="4" w:space="0" w:color="auto"/>
            </w:tcBorders>
            <w:hideMark/>
          </w:tcPr>
          <w:p w14:paraId="5CAE1080" w14:textId="77777777" w:rsidR="008C77B2" w:rsidRDefault="00CD4E3B">
            <w:pPr>
              <w:pStyle w:val="Tabletext"/>
              <w:rPr>
                <w:szCs w:val="22"/>
                <w:lang w:val="en-US"/>
              </w:rPr>
            </w:pPr>
            <w:r>
              <w:rPr>
                <w:szCs w:val="22"/>
                <w:lang w:val="en-US"/>
              </w:rPr>
              <w:t>Polarization discrimination (dB)</w:t>
            </w:r>
          </w:p>
        </w:tc>
        <w:tc>
          <w:tcPr>
            <w:tcW w:w="2070" w:type="dxa"/>
            <w:tcBorders>
              <w:top w:val="single" w:sz="4" w:space="0" w:color="auto"/>
              <w:left w:val="single" w:sz="4" w:space="0" w:color="auto"/>
              <w:bottom w:val="single" w:sz="4" w:space="0" w:color="auto"/>
              <w:right w:val="single" w:sz="4" w:space="0" w:color="auto"/>
            </w:tcBorders>
            <w:hideMark/>
          </w:tcPr>
          <w:p w14:paraId="5CAE1081" w14:textId="77777777" w:rsidR="008C77B2" w:rsidRDefault="00CD4E3B">
            <w:pPr>
              <w:pStyle w:val="Tabletext"/>
              <w:jc w:val="center"/>
              <w:rPr>
                <w:szCs w:val="22"/>
                <w:lang w:val="en-US"/>
              </w:rPr>
            </w:pPr>
            <w:r>
              <w:rPr>
                <w:szCs w:val="22"/>
                <w:lang w:val="en-US"/>
              </w:rPr>
              <w:t>3</w:t>
            </w:r>
            <w:r>
              <w:rPr>
                <w:rStyle w:val="FootnoteReference"/>
                <w:szCs w:val="22"/>
                <w:vertAlign w:val="superscript"/>
                <w:lang w:val="en-US"/>
              </w:rPr>
              <w:footnoteReference w:id="17"/>
            </w:r>
          </w:p>
        </w:tc>
        <w:tc>
          <w:tcPr>
            <w:tcW w:w="2070" w:type="dxa"/>
            <w:tcBorders>
              <w:top w:val="single" w:sz="4" w:space="0" w:color="auto"/>
              <w:left w:val="single" w:sz="4" w:space="0" w:color="auto"/>
              <w:bottom w:val="single" w:sz="4" w:space="0" w:color="auto"/>
              <w:right w:val="single" w:sz="4" w:space="0" w:color="auto"/>
            </w:tcBorders>
            <w:hideMark/>
          </w:tcPr>
          <w:p w14:paraId="5CAE1082" w14:textId="77777777" w:rsidR="008C77B2" w:rsidRDefault="00CD4E3B">
            <w:pPr>
              <w:pStyle w:val="Tabletext"/>
              <w:jc w:val="center"/>
              <w:rPr>
                <w:szCs w:val="22"/>
                <w:lang w:val="en-US"/>
              </w:rPr>
            </w:pPr>
            <w:r>
              <w:rPr>
                <w:szCs w:val="22"/>
                <w:lang w:val="en-US"/>
              </w:rPr>
              <w:t>0</w:t>
            </w:r>
          </w:p>
        </w:tc>
      </w:tr>
      <w:tr w:rsidR="008C77B2" w14:paraId="5CAE1087"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84" w14:textId="77777777" w:rsidR="008C77B2" w:rsidRDefault="00CD4E3B">
            <w:pPr>
              <w:pStyle w:val="Tabletext"/>
              <w:rPr>
                <w:szCs w:val="22"/>
                <w:lang w:val="en-US" w:eastAsia="ko-KR"/>
              </w:rPr>
            </w:pPr>
            <w:r>
              <w:rPr>
                <w:szCs w:val="22"/>
                <w:lang w:val="en-US"/>
              </w:rPr>
              <w:t>1</w:t>
            </w:r>
            <w:r>
              <w:rPr>
                <w:szCs w:val="22"/>
                <w:lang w:val="en-US" w:eastAsia="ko-KR"/>
              </w:rPr>
              <w:t>9.</w:t>
            </w:r>
          </w:p>
        </w:tc>
        <w:tc>
          <w:tcPr>
            <w:tcW w:w="5069" w:type="dxa"/>
            <w:tcBorders>
              <w:top w:val="single" w:sz="4" w:space="0" w:color="auto"/>
              <w:left w:val="single" w:sz="4" w:space="0" w:color="auto"/>
              <w:bottom w:val="single" w:sz="4" w:space="0" w:color="auto"/>
              <w:right w:val="single" w:sz="4" w:space="0" w:color="auto"/>
            </w:tcBorders>
            <w:hideMark/>
          </w:tcPr>
          <w:p w14:paraId="5CAE1085" w14:textId="77777777" w:rsidR="008C77B2" w:rsidRDefault="00CD4E3B">
            <w:pPr>
              <w:pStyle w:val="Tabletext"/>
              <w:rPr>
                <w:szCs w:val="22"/>
                <w:lang w:val="en-US"/>
              </w:rPr>
            </w:pPr>
            <w:r>
              <w:rPr>
                <w:szCs w:val="22"/>
                <w:lang w:val="en-US"/>
              </w:rPr>
              <w:t>Capacity criteria, including capacity per cell</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86" w14:textId="77777777" w:rsidR="008C77B2" w:rsidRDefault="00CD4E3B">
            <w:pPr>
              <w:pStyle w:val="Tabletext"/>
              <w:rPr>
                <w:szCs w:val="22"/>
                <w:lang w:val="en-US"/>
              </w:rPr>
            </w:pPr>
            <w:r>
              <w:rPr>
                <w:szCs w:val="22"/>
                <w:lang w:val="en-US"/>
              </w:rPr>
              <w:t>Capacity in a cellular system can be measured in terms of voice users per cell, data throughput per cell, etc. The actual capacity is dependent on the assumptions made about system configuration, loading, quality, and fairness, among other things.</w:t>
            </w:r>
          </w:p>
        </w:tc>
      </w:tr>
      <w:tr w:rsidR="008C77B2" w14:paraId="5CAE108B"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88" w14:textId="77777777" w:rsidR="008C77B2" w:rsidRDefault="00CD4E3B">
            <w:pPr>
              <w:pStyle w:val="Tabletext"/>
              <w:rPr>
                <w:szCs w:val="22"/>
                <w:lang w:val="en-US" w:eastAsia="ko-KR"/>
              </w:rPr>
            </w:pPr>
            <w:r>
              <w:rPr>
                <w:szCs w:val="22"/>
                <w:lang w:val="en-US" w:eastAsia="ko-KR"/>
              </w:rPr>
              <w:t>20.</w:t>
            </w:r>
          </w:p>
        </w:tc>
        <w:tc>
          <w:tcPr>
            <w:tcW w:w="5069" w:type="dxa"/>
            <w:tcBorders>
              <w:top w:val="single" w:sz="4" w:space="0" w:color="auto"/>
              <w:left w:val="single" w:sz="4" w:space="0" w:color="auto"/>
              <w:bottom w:val="single" w:sz="4" w:space="0" w:color="auto"/>
              <w:right w:val="single" w:sz="4" w:space="0" w:color="auto"/>
            </w:tcBorders>
            <w:hideMark/>
          </w:tcPr>
          <w:p w14:paraId="5CAE1089" w14:textId="77777777" w:rsidR="008C77B2" w:rsidRDefault="00CD4E3B">
            <w:pPr>
              <w:pStyle w:val="Tabletext"/>
              <w:rPr>
                <w:szCs w:val="22"/>
                <w:lang w:val="en-US"/>
              </w:rPr>
            </w:pPr>
            <w:r>
              <w:rPr>
                <w:szCs w:val="22"/>
                <w:lang w:val="en-US"/>
              </w:rPr>
              <w:t>Frequency reuse factor</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8A" w14:textId="77777777" w:rsidR="008C77B2" w:rsidRDefault="00CD4E3B">
            <w:pPr>
              <w:pStyle w:val="Tabletext"/>
              <w:jc w:val="center"/>
              <w:rPr>
                <w:szCs w:val="22"/>
                <w:lang w:val="en-US"/>
              </w:rPr>
            </w:pPr>
            <w:r>
              <w:rPr>
                <w:szCs w:val="22"/>
                <w:lang w:val="en-US"/>
              </w:rPr>
              <w:t>1 or 3</w:t>
            </w:r>
            <w:r>
              <w:rPr>
                <w:rStyle w:val="FootnoteReference"/>
                <w:szCs w:val="22"/>
                <w:vertAlign w:val="superscript"/>
                <w:lang w:val="en-US"/>
              </w:rPr>
              <w:footnoteReference w:id="18"/>
            </w:r>
          </w:p>
        </w:tc>
      </w:tr>
      <w:tr w:rsidR="008C77B2" w14:paraId="5CAE1090"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8C" w14:textId="77777777" w:rsidR="008C77B2" w:rsidRDefault="00CD4E3B">
            <w:pPr>
              <w:pStyle w:val="Tabletext"/>
              <w:rPr>
                <w:szCs w:val="22"/>
                <w:lang w:val="en-US" w:eastAsia="ko-KR"/>
              </w:rPr>
            </w:pPr>
            <w:r>
              <w:rPr>
                <w:szCs w:val="22"/>
                <w:lang w:val="en-US"/>
              </w:rPr>
              <w:t>2</w:t>
            </w:r>
            <w:r>
              <w:rPr>
                <w:szCs w:val="22"/>
                <w:lang w:val="en-US" w:eastAsia="ko-KR"/>
              </w:rPr>
              <w:t>1.</w:t>
            </w:r>
          </w:p>
        </w:tc>
        <w:tc>
          <w:tcPr>
            <w:tcW w:w="5069" w:type="dxa"/>
            <w:tcBorders>
              <w:top w:val="single" w:sz="4" w:space="0" w:color="auto"/>
              <w:left w:val="single" w:sz="4" w:space="0" w:color="auto"/>
              <w:bottom w:val="single" w:sz="4" w:space="0" w:color="auto"/>
              <w:right w:val="single" w:sz="4" w:space="0" w:color="auto"/>
            </w:tcBorders>
            <w:hideMark/>
          </w:tcPr>
          <w:p w14:paraId="5CAE108D" w14:textId="77777777" w:rsidR="008C77B2" w:rsidRDefault="00CD4E3B">
            <w:pPr>
              <w:pStyle w:val="Tabletext"/>
              <w:rPr>
                <w:szCs w:val="22"/>
                <w:lang w:val="en-US"/>
              </w:rPr>
            </w:pPr>
            <w:r>
              <w:rPr>
                <w:szCs w:val="22"/>
                <w:lang w:val="en-US"/>
              </w:rPr>
              <w:t>Receiver thermal noise (dBm/channel)</w:t>
            </w:r>
          </w:p>
        </w:tc>
        <w:tc>
          <w:tcPr>
            <w:tcW w:w="2070" w:type="dxa"/>
            <w:tcBorders>
              <w:top w:val="single" w:sz="4" w:space="0" w:color="auto"/>
              <w:left w:val="single" w:sz="4" w:space="0" w:color="auto"/>
              <w:bottom w:val="single" w:sz="4" w:space="0" w:color="auto"/>
              <w:right w:val="single" w:sz="4" w:space="0" w:color="auto"/>
            </w:tcBorders>
            <w:hideMark/>
          </w:tcPr>
          <w:p w14:paraId="5CAE108E" w14:textId="77777777" w:rsidR="008C77B2" w:rsidRDefault="00CD4E3B">
            <w:pPr>
              <w:pStyle w:val="Tabletext"/>
              <w:jc w:val="center"/>
              <w:rPr>
                <w:szCs w:val="22"/>
                <w:lang w:val="en-US"/>
              </w:rPr>
            </w:pPr>
            <w:r>
              <w:rPr>
                <w:szCs w:val="22"/>
                <w:lang w:val="en-US"/>
              </w:rPr>
              <w:t>−102</w:t>
            </w:r>
            <w:bookmarkStart w:id="14" w:name="_Ref222558720"/>
            <w:r>
              <w:rPr>
                <w:rStyle w:val="FootnoteReference"/>
                <w:szCs w:val="22"/>
                <w:vertAlign w:val="superscript"/>
                <w:lang w:val="en-US"/>
              </w:rPr>
              <w:footnoteReference w:id="19"/>
            </w:r>
            <w:bookmarkEnd w:id="14"/>
          </w:p>
        </w:tc>
        <w:tc>
          <w:tcPr>
            <w:tcW w:w="2070" w:type="dxa"/>
            <w:tcBorders>
              <w:top w:val="single" w:sz="4" w:space="0" w:color="auto"/>
              <w:left w:val="single" w:sz="4" w:space="0" w:color="auto"/>
              <w:bottom w:val="single" w:sz="4" w:space="0" w:color="auto"/>
              <w:right w:val="single" w:sz="4" w:space="0" w:color="auto"/>
            </w:tcBorders>
            <w:hideMark/>
          </w:tcPr>
          <w:p w14:paraId="5CAE108F" w14:textId="77777777" w:rsidR="008C77B2" w:rsidRDefault="00CD4E3B">
            <w:pPr>
              <w:pStyle w:val="Tabletext"/>
              <w:jc w:val="center"/>
              <w:rPr>
                <w:szCs w:val="22"/>
                <w:lang w:val="en-US"/>
              </w:rPr>
            </w:pPr>
            <w:r>
              <w:rPr>
                <w:szCs w:val="22"/>
                <w:lang w:val="en-US"/>
              </w:rPr>
              <w:t>−98</w:t>
            </w:r>
            <w:r>
              <w:fldChar w:fldCharType="begin"/>
            </w:r>
            <w:r>
              <w:instrText xml:space="preserve"> NOTEREF _Ref222558720 \h  \* MERGEFORMAT </w:instrText>
            </w:r>
            <w:r>
              <w:fldChar w:fldCharType="separate"/>
            </w:r>
            <w:r w:rsidR="00442B04" w:rsidRPr="00442B04">
              <w:rPr>
                <w:vertAlign w:val="superscript"/>
                <w:lang w:val="en-US"/>
              </w:rPr>
              <w:t>19</w:t>
            </w:r>
            <w:r>
              <w:fldChar w:fldCharType="end"/>
            </w:r>
          </w:p>
        </w:tc>
      </w:tr>
      <w:tr w:rsidR="008C77B2" w14:paraId="5CAE1095"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91" w14:textId="77777777" w:rsidR="008C77B2" w:rsidRDefault="00CD4E3B">
            <w:pPr>
              <w:pStyle w:val="Tabletext"/>
              <w:rPr>
                <w:szCs w:val="22"/>
                <w:lang w:val="en-US"/>
              </w:rPr>
            </w:pPr>
            <w:r>
              <w:rPr>
                <w:szCs w:val="22"/>
                <w:lang w:val="en-US"/>
              </w:rPr>
              <w:t>2</w:t>
            </w:r>
            <w:r>
              <w:rPr>
                <w:szCs w:val="22"/>
                <w:lang w:val="en-US" w:eastAsia="ko-KR"/>
              </w:rPr>
              <w:t>2.</w:t>
            </w:r>
          </w:p>
        </w:tc>
        <w:tc>
          <w:tcPr>
            <w:tcW w:w="5069" w:type="dxa"/>
            <w:tcBorders>
              <w:top w:val="single" w:sz="4" w:space="0" w:color="auto"/>
              <w:left w:val="single" w:sz="4" w:space="0" w:color="auto"/>
              <w:bottom w:val="single" w:sz="4" w:space="0" w:color="auto"/>
              <w:right w:val="single" w:sz="4" w:space="0" w:color="auto"/>
            </w:tcBorders>
            <w:hideMark/>
          </w:tcPr>
          <w:p w14:paraId="5CAE1092" w14:textId="77777777" w:rsidR="008C77B2" w:rsidRDefault="00CD4E3B">
            <w:pPr>
              <w:pStyle w:val="Tabletext"/>
              <w:rPr>
                <w:szCs w:val="22"/>
                <w:lang w:val="en-US"/>
              </w:rPr>
            </w:pPr>
            <w:r>
              <w:rPr>
                <w:szCs w:val="22"/>
                <w:lang w:val="en-US"/>
              </w:rPr>
              <w:t>Reference sensitivity</w:t>
            </w:r>
          </w:p>
        </w:tc>
        <w:tc>
          <w:tcPr>
            <w:tcW w:w="2070" w:type="dxa"/>
            <w:tcBorders>
              <w:top w:val="single" w:sz="4" w:space="0" w:color="auto"/>
              <w:left w:val="single" w:sz="4" w:space="0" w:color="auto"/>
              <w:bottom w:val="single" w:sz="4" w:space="0" w:color="auto"/>
              <w:right w:val="single" w:sz="4" w:space="0" w:color="auto"/>
            </w:tcBorders>
            <w:hideMark/>
          </w:tcPr>
          <w:p w14:paraId="5CAE1093" w14:textId="77777777" w:rsidR="008C77B2" w:rsidRDefault="00CD4E3B">
            <w:pPr>
              <w:pStyle w:val="Tabletext"/>
              <w:jc w:val="center"/>
              <w:rPr>
                <w:vertAlign w:val="superscript"/>
                <w:lang w:val="en-US"/>
              </w:rPr>
            </w:pPr>
            <w:r>
              <w:rPr>
                <w:lang w:val="en-US"/>
              </w:rPr>
              <w:t>-</w:t>
            </w:r>
            <w:r>
              <w:rPr>
                <w:vertAlign w:val="superscript"/>
                <w:lang w:val="en-US"/>
              </w:rPr>
              <w:footnoteReference w:id="20"/>
            </w:r>
          </w:p>
        </w:tc>
        <w:tc>
          <w:tcPr>
            <w:tcW w:w="2070" w:type="dxa"/>
            <w:tcBorders>
              <w:top w:val="single" w:sz="4" w:space="0" w:color="auto"/>
              <w:left w:val="single" w:sz="4" w:space="0" w:color="auto"/>
              <w:bottom w:val="single" w:sz="4" w:space="0" w:color="auto"/>
              <w:right w:val="single" w:sz="4" w:space="0" w:color="auto"/>
            </w:tcBorders>
            <w:hideMark/>
          </w:tcPr>
          <w:p w14:paraId="5CAE1094" w14:textId="77777777" w:rsidR="008C77B2" w:rsidRDefault="00CD4E3B">
            <w:pPr>
              <w:pStyle w:val="Tabletext"/>
              <w:jc w:val="center"/>
              <w:rPr>
                <w:vertAlign w:val="superscript"/>
                <w:lang w:val="en-US"/>
              </w:rPr>
            </w:pPr>
            <w:r>
              <w:rPr>
                <w:lang w:val="en-US"/>
              </w:rPr>
              <w:t>-</w:t>
            </w:r>
            <w:r>
              <w:rPr>
                <w:vertAlign w:val="superscript"/>
                <w:lang w:val="en-US"/>
              </w:rPr>
              <w:footnoteReference w:id="21"/>
            </w:r>
          </w:p>
        </w:tc>
      </w:tr>
      <w:tr w:rsidR="008C77B2" w14:paraId="5CAE109A"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96" w14:textId="77777777" w:rsidR="008C77B2" w:rsidRDefault="00CD4E3B">
            <w:pPr>
              <w:pStyle w:val="Tabletext"/>
              <w:rPr>
                <w:szCs w:val="22"/>
                <w:lang w:val="en-US"/>
              </w:rPr>
            </w:pPr>
            <w:r>
              <w:rPr>
                <w:szCs w:val="22"/>
                <w:lang w:val="en-US"/>
              </w:rPr>
              <w:t>2</w:t>
            </w:r>
            <w:r>
              <w:rPr>
                <w:szCs w:val="22"/>
                <w:lang w:val="en-US" w:eastAsia="ko-KR"/>
              </w:rPr>
              <w:t>3.</w:t>
            </w:r>
          </w:p>
        </w:tc>
        <w:tc>
          <w:tcPr>
            <w:tcW w:w="5069" w:type="dxa"/>
            <w:tcBorders>
              <w:top w:val="single" w:sz="4" w:space="0" w:color="auto"/>
              <w:left w:val="single" w:sz="4" w:space="0" w:color="auto"/>
              <w:bottom w:val="single" w:sz="4" w:space="0" w:color="auto"/>
              <w:right w:val="single" w:sz="4" w:space="0" w:color="auto"/>
            </w:tcBorders>
            <w:hideMark/>
          </w:tcPr>
          <w:p w14:paraId="5CAE1097" w14:textId="77777777" w:rsidR="008C77B2" w:rsidRDefault="00CD4E3B">
            <w:pPr>
              <w:pStyle w:val="Tabletext"/>
              <w:rPr>
                <w:szCs w:val="22"/>
                <w:lang w:val="en-US"/>
              </w:rPr>
            </w:pPr>
            <w:r>
              <w:rPr>
                <w:szCs w:val="22"/>
                <w:lang w:val="en-US"/>
              </w:rPr>
              <w:t>Receiver blocking response</w:t>
            </w:r>
          </w:p>
        </w:tc>
        <w:tc>
          <w:tcPr>
            <w:tcW w:w="2070" w:type="dxa"/>
            <w:tcBorders>
              <w:top w:val="single" w:sz="4" w:space="0" w:color="auto"/>
              <w:left w:val="single" w:sz="4" w:space="0" w:color="auto"/>
              <w:bottom w:val="single" w:sz="4" w:space="0" w:color="auto"/>
              <w:right w:val="single" w:sz="4" w:space="0" w:color="auto"/>
            </w:tcBorders>
            <w:hideMark/>
          </w:tcPr>
          <w:p w14:paraId="5CAE1098" w14:textId="77777777" w:rsidR="008C77B2" w:rsidRDefault="00CD4E3B">
            <w:pPr>
              <w:pStyle w:val="Tabletext"/>
              <w:jc w:val="center"/>
              <w:rPr>
                <w:vertAlign w:val="superscript"/>
                <w:lang w:val="en-US"/>
              </w:rPr>
            </w:pPr>
            <w:r>
              <w:rPr>
                <w:lang w:val="en-US"/>
              </w:rPr>
              <w:t>-</w:t>
            </w:r>
            <w:r>
              <w:rPr>
                <w:vertAlign w:val="superscript"/>
                <w:lang w:val="en-US"/>
              </w:rPr>
              <w:footnoteReference w:id="22"/>
            </w:r>
          </w:p>
        </w:tc>
        <w:tc>
          <w:tcPr>
            <w:tcW w:w="2070" w:type="dxa"/>
            <w:tcBorders>
              <w:top w:val="single" w:sz="4" w:space="0" w:color="auto"/>
              <w:left w:val="single" w:sz="4" w:space="0" w:color="auto"/>
              <w:bottom w:val="single" w:sz="4" w:space="0" w:color="auto"/>
              <w:right w:val="single" w:sz="4" w:space="0" w:color="auto"/>
            </w:tcBorders>
            <w:hideMark/>
          </w:tcPr>
          <w:p w14:paraId="5CAE1099" w14:textId="77777777" w:rsidR="008C77B2" w:rsidRDefault="00CD4E3B">
            <w:pPr>
              <w:pStyle w:val="Tabletext"/>
              <w:jc w:val="center"/>
              <w:rPr>
                <w:vertAlign w:val="superscript"/>
                <w:lang w:val="en-US"/>
              </w:rPr>
            </w:pPr>
            <w:r>
              <w:rPr>
                <w:lang w:val="en-US"/>
              </w:rPr>
              <w:t>-</w:t>
            </w:r>
            <w:r>
              <w:rPr>
                <w:vertAlign w:val="superscript"/>
                <w:lang w:val="en-US"/>
              </w:rPr>
              <w:footnoteReference w:id="23"/>
            </w:r>
          </w:p>
        </w:tc>
      </w:tr>
      <w:tr w:rsidR="008C77B2" w14:paraId="5CAE109F" w14:textId="77777777" w:rsidTr="00340B9C">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9B" w14:textId="77777777" w:rsidR="008C77B2" w:rsidRDefault="00CD4E3B">
            <w:pPr>
              <w:pStyle w:val="Tabletext"/>
              <w:rPr>
                <w:szCs w:val="22"/>
                <w:lang w:val="en-US"/>
              </w:rPr>
            </w:pPr>
            <w:r>
              <w:rPr>
                <w:rFonts w:ascii="CG Times" w:eastAsia="SimSun" w:hAnsi="CG Times"/>
                <w:szCs w:val="22"/>
                <w:lang w:val="en-US"/>
              </w:rPr>
              <w:t>24.</w:t>
            </w:r>
          </w:p>
        </w:tc>
        <w:tc>
          <w:tcPr>
            <w:tcW w:w="5069" w:type="dxa"/>
            <w:tcBorders>
              <w:top w:val="single" w:sz="4" w:space="0" w:color="auto"/>
              <w:left w:val="single" w:sz="4" w:space="0" w:color="auto"/>
              <w:bottom w:val="single" w:sz="4" w:space="0" w:color="auto"/>
              <w:right w:val="single" w:sz="4" w:space="0" w:color="auto"/>
            </w:tcBorders>
            <w:hideMark/>
          </w:tcPr>
          <w:p w14:paraId="5CAE109C" w14:textId="77777777" w:rsidR="008C77B2" w:rsidRDefault="00CD4E3B">
            <w:pPr>
              <w:pStyle w:val="Tabletext"/>
              <w:rPr>
                <w:szCs w:val="22"/>
                <w:lang w:val="en-US"/>
              </w:rPr>
            </w:pPr>
            <w:r>
              <w:rPr>
                <w:rFonts w:eastAsia="SimSun"/>
                <w:szCs w:val="22"/>
                <w:lang w:val="en-US"/>
              </w:rPr>
              <w:t>Coverage radius</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CAE109D" w14:textId="77777777" w:rsidR="008C77B2" w:rsidRDefault="00CD4E3B">
            <w:pPr>
              <w:pStyle w:val="Tabletext"/>
              <w:jc w:val="center"/>
              <w:rPr>
                <w:rFonts w:eastAsia="SimSun"/>
                <w:szCs w:val="22"/>
                <w:lang w:val="en-US"/>
              </w:rPr>
            </w:pPr>
            <w:r>
              <w:rPr>
                <w:rFonts w:eastAsia="SimSun"/>
                <w:szCs w:val="22"/>
                <w:lang w:val="en-US"/>
              </w:rPr>
              <w:t xml:space="preserve">Rural: 8 km </w:t>
            </w:r>
          </w:p>
          <w:p w14:paraId="5CAE109E" w14:textId="77777777" w:rsidR="008C77B2" w:rsidRDefault="00CD4E3B">
            <w:pPr>
              <w:pStyle w:val="Tabletext"/>
              <w:jc w:val="center"/>
              <w:rPr>
                <w:szCs w:val="22"/>
                <w:highlight w:val="yellow"/>
                <w:lang w:val="en-US"/>
              </w:rPr>
            </w:pPr>
            <w:r>
              <w:rPr>
                <w:rFonts w:eastAsia="SimSun"/>
                <w:szCs w:val="22"/>
                <w:lang w:val="en-US"/>
              </w:rPr>
              <w:t>Suburban : 2 km</w:t>
            </w:r>
            <w:r>
              <w:rPr>
                <w:rFonts w:eastAsia="SimSun"/>
                <w:szCs w:val="22"/>
                <w:lang w:val="en-US"/>
              </w:rPr>
              <w:br/>
              <w:t>Urban: 0.5 km</w:t>
            </w:r>
          </w:p>
        </w:tc>
      </w:tr>
    </w:tbl>
    <w:p w14:paraId="5CAE10A1" w14:textId="77777777" w:rsidR="008C77B2" w:rsidRDefault="008C77B2"/>
    <w:p w14:paraId="5CAE10A2" w14:textId="77777777" w:rsidR="008C77B2" w:rsidRDefault="00CD4E3B">
      <w:pPr>
        <w:jc w:val="center"/>
        <w:rPr>
          <w:b/>
        </w:rPr>
      </w:pPr>
      <w:r>
        <w:br w:type="page"/>
      </w:r>
    </w:p>
    <w:p w14:paraId="5CAE10A3" w14:textId="77777777" w:rsidR="008C77B2" w:rsidRDefault="00CD4E3B">
      <w:pPr>
        <w:pStyle w:val="AppendixNo"/>
      </w:pPr>
      <w:r>
        <w:t>ATTACHMENT 2</w:t>
      </w:r>
    </w:p>
    <w:p w14:paraId="5CAE10A4" w14:textId="77777777" w:rsidR="008C77B2" w:rsidRDefault="00CD4E3B">
      <w:pPr>
        <w:pStyle w:val="Appendixtitle"/>
      </w:pPr>
      <w:r>
        <w:t>Draft template for parameters for IMT-Advanced</w:t>
      </w:r>
    </w:p>
    <w:p w14:paraId="5CAE10A5" w14:textId="77777777" w:rsidR="008C77B2" w:rsidRDefault="00CD4E3B">
      <w:pPr>
        <w:pStyle w:val="Appendixtitle"/>
      </w:pPr>
      <w:r>
        <w:t xml:space="preserve">Characteristics of IMT-Advanced systems in the [frequency/ies] </w:t>
      </w:r>
      <w:r>
        <w:br/>
        <w:t>[frequency band/frequency range] for use in sharing studies</w:t>
      </w:r>
      <w:r>
        <w:rPr>
          <w:rStyle w:val="FootnoteReference"/>
          <w:rFonts w:cstheme="minorHAnsi"/>
          <w:b w:val="0"/>
          <w:color w:val="0C0C0C"/>
        </w:rPr>
        <w:footnoteReference w:id="24"/>
      </w:r>
      <w:r>
        <w:t xml:space="preserve"> </w:t>
      </w:r>
    </w:p>
    <w:p w14:paraId="5CAE10A6" w14:textId="77777777" w:rsidR="008C77B2" w:rsidRDefault="00CD4E3B">
      <w:pPr>
        <w:pStyle w:val="Header"/>
        <w:spacing w:after="120"/>
        <w:jc w:val="left"/>
        <w:rPr>
          <w:rFonts w:cstheme="minorHAnsi"/>
          <w:color w:val="0C0C0C"/>
          <w:sz w:val="24"/>
          <w:szCs w:val="24"/>
        </w:rPr>
      </w:pPr>
      <w:r>
        <w:rPr>
          <w:rFonts w:cstheme="minorHAnsi"/>
          <w:color w:val="0C0C0C"/>
          <w:sz w:val="24"/>
          <w:szCs w:val="24"/>
        </w:rPr>
        <w:t>NOTE 1 – A separate table should be completed for each relevant frequency band and/or portion of the ‘suitable frequency ranges’ for which the parameters differ.</w:t>
      </w:r>
    </w:p>
    <w:p w14:paraId="5CAE10A7" w14:textId="77777777" w:rsidR="008C77B2" w:rsidRDefault="00CD4E3B">
      <w:pPr>
        <w:pStyle w:val="Header"/>
        <w:spacing w:after="120"/>
        <w:jc w:val="left"/>
        <w:rPr>
          <w:rFonts w:cstheme="minorHAnsi"/>
          <w:color w:val="0C0C0C"/>
          <w:sz w:val="24"/>
          <w:szCs w:val="24"/>
        </w:rPr>
      </w:pPr>
      <w:r>
        <w:rPr>
          <w:rFonts w:cstheme="minorHAnsi"/>
          <w:color w:val="0C0C0C"/>
          <w:sz w:val="24"/>
          <w:szCs w:val="24"/>
        </w:rPr>
        <w:t>NOTE 2 – If additional parameters are likely to be relevant for sharing studies, please add rows to the table as appropriate.</w:t>
      </w:r>
    </w:p>
    <w:p w14:paraId="5CAE10A8" w14:textId="77777777" w:rsidR="008C77B2" w:rsidRDefault="00CD4E3B">
      <w:pPr>
        <w:pStyle w:val="Header"/>
        <w:spacing w:after="120"/>
        <w:jc w:val="left"/>
        <w:rPr>
          <w:bCs/>
          <w:color w:val="0C0C0C"/>
          <w:sz w:val="24"/>
          <w:szCs w:val="24"/>
        </w:rPr>
      </w:pPr>
      <w:r>
        <w:rPr>
          <w:bCs/>
          <w:color w:val="0C0C0C"/>
          <w:sz w:val="24"/>
          <w:szCs w:val="24"/>
        </w:rPr>
        <w:t>NOTE 3 – For different frequency bands and/or ranges different types of base station characteristics may apply</w:t>
      </w:r>
      <w:r>
        <w:rPr>
          <w:rStyle w:val="FootnoteReference"/>
          <w:bCs/>
          <w:color w:val="0C0C0C"/>
          <w:szCs w:val="18"/>
        </w:rPr>
        <w:footnoteReference w:id="25"/>
      </w:r>
      <w:r>
        <w:rPr>
          <w:bCs/>
          <w:color w:val="0C0C0C"/>
          <w:sz w:val="24"/>
          <w:szCs w:val="24"/>
        </w:rPr>
        <w:t>. If this is likely to be relevant for sharing studies, additional rows or columns may be added to the table.</w:t>
      </w:r>
    </w:p>
    <w:p w14:paraId="5CAE10A9" w14:textId="77777777" w:rsidR="008C77B2" w:rsidRDefault="00CD4E3B">
      <w:pPr>
        <w:pStyle w:val="Header"/>
        <w:spacing w:after="120"/>
        <w:jc w:val="left"/>
        <w:rPr>
          <w:rFonts w:cstheme="minorHAnsi"/>
          <w:color w:val="0C0C0C"/>
          <w:sz w:val="24"/>
          <w:szCs w:val="24"/>
        </w:rPr>
      </w:pPr>
      <w:r>
        <w:rPr>
          <w:bCs/>
          <w:color w:val="0C0C0C"/>
          <w:sz w:val="24"/>
          <w:szCs w:val="24"/>
        </w:rPr>
        <w:t>NOTE 4 – For deployment dependent parameters in the table, please provide information on the definition of the parameter and the underlying assumptions.</w:t>
      </w:r>
    </w:p>
    <w:p w14:paraId="5CAE10AA" w14:textId="77777777" w:rsidR="008C77B2" w:rsidRDefault="008C77B2">
      <w:pPr>
        <w:pStyle w:val="Header"/>
        <w:rPr>
          <w:rFonts w:cstheme="minorHAnsi"/>
          <w:b/>
          <w:color w:val="0C0C0C"/>
        </w:rPr>
      </w:pPr>
    </w:p>
    <w:tbl>
      <w:tblPr>
        <w:tblStyle w:val="TableGrid"/>
        <w:tblW w:w="5000" w:type="pct"/>
        <w:tblLook w:val="04A0" w:firstRow="1" w:lastRow="0" w:firstColumn="1" w:lastColumn="0" w:noHBand="0" w:noVBand="1"/>
      </w:tblPr>
      <w:tblGrid>
        <w:gridCol w:w="616"/>
        <w:gridCol w:w="1515"/>
        <w:gridCol w:w="976"/>
        <w:gridCol w:w="966"/>
        <w:gridCol w:w="73"/>
        <w:gridCol w:w="924"/>
        <w:gridCol w:w="1031"/>
        <w:gridCol w:w="897"/>
        <w:gridCol w:w="978"/>
        <w:gridCol w:w="911"/>
        <w:gridCol w:w="968"/>
      </w:tblGrid>
      <w:tr w:rsidR="008C77B2" w14:paraId="5CAE10AF" w14:textId="77777777">
        <w:trPr>
          <w:trHeight w:val="529"/>
          <w:tblHeader/>
        </w:trPr>
        <w:tc>
          <w:tcPr>
            <w:tcW w:w="313" w:type="pct"/>
          </w:tcPr>
          <w:p w14:paraId="5CAE10AB" w14:textId="77777777" w:rsidR="008C77B2" w:rsidRDefault="008C77B2" w:rsidP="001D23A4">
            <w:pPr>
              <w:pStyle w:val="Tablehead"/>
              <w:spacing w:before="40" w:after="40"/>
            </w:pPr>
          </w:p>
        </w:tc>
        <w:tc>
          <w:tcPr>
            <w:tcW w:w="769" w:type="pct"/>
          </w:tcPr>
          <w:p w14:paraId="5CAE10AC" w14:textId="77777777" w:rsidR="008C77B2" w:rsidRDefault="008C77B2" w:rsidP="001D23A4">
            <w:pPr>
              <w:pStyle w:val="Tablehead"/>
              <w:spacing w:before="40" w:after="40"/>
            </w:pPr>
          </w:p>
        </w:tc>
        <w:tc>
          <w:tcPr>
            <w:tcW w:w="2014" w:type="pct"/>
            <w:gridSpan w:val="5"/>
          </w:tcPr>
          <w:p w14:paraId="5CAE10AD" w14:textId="1E69F259" w:rsidR="008C77B2" w:rsidRDefault="00CD4E3B" w:rsidP="001D23A4">
            <w:pPr>
              <w:pStyle w:val="Tablehead"/>
              <w:spacing w:before="40" w:after="40"/>
              <w:rPr>
                <w:rFonts w:eastAsia="Times New Roman" w:cs="Times New Roman"/>
                <w:szCs w:val="20"/>
              </w:rPr>
            </w:pPr>
            <w:r>
              <w:rPr>
                <w:rFonts w:eastAsia="SimSun"/>
              </w:rPr>
              <w:t>“LTE-Advanced”</w:t>
            </w:r>
            <w:r>
              <w:rPr>
                <w:rStyle w:val="FootnoteReference"/>
                <w:rFonts w:eastAsia="SimSun"/>
                <w:b w:val="0"/>
              </w:rPr>
              <w:footnoteReference w:id="26"/>
            </w:r>
          </w:p>
        </w:tc>
        <w:tc>
          <w:tcPr>
            <w:tcW w:w="1904" w:type="pct"/>
            <w:gridSpan w:val="4"/>
          </w:tcPr>
          <w:p w14:paraId="5CAE10AE" w14:textId="77777777" w:rsidR="008C77B2" w:rsidRDefault="00CD4E3B" w:rsidP="001D23A4">
            <w:pPr>
              <w:pStyle w:val="Tablehead"/>
              <w:spacing w:before="40" w:after="40"/>
            </w:pPr>
            <w:r>
              <w:rPr>
                <w:rFonts w:eastAsia="SimSun"/>
              </w:rPr>
              <w:t>“WirelessMAN-Advanced”</w:t>
            </w:r>
            <w:r>
              <w:rPr>
                <w:rStyle w:val="FootnoteReference"/>
                <w:rFonts w:eastAsia="SimSun"/>
                <w:b w:val="0"/>
              </w:rPr>
              <w:footnoteReference w:id="27"/>
            </w:r>
          </w:p>
        </w:tc>
      </w:tr>
      <w:tr w:rsidR="008C77B2" w14:paraId="5CAE10B6" w14:textId="77777777">
        <w:trPr>
          <w:tblHeader/>
        </w:trPr>
        <w:tc>
          <w:tcPr>
            <w:tcW w:w="313" w:type="pct"/>
          </w:tcPr>
          <w:p w14:paraId="5CAE10B0" w14:textId="77777777" w:rsidR="008C77B2" w:rsidRDefault="008C77B2" w:rsidP="001D23A4">
            <w:pPr>
              <w:pStyle w:val="Tablehead"/>
              <w:spacing w:before="40" w:after="40"/>
            </w:pPr>
          </w:p>
        </w:tc>
        <w:tc>
          <w:tcPr>
            <w:tcW w:w="769" w:type="pct"/>
          </w:tcPr>
          <w:p w14:paraId="5CAE10B1" w14:textId="77777777" w:rsidR="008C77B2" w:rsidRDefault="00CD4E3B" w:rsidP="001D23A4">
            <w:pPr>
              <w:pStyle w:val="Tablehead"/>
              <w:spacing w:before="40" w:after="40"/>
            </w:pPr>
            <w:r>
              <w:t>Duplex mode</w:t>
            </w:r>
          </w:p>
        </w:tc>
        <w:tc>
          <w:tcPr>
            <w:tcW w:w="985" w:type="pct"/>
            <w:gridSpan w:val="2"/>
          </w:tcPr>
          <w:p w14:paraId="5CAE10B2" w14:textId="77777777" w:rsidR="008C77B2" w:rsidRDefault="00CD4E3B" w:rsidP="001D23A4">
            <w:pPr>
              <w:pStyle w:val="Tablehead"/>
              <w:spacing w:before="40" w:after="40"/>
            </w:pPr>
            <w:r>
              <w:t>FDD</w:t>
            </w:r>
          </w:p>
        </w:tc>
        <w:tc>
          <w:tcPr>
            <w:tcW w:w="1029" w:type="pct"/>
            <w:gridSpan w:val="3"/>
          </w:tcPr>
          <w:p w14:paraId="5CAE10B3" w14:textId="77777777" w:rsidR="008C77B2" w:rsidRDefault="00CD4E3B" w:rsidP="001D23A4">
            <w:pPr>
              <w:pStyle w:val="Tablehead"/>
              <w:spacing w:before="40" w:after="40"/>
            </w:pPr>
            <w:r>
              <w:t>TDD</w:t>
            </w:r>
          </w:p>
        </w:tc>
        <w:tc>
          <w:tcPr>
            <w:tcW w:w="951" w:type="pct"/>
            <w:gridSpan w:val="2"/>
          </w:tcPr>
          <w:p w14:paraId="5CAE10B4" w14:textId="77777777" w:rsidR="008C77B2" w:rsidRDefault="00CD4E3B" w:rsidP="001D23A4">
            <w:pPr>
              <w:pStyle w:val="Tablehead"/>
              <w:spacing w:before="40" w:after="40"/>
            </w:pPr>
            <w:r>
              <w:t>FDD</w:t>
            </w:r>
          </w:p>
        </w:tc>
        <w:tc>
          <w:tcPr>
            <w:tcW w:w="953" w:type="pct"/>
            <w:gridSpan w:val="2"/>
          </w:tcPr>
          <w:p w14:paraId="5CAE10B5" w14:textId="77777777" w:rsidR="008C77B2" w:rsidRDefault="00CD4E3B" w:rsidP="001D23A4">
            <w:pPr>
              <w:pStyle w:val="Tablehead"/>
              <w:spacing w:before="40" w:after="40"/>
            </w:pPr>
            <w:r>
              <w:t>TDD</w:t>
            </w:r>
          </w:p>
        </w:tc>
      </w:tr>
      <w:tr w:rsidR="008C77B2" w14:paraId="5CAE10C1" w14:textId="77777777">
        <w:trPr>
          <w:tblHeader/>
        </w:trPr>
        <w:tc>
          <w:tcPr>
            <w:tcW w:w="313" w:type="pct"/>
          </w:tcPr>
          <w:p w14:paraId="5CAE10B7" w14:textId="77777777" w:rsidR="008C77B2" w:rsidRDefault="00CD4E3B" w:rsidP="001D23A4">
            <w:pPr>
              <w:pStyle w:val="Tablehead"/>
              <w:spacing w:before="40" w:after="40"/>
            </w:pPr>
            <w:r>
              <w:rPr>
                <w:color w:val="0F0F0F"/>
              </w:rPr>
              <w:t>No.</w:t>
            </w:r>
          </w:p>
        </w:tc>
        <w:tc>
          <w:tcPr>
            <w:tcW w:w="769" w:type="pct"/>
          </w:tcPr>
          <w:p w14:paraId="5CAE10B8" w14:textId="77777777" w:rsidR="008C77B2" w:rsidRDefault="00CD4E3B" w:rsidP="001D23A4">
            <w:pPr>
              <w:pStyle w:val="Tablehead"/>
              <w:spacing w:before="40" w:after="40"/>
            </w:pPr>
            <w:r>
              <w:rPr>
                <w:color w:val="0D0D0D"/>
              </w:rPr>
              <w:t>Parameter</w:t>
            </w:r>
          </w:p>
        </w:tc>
        <w:tc>
          <w:tcPr>
            <w:tcW w:w="495" w:type="pct"/>
          </w:tcPr>
          <w:p w14:paraId="5CAE10B9" w14:textId="77777777" w:rsidR="008C77B2" w:rsidRDefault="00CD4E3B" w:rsidP="001D23A4">
            <w:pPr>
              <w:pStyle w:val="Tablehead"/>
              <w:spacing w:before="40" w:after="40"/>
            </w:pPr>
            <w:r>
              <w:rPr>
                <w:color w:val="0E0E0E"/>
              </w:rPr>
              <w:t>Base station</w:t>
            </w:r>
          </w:p>
        </w:tc>
        <w:tc>
          <w:tcPr>
            <w:tcW w:w="490" w:type="pct"/>
          </w:tcPr>
          <w:p w14:paraId="5CAE10BA" w14:textId="77777777" w:rsidR="008C77B2" w:rsidRDefault="00CD4E3B" w:rsidP="001D23A4">
            <w:pPr>
              <w:pStyle w:val="Tablehead"/>
              <w:spacing w:before="40" w:after="40"/>
            </w:pPr>
            <w:r>
              <w:rPr>
                <w:color w:val="0D0D0D"/>
              </w:rPr>
              <w:t>Mobile station</w:t>
            </w:r>
          </w:p>
        </w:tc>
        <w:tc>
          <w:tcPr>
            <w:tcW w:w="506" w:type="pct"/>
            <w:gridSpan w:val="2"/>
          </w:tcPr>
          <w:p w14:paraId="5CAE10BB" w14:textId="77777777" w:rsidR="008C77B2" w:rsidRDefault="00CD4E3B" w:rsidP="001D23A4">
            <w:pPr>
              <w:pStyle w:val="Tablehead"/>
              <w:spacing w:before="40" w:after="40"/>
            </w:pPr>
            <w:r>
              <w:rPr>
                <w:color w:val="0E0E0E"/>
              </w:rPr>
              <w:t>Base station</w:t>
            </w:r>
          </w:p>
        </w:tc>
        <w:tc>
          <w:tcPr>
            <w:tcW w:w="523" w:type="pct"/>
          </w:tcPr>
          <w:p w14:paraId="5CAE10BC" w14:textId="77777777" w:rsidR="008C77B2" w:rsidRDefault="00CD4E3B" w:rsidP="001D23A4">
            <w:pPr>
              <w:pStyle w:val="Tablehead"/>
              <w:spacing w:before="40" w:after="40"/>
            </w:pPr>
            <w:r>
              <w:rPr>
                <w:color w:val="0C0C0C"/>
              </w:rPr>
              <w:t>Mobile station</w:t>
            </w:r>
          </w:p>
        </w:tc>
        <w:tc>
          <w:tcPr>
            <w:tcW w:w="455" w:type="pct"/>
          </w:tcPr>
          <w:p w14:paraId="5CAE10BD" w14:textId="77777777" w:rsidR="008C77B2" w:rsidRDefault="00CD4E3B" w:rsidP="001D23A4">
            <w:pPr>
              <w:pStyle w:val="Tablehead"/>
              <w:spacing w:before="40" w:after="40"/>
            </w:pPr>
            <w:r>
              <w:rPr>
                <w:color w:val="0E0E0E"/>
              </w:rPr>
              <w:t>Base station</w:t>
            </w:r>
          </w:p>
        </w:tc>
        <w:tc>
          <w:tcPr>
            <w:tcW w:w="496" w:type="pct"/>
          </w:tcPr>
          <w:p w14:paraId="5CAE10BE" w14:textId="77777777" w:rsidR="008C77B2" w:rsidRDefault="00CD4E3B" w:rsidP="001D23A4">
            <w:pPr>
              <w:pStyle w:val="Tablehead"/>
              <w:spacing w:before="40" w:after="40"/>
            </w:pPr>
            <w:r>
              <w:rPr>
                <w:color w:val="0D0D0D"/>
              </w:rPr>
              <w:t>Mobile station</w:t>
            </w:r>
          </w:p>
        </w:tc>
        <w:tc>
          <w:tcPr>
            <w:tcW w:w="462" w:type="pct"/>
          </w:tcPr>
          <w:p w14:paraId="5CAE10BF" w14:textId="77777777" w:rsidR="008C77B2" w:rsidRDefault="00CD4E3B" w:rsidP="001D23A4">
            <w:pPr>
              <w:pStyle w:val="Tablehead"/>
              <w:spacing w:before="40" w:after="40"/>
            </w:pPr>
            <w:r>
              <w:rPr>
                <w:color w:val="0E0E0E"/>
              </w:rPr>
              <w:t>Base station</w:t>
            </w:r>
          </w:p>
        </w:tc>
        <w:tc>
          <w:tcPr>
            <w:tcW w:w="491" w:type="pct"/>
          </w:tcPr>
          <w:p w14:paraId="5CAE10C0" w14:textId="77777777" w:rsidR="008C77B2" w:rsidRDefault="00CD4E3B" w:rsidP="001D23A4">
            <w:pPr>
              <w:pStyle w:val="Tablehead"/>
              <w:spacing w:before="40" w:after="40"/>
            </w:pPr>
            <w:r>
              <w:rPr>
                <w:color w:val="0D0D0D"/>
              </w:rPr>
              <w:t>Mobile station</w:t>
            </w:r>
          </w:p>
        </w:tc>
      </w:tr>
      <w:tr w:rsidR="008C77B2" w14:paraId="5CAE10CC" w14:textId="77777777">
        <w:tc>
          <w:tcPr>
            <w:tcW w:w="313" w:type="pct"/>
          </w:tcPr>
          <w:p w14:paraId="5CAE10C2" w14:textId="77777777" w:rsidR="008C77B2" w:rsidRDefault="00CD4E3B" w:rsidP="001D23A4">
            <w:pPr>
              <w:spacing w:before="40" w:after="40"/>
              <w:jc w:val="center"/>
              <w:rPr>
                <w:rFonts w:cstheme="minorHAnsi"/>
                <w:sz w:val="20"/>
              </w:rPr>
            </w:pPr>
            <w:r>
              <w:rPr>
                <w:rFonts w:cstheme="minorHAnsi"/>
                <w:color w:val="111111"/>
                <w:sz w:val="20"/>
              </w:rPr>
              <w:t>1</w:t>
            </w:r>
          </w:p>
        </w:tc>
        <w:tc>
          <w:tcPr>
            <w:tcW w:w="769" w:type="pct"/>
          </w:tcPr>
          <w:p w14:paraId="5CAE10C3" w14:textId="77777777" w:rsidR="008C77B2" w:rsidRDefault="00CD4E3B" w:rsidP="001D23A4">
            <w:pPr>
              <w:spacing w:before="40" w:after="40"/>
              <w:jc w:val="center"/>
              <w:rPr>
                <w:rFonts w:cstheme="minorHAnsi"/>
                <w:b/>
                <w:color w:val="0D0D0D"/>
                <w:sz w:val="20"/>
              </w:rPr>
            </w:pPr>
            <w:r>
              <w:rPr>
                <w:rFonts w:cstheme="minorHAnsi"/>
                <w:b/>
                <w:color w:val="0D0D0D"/>
                <w:sz w:val="20"/>
              </w:rPr>
              <w:t>Channel bandwidth (MHz)</w:t>
            </w:r>
          </w:p>
        </w:tc>
        <w:tc>
          <w:tcPr>
            <w:tcW w:w="495" w:type="pct"/>
          </w:tcPr>
          <w:p w14:paraId="5CAE10C4" w14:textId="77777777" w:rsidR="008C77B2" w:rsidRDefault="008C77B2" w:rsidP="001D23A4">
            <w:pPr>
              <w:spacing w:before="40" w:after="40"/>
              <w:jc w:val="center"/>
              <w:rPr>
                <w:rFonts w:cstheme="minorHAnsi"/>
                <w:sz w:val="20"/>
              </w:rPr>
            </w:pPr>
          </w:p>
        </w:tc>
        <w:tc>
          <w:tcPr>
            <w:tcW w:w="490" w:type="pct"/>
          </w:tcPr>
          <w:p w14:paraId="5CAE10C5" w14:textId="77777777" w:rsidR="008C77B2" w:rsidRDefault="008C77B2" w:rsidP="001D23A4">
            <w:pPr>
              <w:spacing w:before="40" w:after="40"/>
              <w:jc w:val="center"/>
              <w:rPr>
                <w:rFonts w:cstheme="minorHAnsi"/>
                <w:sz w:val="20"/>
              </w:rPr>
            </w:pPr>
          </w:p>
        </w:tc>
        <w:tc>
          <w:tcPr>
            <w:tcW w:w="506" w:type="pct"/>
            <w:gridSpan w:val="2"/>
          </w:tcPr>
          <w:p w14:paraId="5CAE10C6" w14:textId="77777777" w:rsidR="008C77B2" w:rsidRDefault="008C77B2" w:rsidP="001D23A4">
            <w:pPr>
              <w:spacing w:before="40" w:after="40"/>
              <w:jc w:val="center"/>
              <w:rPr>
                <w:rFonts w:cstheme="minorHAnsi"/>
                <w:sz w:val="20"/>
              </w:rPr>
            </w:pPr>
          </w:p>
        </w:tc>
        <w:tc>
          <w:tcPr>
            <w:tcW w:w="523" w:type="pct"/>
          </w:tcPr>
          <w:p w14:paraId="5CAE10C7" w14:textId="77777777" w:rsidR="008C77B2" w:rsidRDefault="008C77B2" w:rsidP="001D23A4">
            <w:pPr>
              <w:spacing w:before="40" w:after="40"/>
              <w:jc w:val="center"/>
              <w:rPr>
                <w:rFonts w:cstheme="minorHAnsi"/>
                <w:sz w:val="20"/>
              </w:rPr>
            </w:pPr>
          </w:p>
        </w:tc>
        <w:tc>
          <w:tcPr>
            <w:tcW w:w="455" w:type="pct"/>
          </w:tcPr>
          <w:p w14:paraId="5CAE10C8" w14:textId="77777777" w:rsidR="008C77B2" w:rsidRDefault="008C77B2" w:rsidP="001D23A4">
            <w:pPr>
              <w:spacing w:before="40" w:after="40"/>
              <w:jc w:val="center"/>
              <w:rPr>
                <w:rFonts w:cstheme="minorHAnsi"/>
                <w:sz w:val="20"/>
              </w:rPr>
            </w:pPr>
          </w:p>
        </w:tc>
        <w:tc>
          <w:tcPr>
            <w:tcW w:w="496" w:type="pct"/>
          </w:tcPr>
          <w:p w14:paraId="5CAE10C9" w14:textId="77777777" w:rsidR="008C77B2" w:rsidRDefault="008C77B2" w:rsidP="001D23A4">
            <w:pPr>
              <w:spacing w:before="40" w:after="40"/>
              <w:jc w:val="center"/>
              <w:rPr>
                <w:rFonts w:cstheme="minorHAnsi"/>
                <w:sz w:val="20"/>
              </w:rPr>
            </w:pPr>
          </w:p>
        </w:tc>
        <w:tc>
          <w:tcPr>
            <w:tcW w:w="462" w:type="pct"/>
          </w:tcPr>
          <w:p w14:paraId="5CAE10CA" w14:textId="77777777" w:rsidR="008C77B2" w:rsidRDefault="008C77B2" w:rsidP="001D23A4">
            <w:pPr>
              <w:spacing w:before="40" w:after="40"/>
              <w:jc w:val="center"/>
              <w:rPr>
                <w:rFonts w:cstheme="minorHAnsi"/>
                <w:sz w:val="20"/>
              </w:rPr>
            </w:pPr>
          </w:p>
        </w:tc>
        <w:tc>
          <w:tcPr>
            <w:tcW w:w="491" w:type="pct"/>
          </w:tcPr>
          <w:p w14:paraId="5CAE10CB" w14:textId="77777777" w:rsidR="008C77B2" w:rsidRDefault="008C77B2" w:rsidP="001D23A4">
            <w:pPr>
              <w:spacing w:before="40" w:after="40"/>
              <w:jc w:val="center"/>
              <w:rPr>
                <w:rFonts w:cstheme="minorHAnsi"/>
                <w:sz w:val="20"/>
              </w:rPr>
            </w:pPr>
          </w:p>
        </w:tc>
      </w:tr>
      <w:tr w:rsidR="008C77B2" w14:paraId="5CAE10CE" w14:textId="77777777">
        <w:tc>
          <w:tcPr>
            <w:tcW w:w="5000" w:type="pct"/>
            <w:gridSpan w:val="11"/>
          </w:tcPr>
          <w:p w14:paraId="5CAE10CD" w14:textId="77777777" w:rsidR="008C77B2" w:rsidRDefault="008C77B2" w:rsidP="001D23A4">
            <w:pPr>
              <w:spacing w:before="40" w:after="40"/>
              <w:jc w:val="center"/>
              <w:rPr>
                <w:rFonts w:eastAsia="Times New Roman" w:cstheme="minorHAnsi"/>
                <w:sz w:val="20"/>
                <w:szCs w:val="20"/>
              </w:rPr>
            </w:pPr>
          </w:p>
        </w:tc>
      </w:tr>
      <w:tr w:rsidR="008C77B2" w14:paraId="5CAE10D9" w14:textId="77777777">
        <w:tc>
          <w:tcPr>
            <w:tcW w:w="313" w:type="pct"/>
          </w:tcPr>
          <w:p w14:paraId="5CAE10CF" w14:textId="77777777" w:rsidR="008C77B2" w:rsidRDefault="00CD4E3B" w:rsidP="001D23A4">
            <w:pPr>
              <w:spacing w:before="40" w:after="40"/>
              <w:jc w:val="center"/>
              <w:rPr>
                <w:rFonts w:cstheme="minorHAnsi"/>
                <w:sz w:val="20"/>
              </w:rPr>
            </w:pPr>
            <w:r>
              <w:rPr>
                <w:rFonts w:cstheme="minorHAnsi"/>
                <w:sz w:val="20"/>
              </w:rPr>
              <w:t>2</w:t>
            </w:r>
          </w:p>
        </w:tc>
        <w:tc>
          <w:tcPr>
            <w:tcW w:w="769" w:type="pct"/>
          </w:tcPr>
          <w:p w14:paraId="5CAE10D0" w14:textId="77777777" w:rsidR="008C77B2" w:rsidRDefault="00CD4E3B" w:rsidP="001D23A4">
            <w:pPr>
              <w:spacing w:before="40" w:after="40"/>
              <w:jc w:val="center"/>
              <w:rPr>
                <w:rFonts w:cstheme="minorHAnsi"/>
                <w:b/>
                <w:sz w:val="20"/>
              </w:rPr>
            </w:pPr>
            <w:r>
              <w:rPr>
                <w:rFonts w:cstheme="minorHAnsi"/>
                <w:b/>
                <w:sz w:val="20"/>
              </w:rPr>
              <w:t>Signal bandwidth (MHZ)</w:t>
            </w:r>
          </w:p>
        </w:tc>
        <w:tc>
          <w:tcPr>
            <w:tcW w:w="495" w:type="pct"/>
          </w:tcPr>
          <w:p w14:paraId="5CAE10D1" w14:textId="77777777" w:rsidR="008C77B2" w:rsidRDefault="008C77B2" w:rsidP="001D23A4">
            <w:pPr>
              <w:spacing w:before="40" w:after="40"/>
              <w:jc w:val="center"/>
              <w:rPr>
                <w:rFonts w:cstheme="minorHAnsi"/>
                <w:sz w:val="20"/>
              </w:rPr>
            </w:pPr>
          </w:p>
        </w:tc>
        <w:tc>
          <w:tcPr>
            <w:tcW w:w="490" w:type="pct"/>
          </w:tcPr>
          <w:p w14:paraId="5CAE10D2" w14:textId="77777777" w:rsidR="008C77B2" w:rsidRDefault="008C77B2" w:rsidP="001D23A4">
            <w:pPr>
              <w:spacing w:before="40" w:after="40"/>
              <w:jc w:val="center"/>
              <w:rPr>
                <w:rFonts w:cstheme="minorHAnsi"/>
                <w:sz w:val="20"/>
              </w:rPr>
            </w:pPr>
          </w:p>
        </w:tc>
        <w:tc>
          <w:tcPr>
            <w:tcW w:w="506" w:type="pct"/>
            <w:gridSpan w:val="2"/>
          </w:tcPr>
          <w:p w14:paraId="5CAE10D3" w14:textId="77777777" w:rsidR="008C77B2" w:rsidRDefault="008C77B2" w:rsidP="001D23A4">
            <w:pPr>
              <w:spacing w:before="40" w:after="40"/>
              <w:jc w:val="center"/>
              <w:rPr>
                <w:rFonts w:cstheme="minorHAnsi"/>
                <w:sz w:val="20"/>
              </w:rPr>
            </w:pPr>
          </w:p>
        </w:tc>
        <w:tc>
          <w:tcPr>
            <w:tcW w:w="523" w:type="pct"/>
          </w:tcPr>
          <w:p w14:paraId="5CAE10D4" w14:textId="77777777" w:rsidR="008C77B2" w:rsidRDefault="008C77B2" w:rsidP="001D23A4">
            <w:pPr>
              <w:spacing w:before="40" w:after="40"/>
              <w:jc w:val="center"/>
              <w:rPr>
                <w:rFonts w:cstheme="minorHAnsi"/>
                <w:sz w:val="20"/>
              </w:rPr>
            </w:pPr>
          </w:p>
        </w:tc>
        <w:tc>
          <w:tcPr>
            <w:tcW w:w="455" w:type="pct"/>
          </w:tcPr>
          <w:p w14:paraId="5CAE10D5" w14:textId="77777777" w:rsidR="008C77B2" w:rsidRDefault="008C77B2" w:rsidP="001D23A4">
            <w:pPr>
              <w:spacing w:before="40" w:after="40"/>
              <w:jc w:val="center"/>
              <w:rPr>
                <w:rFonts w:cstheme="minorHAnsi"/>
                <w:sz w:val="20"/>
              </w:rPr>
            </w:pPr>
          </w:p>
        </w:tc>
        <w:tc>
          <w:tcPr>
            <w:tcW w:w="496" w:type="pct"/>
          </w:tcPr>
          <w:p w14:paraId="5CAE10D6" w14:textId="77777777" w:rsidR="008C77B2" w:rsidRDefault="008C77B2" w:rsidP="001D23A4">
            <w:pPr>
              <w:spacing w:before="40" w:after="40"/>
              <w:jc w:val="center"/>
              <w:rPr>
                <w:rFonts w:cstheme="minorHAnsi"/>
                <w:sz w:val="20"/>
              </w:rPr>
            </w:pPr>
          </w:p>
        </w:tc>
        <w:tc>
          <w:tcPr>
            <w:tcW w:w="462" w:type="pct"/>
          </w:tcPr>
          <w:p w14:paraId="5CAE10D7" w14:textId="77777777" w:rsidR="008C77B2" w:rsidRDefault="008C77B2" w:rsidP="001D23A4">
            <w:pPr>
              <w:spacing w:before="40" w:after="40"/>
              <w:jc w:val="center"/>
              <w:rPr>
                <w:rFonts w:cstheme="minorHAnsi"/>
                <w:sz w:val="20"/>
              </w:rPr>
            </w:pPr>
          </w:p>
        </w:tc>
        <w:tc>
          <w:tcPr>
            <w:tcW w:w="491" w:type="pct"/>
          </w:tcPr>
          <w:p w14:paraId="5CAE10D8" w14:textId="77777777" w:rsidR="008C77B2" w:rsidRDefault="008C77B2" w:rsidP="001D23A4">
            <w:pPr>
              <w:spacing w:before="40" w:after="40"/>
              <w:jc w:val="center"/>
              <w:rPr>
                <w:rFonts w:cstheme="minorHAnsi"/>
                <w:sz w:val="20"/>
              </w:rPr>
            </w:pPr>
          </w:p>
        </w:tc>
      </w:tr>
      <w:tr w:rsidR="008C77B2" w14:paraId="5CAE10DB" w14:textId="77777777">
        <w:tc>
          <w:tcPr>
            <w:tcW w:w="5000" w:type="pct"/>
            <w:gridSpan w:val="11"/>
          </w:tcPr>
          <w:p w14:paraId="5CAE10DA" w14:textId="77777777" w:rsidR="008C77B2" w:rsidRDefault="008C77B2" w:rsidP="001D23A4">
            <w:pPr>
              <w:spacing w:before="40" w:after="40"/>
              <w:jc w:val="center"/>
              <w:rPr>
                <w:rFonts w:eastAsia="Times New Roman" w:cstheme="minorHAnsi"/>
                <w:sz w:val="20"/>
                <w:szCs w:val="20"/>
              </w:rPr>
            </w:pPr>
          </w:p>
        </w:tc>
      </w:tr>
      <w:tr w:rsidR="008C77B2" w14:paraId="5CAE10E6" w14:textId="77777777">
        <w:tc>
          <w:tcPr>
            <w:tcW w:w="313" w:type="pct"/>
          </w:tcPr>
          <w:p w14:paraId="5CAE10DC" w14:textId="77777777" w:rsidR="008C77B2" w:rsidRDefault="00CD4E3B" w:rsidP="001D23A4">
            <w:pPr>
              <w:spacing w:before="40" w:after="40"/>
              <w:jc w:val="center"/>
              <w:rPr>
                <w:rFonts w:cstheme="minorHAnsi"/>
                <w:sz w:val="20"/>
              </w:rPr>
            </w:pPr>
            <w:r>
              <w:rPr>
                <w:rFonts w:cstheme="minorHAnsi"/>
                <w:sz w:val="20"/>
              </w:rPr>
              <w:t>3</w:t>
            </w:r>
          </w:p>
        </w:tc>
        <w:tc>
          <w:tcPr>
            <w:tcW w:w="769" w:type="pct"/>
          </w:tcPr>
          <w:p w14:paraId="5CAE10DD" w14:textId="77777777" w:rsidR="008C77B2" w:rsidRDefault="00CD4E3B" w:rsidP="001D23A4">
            <w:pPr>
              <w:spacing w:before="40" w:after="40"/>
              <w:jc w:val="center"/>
              <w:rPr>
                <w:rFonts w:cstheme="minorHAnsi"/>
                <w:b/>
                <w:sz w:val="20"/>
              </w:rPr>
            </w:pPr>
            <w:r>
              <w:rPr>
                <w:rFonts w:cstheme="minorHAnsi"/>
                <w:b/>
                <w:sz w:val="20"/>
              </w:rPr>
              <w:t>Transmitter characteristics</w:t>
            </w:r>
          </w:p>
        </w:tc>
        <w:tc>
          <w:tcPr>
            <w:tcW w:w="495" w:type="pct"/>
          </w:tcPr>
          <w:p w14:paraId="5CAE10DE" w14:textId="77777777" w:rsidR="008C77B2" w:rsidRDefault="008C77B2" w:rsidP="001D23A4">
            <w:pPr>
              <w:spacing w:before="40" w:after="40"/>
              <w:jc w:val="center"/>
              <w:rPr>
                <w:rFonts w:cstheme="minorHAnsi"/>
                <w:sz w:val="20"/>
              </w:rPr>
            </w:pPr>
          </w:p>
        </w:tc>
        <w:tc>
          <w:tcPr>
            <w:tcW w:w="490" w:type="pct"/>
          </w:tcPr>
          <w:p w14:paraId="5CAE10DF" w14:textId="77777777" w:rsidR="008C77B2" w:rsidRDefault="008C77B2" w:rsidP="001D23A4">
            <w:pPr>
              <w:spacing w:before="40" w:after="40"/>
              <w:jc w:val="center"/>
              <w:rPr>
                <w:rFonts w:cstheme="minorHAnsi"/>
                <w:sz w:val="20"/>
              </w:rPr>
            </w:pPr>
          </w:p>
        </w:tc>
        <w:tc>
          <w:tcPr>
            <w:tcW w:w="506" w:type="pct"/>
            <w:gridSpan w:val="2"/>
          </w:tcPr>
          <w:p w14:paraId="5CAE10E0" w14:textId="77777777" w:rsidR="008C77B2" w:rsidRDefault="008C77B2" w:rsidP="001D23A4">
            <w:pPr>
              <w:spacing w:before="40" w:after="40"/>
              <w:jc w:val="center"/>
              <w:rPr>
                <w:rFonts w:cstheme="minorHAnsi"/>
                <w:sz w:val="20"/>
              </w:rPr>
            </w:pPr>
          </w:p>
        </w:tc>
        <w:tc>
          <w:tcPr>
            <w:tcW w:w="523" w:type="pct"/>
          </w:tcPr>
          <w:p w14:paraId="5CAE10E1" w14:textId="77777777" w:rsidR="008C77B2" w:rsidRDefault="008C77B2" w:rsidP="001D23A4">
            <w:pPr>
              <w:spacing w:before="40" w:after="40"/>
              <w:jc w:val="center"/>
              <w:rPr>
                <w:rFonts w:cstheme="minorHAnsi"/>
                <w:sz w:val="20"/>
              </w:rPr>
            </w:pPr>
          </w:p>
        </w:tc>
        <w:tc>
          <w:tcPr>
            <w:tcW w:w="455" w:type="pct"/>
          </w:tcPr>
          <w:p w14:paraId="5CAE10E2" w14:textId="77777777" w:rsidR="008C77B2" w:rsidRDefault="008C77B2" w:rsidP="001D23A4">
            <w:pPr>
              <w:spacing w:before="40" w:after="40"/>
              <w:jc w:val="center"/>
              <w:rPr>
                <w:rFonts w:cstheme="minorHAnsi"/>
                <w:sz w:val="20"/>
              </w:rPr>
            </w:pPr>
          </w:p>
        </w:tc>
        <w:tc>
          <w:tcPr>
            <w:tcW w:w="496" w:type="pct"/>
          </w:tcPr>
          <w:p w14:paraId="5CAE10E3" w14:textId="77777777" w:rsidR="008C77B2" w:rsidRDefault="008C77B2" w:rsidP="001D23A4">
            <w:pPr>
              <w:spacing w:before="40" w:after="40"/>
              <w:jc w:val="center"/>
              <w:rPr>
                <w:rFonts w:cstheme="minorHAnsi"/>
                <w:sz w:val="20"/>
              </w:rPr>
            </w:pPr>
          </w:p>
        </w:tc>
        <w:tc>
          <w:tcPr>
            <w:tcW w:w="462" w:type="pct"/>
          </w:tcPr>
          <w:p w14:paraId="5CAE10E4" w14:textId="77777777" w:rsidR="008C77B2" w:rsidRDefault="008C77B2" w:rsidP="001D23A4">
            <w:pPr>
              <w:spacing w:before="40" w:after="40"/>
              <w:jc w:val="center"/>
              <w:rPr>
                <w:rFonts w:cstheme="minorHAnsi"/>
                <w:sz w:val="20"/>
              </w:rPr>
            </w:pPr>
          </w:p>
        </w:tc>
        <w:tc>
          <w:tcPr>
            <w:tcW w:w="491" w:type="pct"/>
          </w:tcPr>
          <w:p w14:paraId="5CAE10E5" w14:textId="77777777" w:rsidR="008C77B2" w:rsidRDefault="008C77B2" w:rsidP="001D23A4">
            <w:pPr>
              <w:spacing w:before="40" w:after="40"/>
              <w:jc w:val="center"/>
              <w:rPr>
                <w:rFonts w:cstheme="minorHAnsi"/>
                <w:sz w:val="20"/>
              </w:rPr>
            </w:pPr>
          </w:p>
        </w:tc>
      </w:tr>
      <w:tr w:rsidR="008C77B2" w14:paraId="5CAE10F1" w14:textId="77777777">
        <w:tc>
          <w:tcPr>
            <w:tcW w:w="313" w:type="pct"/>
          </w:tcPr>
          <w:p w14:paraId="5CAE10E7" w14:textId="77777777" w:rsidR="008C77B2" w:rsidRDefault="00CD4E3B" w:rsidP="001D23A4">
            <w:pPr>
              <w:spacing w:before="40" w:after="40"/>
              <w:jc w:val="center"/>
              <w:rPr>
                <w:rFonts w:cstheme="minorHAnsi"/>
                <w:sz w:val="20"/>
              </w:rPr>
            </w:pPr>
            <w:r>
              <w:rPr>
                <w:rFonts w:cstheme="minorHAnsi"/>
                <w:sz w:val="20"/>
              </w:rPr>
              <w:t>3.1</w:t>
            </w:r>
          </w:p>
        </w:tc>
        <w:tc>
          <w:tcPr>
            <w:tcW w:w="769" w:type="pct"/>
          </w:tcPr>
          <w:p w14:paraId="5CAE10E8" w14:textId="60A739E3" w:rsidR="008C77B2" w:rsidRDefault="003C4054" w:rsidP="001D23A4">
            <w:pPr>
              <w:spacing w:before="40" w:after="40"/>
              <w:jc w:val="center"/>
              <w:rPr>
                <w:rFonts w:cstheme="minorHAnsi"/>
                <w:sz w:val="20"/>
              </w:rPr>
            </w:pPr>
            <w:r>
              <w:rPr>
                <w:rFonts w:cstheme="minorHAnsi"/>
                <w:sz w:val="20"/>
              </w:rPr>
              <w:t>Maximum</w:t>
            </w:r>
            <w:r w:rsidR="00CD4E3B">
              <w:rPr>
                <w:rFonts w:cstheme="minorHAnsi"/>
                <w:sz w:val="20"/>
              </w:rPr>
              <w:t xml:space="preserve"> e.i.r.p (dBm)</w:t>
            </w:r>
          </w:p>
        </w:tc>
        <w:tc>
          <w:tcPr>
            <w:tcW w:w="495" w:type="pct"/>
          </w:tcPr>
          <w:p w14:paraId="5CAE10E9" w14:textId="77777777" w:rsidR="008C77B2" w:rsidRDefault="008C77B2" w:rsidP="001D23A4">
            <w:pPr>
              <w:spacing w:before="40" w:after="40"/>
              <w:jc w:val="center"/>
              <w:rPr>
                <w:rFonts w:cstheme="minorHAnsi"/>
                <w:sz w:val="20"/>
              </w:rPr>
            </w:pPr>
          </w:p>
        </w:tc>
        <w:tc>
          <w:tcPr>
            <w:tcW w:w="490" w:type="pct"/>
          </w:tcPr>
          <w:p w14:paraId="5CAE10EA" w14:textId="77777777" w:rsidR="008C77B2" w:rsidRDefault="008C77B2" w:rsidP="001D23A4">
            <w:pPr>
              <w:spacing w:before="40" w:after="40"/>
              <w:jc w:val="center"/>
              <w:rPr>
                <w:rFonts w:cstheme="minorHAnsi"/>
                <w:sz w:val="20"/>
              </w:rPr>
            </w:pPr>
          </w:p>
        </w:tc>
        <w:tc>
          <w:tcPr>
            <w:tcW w:w="506" w:type="pct"/>
            <w:gridSpan w:val="2"/>
          </w:tcPr>
          <w:p w14:paraId="5CAE10EB" w14:textId="77777777" w:rsidR="008C77B2" w:rsidRDefault="008C77B2" w:rsidP="001D23A4">
            <w:pPr>
              <w:spacing w:before="40" w:after="40"/>
              <w:jc w:val="center"/>
              <w:rPr>
                <w:rFonts w:cstheme="minorHAnsi"/>
                <w:sz w:val="20"/>
              </w:rPr>
            </w:pPr>
          </w:p>
        </w:tc>
        <w:tc>
          <w:tcPr>
            <w:tcW w:w="523" w:type="pct"/>
          </w:tcPr>
          <w:p w14:paraId="5CAE10EC" w14:textId="77777777" w:rsidR="008C77B2" w:rsidRDefault="008C77B2" w:rsidP="001D23A4">
            <w:pPr>
              <w:spacing w:before="40" w:after="40"/>
              <w:jc w:val="center"/>
              <w:rPr>
                <w:rFonts w:cstheme="minorHAnsi"/>
                <w:sz w:val="20"/>
              </w:rPr>
            </w:pPr>
          </w:p>
        </w:tc>
        <w:tc>
          <w:tcPr>
            <w:tcW w:w="455" w:type="pct"/>
          </w:tcPr>
          <w:p w14:paraId="5CAE10ED" w14:textId="77777777" w:rsidR="008C77B2" w:rsidRDefault="008C77B2" w:rsidP="001D23A4">
            <w:pPr>
              <w:spacing w:before="40" w:after="40"/>
              <w:jc w:val="center"/>
              <w:rPr>
                <w:rFonts w:cstheme="minorHAnsi"/>
                <w:sz w:val="20"/>
              </w:rPr>
            </w:pPr>
          </w:p>
        </w:tc>
        <w:tc>
          <w:tcPr>
            <w:tcW w:w="496" w:type="pct"/>
          </w:tcPr>
          <w:p w14:paraId="5CAE10EE" w14:textId="77777777" w:rsidR="008C77B2" w:rsidRDefault="008C77B2" w:rsidP="001D23A4">
            <w:pPr>
              <w:spacing w:before="40" w:after="40"/>
              <w:jc w:val="center"/>
              <w:rPr>
                <w:rFonts w:cstheme="minorHAnsi"/>
                <w:sz w:val="20"/>
              </w:rPr>
            </w:pPr>
          </w:p>
        </w:tc>
        <w:tc>
          <w:tcPr>
            <w:tcW w:w="462" w:type="pct"/>
          </w:tcPr>
          <w:p w14:paraId="5CAE10EF" w14:textId="77777777" w:rsidR="008C77B2" w:rsidRDefault="008C77B2" w:rsidP="001D23A4">
            <w:pPr>
              <w:spacing w:before="40" w:after="40"/>
              <w:jc w:val="center"/>
              <w:rPr>
                <w:rFonts w:cstheme="minorHAnsi"/>
                <w:sz w:val="20"/>
              </w:rPr>
            </w:pPr>
          </w:p>
        </w:tc>
        <w:tc>
          <w:tcPr>
            <w:tcW w:w="491" w:type="pct"/>
          </w:tcPr>
          <w:p w14:paraId="5CAE10F0" w14:textId="77777777" w:rsidR="008C77B2" w:rsidRDefault="008C77B2" w:rsidP="001D23A4">
            <w:pPr>
              <w:spacing w:before="40" w:after="40"/>
              <w:jc w:val="center"/>
              <w:rPr>
                <w:rFonts w:cstheme="minorHAnsi"/>
                <w:sz w:val="20"/>
              </w:rPr>
            </w:pPr>
          </w:p>
        </w:tc>
      </w:tr>
      <w:tr w:rsidR="008C77B2" w14:paraId="5CAE10FC" w14:textId="77777777">
        <w:tc>
          <w:tcPr>
            <w:tcW w:w="313" w:type="pct"/>
          </w:tcPr>
          <w:p w14:paraId="5CAE10F2" w14:textId="77777777" w:rsidR="008C77B2" w:rsidRDefault="00CD4E3B" w:rsidP="001D23A4">
            <w:pPr>
              <w:spacing w:before="40" w:after="40"/>
              <w:jc w:val="center"/>
              <w:rPr>
                <w:rFonts w:cstheme="minorHAnsi"/>
                <w:sz w:val="20"/>
              </w:rPr>
            </w:pPr>
            <w:r>
              <w:rPr>
                <w:rFonts w:cstheme="minorHAnsi"/>
                <w:sz w:val="20"/>
              </w:rPr>
              <w:t>3.2</w:t>
            </w:r>
          </w:p>
        </w:tc>
        <w:tc>
          <w:tcPr>
            <w:tcW w:w="769" w:type="pct"/>
          </w:tcPr>
          <w:p w14:paraId="5CAE10F3" w14:textId="77777777" w:rsidR="008C77B2" w:rsidRDefault="00CD4E3B" w:rsidP="001D23A4">
            <w:pPr>
              <w:spacing w:before="40" w:after="40"/>
              <w:jc w:val="center"/>
              <w:rPr>
                <w:rFonts w:cstheme="minorHAnsi"/>
                <w:sz w:val="20"/>
              </w:rPr>
            </w:pPr>
            <w:r>
              <w:rPr>
                <w:rFonts w:cstheme="minorHAnsi"/>
                <w:sz w:val="20"/>
              </w:rPr>
              <w:t>Average</w:t>
            </w:r>
            <w:r>
              <w:rPr>
                <w:rFonts w:cstheme="minorHAnsi"/>
                <w:sz w:val="20"/>
              </w:rPr>
              <w:br/>
              <w:t>e.i.r.p (dBm)</w:t>
            </w:r>
          </w:p>
        </w:tc>
        <w:tc>
          <w:tcPr>
            <w:tcW w:w="495" w:type="pct"/>
          </w:tcPr>
          <w:p w14:paraId="5CAE10F4" w14:textId="77777777" w:rsidR="008C77B2" w:rsidRDefault="008C77B2" w:rsidP="001D23A4">
            <w:pPr>
              <w:spacing w:before="40" w:after="40"/>
              <w:jc w:val="center"/>
              <w:rPr>
                <w:rFonts w:cstheme="minorHAnsi"/>
                <w:sz w:val="20"/>
              </w:rPr>
            </w:pPr>
          </w:p>
        </w:tc>
        <w:tc>
          <w:tcPr>
            <w:tcW w:w="490" w:type="pct"/>
          </w:tcPr>
          <w:p w14:paraId="5CAE10F5" w14:textId="77777777" w:rsidR="008C77B2" w:rsidRDefault="008C77B2" w:rsidP="001D23A4">
            <w:pPr>
              <w:spacing w:before="40" w:after="40"/>
              <w:jc w:val="center"/>
              <w:rPr>
                <w:rFonts w:cstheme="minorHAnsi"/>
                <w:sz w:val="20"/>
              </w:rPr>
            </w:pPr>
          </w:p>
        </w:tc>
        <w:tc>
          <w:tcPr>
            <w:tcW w:w="506" w:type="pct"/>
            <w:gridSpan w:val="2"/>
          </w:tcPr>
          <w:p w14:paraId="5CAE10F6" w14:textId="77777777" w:rsidR="008C77B2" w:rsidRDefault="008C77B2" w:rsidP="001D23A4">
            <w:pPr>
              <w:spacing w:before="40" w:after="40"/>
              <w:jc w:val="center"/>
              <w:rPr>
                <w:rFonts w:cstheme="minorHAnsi"/>
                <w:sz w:val="20"/>
              </w:rPr>
            </w:pPr>
          </w:p>
        </w:tc>
        <w:tc>
          <w:tcPr>
            <w:tcW w:w="523" w:type="pct"/>
          </w:tcPr>
          <w:p w14:paraId="5CAE10F7" w14:textId="77777777" w:rsidR="008C77B2" w:rsidRDefault="008C77B2" w:rsidP="001D23A4">
            <w:pPr>
              <w:spacing w:before="40" w:after="40"/>
              <w:jc w:val="center"/>
              <w:rPr>
                <w:rFonts w:cstheme="minorHAnsi"/>
                <w:sz w:val="20"/>
              </w:rPr>
            </w:pPr>
          </w:p>
        </w:tc>
        <w:tc>
          <w:tcPr>
            <w:tcW w:w="455" w:type="pct"/>
          </w:tcPr>
          <w:p w14:paraId="5CAE10F8" w14:textId="77777777" w:rsidR="008C77B2" w:rsidRDefault="008C77B2" w:rsidP="001D23A4">
            <w:pPr>
              <w:spacing w:before="40" w:after="40"/>
              <w:jc w:val="center"/>
              <w:rPr>
                <w:rFonts w:cstheme="minorHAnsi"/>
                <w:sz w:val="20"/>
              </w:rPr>
            </w:pPr>
          </w:p>
        </w:tc>
        <w:tc>
          <w:tcPr>
            <w:tcW w:w="496" w:type="pct"/>
          </w:tcPr>
          <w:p w14:paraId="5CAE10F9" w14:textId="77777777" w:rsidR="008C77B2" w:rsidRDefault="008C77B2" w:rsidP="001D23A4">
            <w:pPr>
              <w:spacing w:before="40" w:after="40"/>
              <w:jc w:val="center"/>
              <w:rPr>
                <w:rFonts w:cstheme="minorHAnsi"/>
                <w:sz w:val="20"/>
              </w:rPr>
            </w:pPr>
          </w:p>
        </w:tc>
        <w:tc>
          <w:tcPr>
            <w:tcW w:w="462" w:type="pct"/>
          </w:tcPr>
          <w:p w14:paraId="5CAE10FA" w14:textId="77777777" w:rsidR="008C77B2" w:rsidRDefault="008C77B2" w:rsidP="001D23A4">
            <w:pPr>
              <w:spacing w:before="40" w:after="40"/>
              <w:jc w:val="center"/>
              <w:rPr>
                <w:rFonts w:cstheme="minorHAnsi"/>
                <w:sz w:val="20"/>
              </w:rPr>
            </w:pPr>
          </w:p>
        </w:tc>
        <w:tc>
          <w:tcPr>
            <w:tcW w:w="491" w:type="pct"/>
          </w:tcPr>
          <w:p w14:paraId="5CAE10FB" w14:textId="77777777" w:rsidR="008C77B2" w:rsidRDefault="008C77B2" w:rsidP="001D23A4">
            <w:pPr>
              <w:spacing w:before="40" w:after="40"/>
              <w:jc w:val="center"/>
              <w:rPr>
                <w:rFonts w:cstheme="minorHAnsi"/>
                <w:sz w:val="20"/>
              </w:rPr>
            </w:pPr>
          </w:p>
        </w:tc>
      </w:tr>
      <w:tr w:rsidR="008C77B2" w14:paraId="5CAE1107" w14:textId="77777777">
        <w:tc>
          <w:tcPr>
            <w:tcW w:w="313" w:type="pct"/>
          </w:tcPr>
          <w:p w14:paraId="5CAE10FD" w14:textId="77777777" w:rsidR="008C77B2" w:rsidRDefault="00CD4E3B" w:rsidP="001D23A4">
            <w:pPr>
              <w:spacing w:before="40" w:after="40"/>
              <w:jc w:val="center"/>
              <w:rPr>
                <w:rFonts w:cstheme="minorHAnsi"/>
                <w:sz w:val="20"/>
              </w:rPr>
            </w:pPr>
            <w:r>
              <w:rPr>
                <w:rFonts w:cstheme="minorHAnsi"/>
                <w:sz w:val="20"/>
              </w:rPr>
              <w:t>3.3</w:t>
            </w:r>
          </w:p>
        </w:tc>
        <w:tc>
          <w:tcPr>
            <w:tcW w:w="769" w:type="pct"/>
          </w:tcPr>
          <w:p w14:paraId="7340AF94" w14:textId="77777777" w:rsidR="008C77B2" w:rsidRDefault="00CD4E3B" w:rsidP="001D23A4">
            <w:pPr>
              <w:spacing w:before="40" w:after="40"/>
              <w:jc w:val="center"/>
              <w:rPr>
                <w:rFonts w:cstheme="minorHAnsi"/>
                <w:sz w:val="20"/>
              </w:rPr>
            </w:pPr>
            <w:r>
              <w:rPr>
                <w:rFonts w:cstheme="minorHAnsi"/>
                <w:sz w:val="20"/>
              </w:rPr>
              <w:t xml:space="preserve">Power dynamic </w:t>
            </w:r>
            <w:r w:rsidR="001D23A4">
              <w:rPr>
                <w:rFonts w:cstheme="minorHAnsi"/>
                <w:sz w:val="20"/>
              </w:rPr>
              <w:t xml:space="preserve">Range </w:t>
            </w:r>
            <w:r>
              <w:rPr>
                <w:rFonts w:cstheme="minorHAnsi"/>
                <w:sz w:val="20"/>
              </w:rPr>
              <w:t>(dB)</w:t>
            </w:r>
          </w:p>
          <w:p w14:paraId="5CAE10FE" w14:textId="6F59D2EA" w:rsidR="001D23A4" w:rsidRDefault="001D23A4" w:rsidP="001D23A4">
            <w:pPr>
              <w:spacing w:before="40" w:after="40"/>
              <w:jc w:val="center"/>
              <w:rPr>
                <w:rFonts w:cstheme="minorHAnsi"/>
                <w:sz w:val="20"/>
              </w:rPr>
            </w:pPr>
          </w:p>
        </w:tc>
        <w:tc>
          <w:tcPr>
            <w:tcW w:w="495" w:type="pct"/>
          </w:tcPr>
          <w:p w14:paraId="5CAE10FF" w14:textId="77777777" w:rsidR="008C77B2" w:rsidRDefault="008C77B2" w:rsidP="001D23A4">
            <w:pPr>
              <w:spacing w:before="40" w:after="40"/>
              <w:jc w:val="center"/>
              <w:rPr>
                <w:rFonts w:cstheme="minorHAnsi"/>
                <w:sz w:val="20"/>
              </w:rPr>
            </w:pPr>
          </w:p>
        </w:tc>
        <w:tc>
          <w:tcPr>
            <w:tcW w:w="490" w:type="pct"/>
          </w:tcPr>
          <w:p w14:paraId="5CAE1100" w14:textId="77777777" w:rsidR="008C77B2" w:rsidRDefault="008C77B2" w:rsidP="001D23A4">
            <w:pPr>
              <w:spacing w:before="40" w:after="40"/>
              <w:jc w:val="center"/>
              <w:rPr>
                <w:rFonts w:cstheme="minorHAnsi"/>
                <w:sz w:val="20"/>
              </w:rPr>
            </w:pPr>
          </w:p>
        </w:tc>
        <w:tc>
          <w:tcPr>
            <w:tcW w:w="506" w:type="pct"/>
            <w:gridSpan w:val="2"/>
          </w:tcPr>
          <w:p w14:paraId="5CAE1101" w14:textId="77777777" w:rsidR="008C77B2" w:rsidRDefault="008C77B2" w:rsidP="001D23A4">
            <w:pPr>
              <w:spacing w:before="40" w:after="40"/>
              <w:jc w:val="center"/>
              <w:rPr>
                <w:rFonts w:cstheme="minorHAnsi"/>
                <w:sz w:val="20"/>
              </w:rPr>
            </w:pPr>
          </w:p>
        </w:tc>
        <w:tc>
          <w:tcPr>
            <w:tcW w:w="523" w:type="pct"/>
          </w:tcPr>
          <w:p w14:paraId="5CAE1102" w14:textId="77777777" w:rsidR="008C77B2" w:rsidRDefault="008C77B2" w:rsidP="001D23A4">
            <w:pPr>
              <w:spacing w:before="40" w:after="40"/>
              <w:jc w:val="center"/>
              <w:rPr>
                <w:rFonts w:cstheme="minorHAnsi"/>
                <w:sz w:val="20"/>
              </w:rPr>
            </w:pPr>
          </w:p>
        </w:tc>
        <w:tc>
          <w:tcPr>
            <w:tcW w:w="455" w:type="pct"/>
          </w:tcPr>
          <w:p w14:paraId="5CAE1103" w14:textId="77777777" w:rsidR="008C77B2" w:rsidRDefault="008C77B2" w:rsidP="001D23A4">
            <w:pPr>
              <w:spacing w:before="40" w:after="40"/>
              <w:jc w:val="center"/>
              <w:rPr>
                <w:rFonts w:cstheme="minorHAnsi"/>
                <w:sz w:val="20"/>
              </w:rPr>
            </w:pPr>
          </w:p>
        </w:tc>
        <w:tc>
          <w:tcPr>
            <w:tcW w:w="496" w:type="pct"/>
          </w:tcPr>
          <w:p w14:paraId="5CAE1104" w14:textId="77777777" w:rsidR="008C77B2" w:rsidRDefault="008C77B2" w:rsidP="001D23A4">
            <w:pPr>
              <w:spacing w:before="40" w:after="40"/>
              <w:jc w:val="center"/>
              <w:rPr>
                <w:rFonts w:cstheme="minorHAnsi"/>
                <w:sz w:val="20"/>
              </w:rPr>
            </w:pPr>
          </w:p>
        </w:tc>
        <w:tc>
          <w:tcPr>
            <w:tcW w:w="462" w:type="pct"/>
          </w:tcPr>
          <w:p w14:paraId="5CAE1105" w14:textId="77777777" w:rsidR="008C77B2" w:rsidRDefault="008C77B2" w:rsidP="001D23A4">
            <w:pPr>
              <w:spacing w:before="40" w:after="40"/>
              <w:jc w:val="center"/>
              <w:rPr>
                <w:rFonts w:cstheme="minorHAnsi"/>
                <w:sz w:val="20"/>
              </w:rPr>
            </w:pPr>
          </w:p>
        </w:tc>
        <w:tc>
          <w:tcPr>
            <w:tcW w:w="491" w:type="pct"/>
          </w:tcPr>
          <w:p w14:paraId="5CAE1106" w14:textId="77777777" w:rsidR="008C77B2" w:rsidRDefault="008C77B2" w:rsidP="001D23A4">
            <w:pPr>
              <w:spacing w:before="40" w:after="40"/>
              <w:jc w:val="center"/>
              <w:rPr>
                <w:rFonts w:cstheme="minorHAnsi"/>
                <w:sz w:val="20"/>
              </w:rPr>
            </w:pPr>
          </w:p>
        </w:tc>
      </w:tr>
      <w:tr w:rsidR="008C77B2" w14:paraId="5CAE1112" w14:textId="77777777">
        <w:tc>
          <w:tcPr>
            <w:tcW w:w="313" w:type="pct"/>
          </w:tcPr>
          <w:p w14:paraId="5CAE1108" w14:textId="77777777" w:rsidR="008C77B2" w:rsidRDefault="00CD4E3B" w:rsidP="001D23A4">
            <w:pPr>
              <w:spacing w:before="40" w:after="40"/>
              <w:jc w:val="center"/>
              <w:rPr>
                <w:rFonts w:cstheme="minorHAnsi"/>
                <w:sz w:val="20"/>
              </w:rPr>
            </w:pPr>
            <w:r>
              <w:rPr>
                <w:rFonts w:cstheme="minorHAnsi"/>
                <w:sz w:val="20"/>
              </w:rPr>
              <w:t>3.4</w:t>
            </w:r>
          </w:p>
        </w:tc>
        <w:tc>
          <w:tcPr>
            <w:tcW w:w="769" w:type="pct"/>
          </w:tcPr>
          <w:p w14:paraId="5CAE1109" w14:textId="77777777" w:rsidR="008C77B2" w:rsidRDefault="00CD4E3B" w:rsidP="001D23A4">
            <w:pPr>
              <w:spacing w:before="40" w:after="40"/>
              <w:jc w:val="center"/>
              <w:rPr>
                <w:rFonts w:cstheme="minorHAnsi"/>
                <w:sz w:val="20"/>
              </w:rPr>
            </w:pPr>
            <w:r>
              <w:rPr>
                <w:rFonts w:cstheme="minorHAnsi"/>
                <w:sz w:val="20"/>
              </w:rPr>
              <w:t>Spectral mask</w:t>
            </w:r>
          </w:p>
        </w:tc>
        <w:tc>
          <w:tcPr>
            <w:tcW w:w="495" w:type="pct"/>
          </w:tcPr>
          <w:p w14:paraId="5CAE110A" w14:textId="77777777" w:rsidR="008C77B2" w:rsidRDefault="008C77B2" w:rsidP="001D23A4">
            <w:pPr>
              <w:spacing w:before="40" w:after="40"/>
              <w:jc w:val="center"/>
              <w:rPr>
                <w:rFonts w:cstheme="minorHAnsi"/>
                <w:sz w:val="20"/>
              </w:rPr>
            </w:pPr>
          </w:p>
        </w:tc>
        <w:tc>
          <w:tcPr>
            <w:tcW w:w="490" w:type="pct"/>
          </w:tcPr>
          <w:p w14:paraId="5CAE110B" w14:textId="77777777" w:rsidR="008C77B2" w:rsidRDefault="008C77B2" w:rsidP="001D23A4">
            <w:pPr>
              <w:spacing w:before="40" w:after="40"/>
              <w:jc w:val="center"/>
              <w:rPr>
                <w:rFonts w:cstheme="minorHAnsi"/>
                <w:sz w:val="20"/>
              </w:rPr>
            </w:pPr>
          </w:p>
        </w:tc>
        <w:tc>
          <w:tcPr>
            <w:tcW w:w="506" w:type="pct"/>
            <w:gridSpan w:val="2"/>
          </w:tcPr>
          <w:p w14:paraId="5CAE110C" w14:textId="77777777" w:rsidR="008C77B2" w:rsidRDefault="008C77B2" w:rsidP="001D23A4">
            <w:pPr>
              <w:spacing w:before="40" w:after="40"/>
              <w:jc w:val="center"/>
              <w:rPr>
                <w:rFonts w:cstheme="minorHAnsi"/>
                <w:sz w:val="20"/>
              </w:rPr>
            </w:pPr>
          </w:p>
        </w:tc>
        <w:tc>
          <w:tcPr>
            <w:tcW w:w="523" w:type="pct"/>
          </w:tcPr>
          <w:p w14:paraId="5CAE110D" w14:textId="77777777" w:rsidR="008C77B2" w:rsidRDefault="008C77B2" w:rsidP="001D23A4">
            <w:pPr>
              <w:spacing w:before="40" w:after="40"/>
              <w:jc w:val="center"/>
              <w:rPr>
                <w:rFonts w:cstheme="minorHAnsi"/>
                <w:sz w:val="20"/>
              </w:rPr>
            </w:pPr>
          </w:p>
        </w:tc>
        <w:tc>
          <w:tcPr>
            <w:tcW w:w="455" w:type="pct"/>
          </w:tcPr>
          <w:p w14:paraId="5CAE110E" w14:textId="77777777" w:rsidR="008C77B2" w:rsidRDefault="008C77B2" w:rsidP="001D23A4">
            <w:pPr>
              <w:spacing w:before="40" w:after="40"/>
              <w:jc w:val="center"/>
              <w:rPr>
                <w:rFonts w:cstheme="minorHAnsi"/>
                <w:sz w:val="20"/>
              </w:rPr>
            </w:pPr>
          </w:p>
        </w:tc>
        <w:tc>
          <w:tcPr>
            <w:tcW w:w="496" w:type="pct"/>
          </w:tcPr>
          <w:p w14:paraId="5CAE110F" w14:textId="77777777" w:rsidR="008C77B2" w:rsidRDefault="008C77B2" w:rsidP="001D23A4">
            <w:pPr>
              <w:spacing w:before="40" w:after="40"/>
              <w:jc w:val="center"/>
              <w:rPr>
                <w:rFonts w:cstheme="minorHAnsi"/>
                <w:sz w:val="20"/>
              </w:rPr>
            </w:pPr>
          </w:p>
        </w:tc>
        <w:tc>
          <w:tcPr>
            <w:tcW w:w="462" w:type="pct"/>
          </w:tcPr>
          <w:p w14:paraId="5CAE1110" w14:textId="77777777" w:rsidR="008C77B2" w:rsidRDefault="008C77B2" w:rsidP="001D23A4">
            <w:pPr>
              <w:spacing w:before="40" w:after="40"/>
              <w:jc w:val="center"/>
              <w:rPr>
                <w:rFonts w:cstheme="minorHAnsi"/>
                <w:sz w:val="20"/>
              </w:rPr>
            </w:pPr>
          </w:p>
        </w:tc>
        <w:tc>
          <w:tcPr>
            <w:tcW w:w="491" w:type="pct"/>
          </w:tcPr>
          <w:p w14:paraId="5CAE1111" w14:textId="77777777" w:rsidR="008C77B2" w:rsidRDefault="008C77B2" w:rsidP="001D23A4">
            <w:pPr>
              <w:spacing w:before="40" w:after="40"/>
              <w:jc w:val="center"/>
              <w:rPr>
                <w:rFonts w:cstheme="minorHAnsi"/>
                <w:sz w:val="20"/>
              </w:rPr>
            </w:pPr>
          </w:p>
        </w:tc>
      </w:tr>
      <w:tr w:rsidR="008C77B2" w14:paraId="5CAE111D" w14:textId="77777777">
        <w:tc>
          <w:tcPr>
            <w:tcW w:w="313" w:type="pct"/>
          </w:tcPr>
          <w:p w14:paraId="5CAE1113" w14:textId="77777777" w:rsidR="008C77B2" w:rsidRDefault="00CD4E3B" w:rsidP="001D23A4">
            <w:pPr>
              <w:spacing w:before="40" w:after="40"/>
              <w:jc w:val="center"/>
              <w:rPr>
                <w:rFonts w:cstheme="minorHAnsi"/>
                <w:sz w:val="20"/>
              </w:rPr>
            </w:pPr>
            <w:r>
              <w:rPr>
                <w:rFonts w:cstheme="minorHAnsi"/>
                <w:sz w:val="20"/>
              </w:rPr>
              <w:t>3.5</w:t>
            </w:r>
          </w:p>
        </w:tc>
        <w:tc>
          <w:tcPr>
            <w:tcW w:w="769" w:type="pct"/>
          </w:tcPr>
          <w:p w14:paraId="5CAE1114" w14:textId="77777777" w:rsidR="008C77B2" w:rsidRDefault="00CD4E3B" w:rsidP="001D23A4">
            <w:pPr>
              <w:spacing w:before="40" w:after="40"/>
              <w:jc w:val="center"/>
              <w:rPr>
                <w:rFonts w:cstheme="minorHAnsi"/>
                <w:sz w:val="20"/>
              </w:rPr>
            </w:pPr>
            <w:r>
              <w:rPr>
                <w:rFonts w:cstheme="minorHAnsi"/>
                <w:sz w:val="20"/>
              </w:rPr>
              <w:t>ACLR</w:t>
            </w:r>
          </w:p>
        </w:tc>
        <w:tc>
          <w:tcPr>
            <w:tcW w:w="495" w:type="pct"/>
          </w:tcPr>
          <w:p w14:paraId="5CAE1115" w14:textId="77777777" w:rsidR="008C77B2" w:rsidRDefault="008C77B2" w:rsidP="001D23A4">
            <w:pPr>
              <w:spacing w:before="40" w:after="40"/>
              <w:jc w:val="center"/>
              <w:rPr>
                <w:rFonts w:cstheme="minorHAnsi"/>
                <w:sz w:val="20"/>
              </w:rPr>
            </w:pPr>
          </w:p>
        </w:tc>
        <w:tc>
          <w:tcPr>
            <w:tcW w:w="490" w:type="pct"/>
          </w:tcPr>
          <w:p w14:paraId="5CAE1116" w14:textId="77777777" w:rsidR="008C77B2" w:rsidRDefault="008C77B2" w:rsidP="001D23A4">
            <w:pPr>
              <w:spacing w:before="40" w:after="40"/>
              <w:jc w:val="center"/>
              <w:rPr>
                <w:rFonts w:cstheme="minorHAnsi"/>
                <w:sz w:val="20"/>
              </w:rPr>
            </w:pPr>
          </w:p>
        </w:tc>
        <w:tc>
          <w:tcPr>
            <w:tcW w:w="506" w:type="pct"/>
            <w:gridSpan w:val="2"/>
          </w:tcPr>
          <w:p w14:paraId="5CAE1117" w14:textId="77777777" w:rsidR="008C77B2" w:rsidRDefault="008C77B2" w:rsidP="001D23A4">
            <w:pPr>
              <w:spacing w:before="40" w:after="40"/>
              <w:jc w:val="center"/>
              <w:rPr>
                <w:rFonts w:cstheme="minorHAnsi"/>
                <w:sz w:val="20"/>
              </w:rPr>
            </w:pPr>
          </w:p>
        </w:tc>
        <w:tc>
          <w:tcPr>
            <w:tcW w:w="523" w:type="pct"/>
          </w:tcPr>
          <w:p w14:paraId="5CAE1118" w14:textId="77777777" w:rsidR="008C77B2" w:rsidRDefault="008C77B2" w:rsidP="001D23A4">
            <w:pPr>
              <w:spacing w:before="40" w:after="40"/>
              <w:jc w:val="center"/>
              <w:rPr>
                <w:rFonts w:cstheme="minorHAnsi"/>
                <w:sz w:val="20"/>
              </w:rPr>
            </w:pPr>
          </w:p>
        </w:tc>
        <w:tc>
          <w:tcPr>
            <w:tcW w:w="455" w:type="pct"/>
          </w:tcPr>
          <w:p w14:paraId="5CAE1119" w14:textId="77777777" w:rsidR="008C77B2" w:rsidRDefault="008C77B2" w:rsidP="001D23A4">
            <w:pPr>
              <w:spacing w:before="40" w:after="40"/>
              <w:jc w:val="center"/>
              <w:rPr>
                <w:rFonts w:cstheme="minorHAnsi"/>
                <w:sz w:val="20"/>
              </w:rPr>
            </w:pPr>
          </w:p>
        </w:tc>
        <w:tc>
          <w:tcPr>
            <w:tcW w:w="496" w:type="pct"/>
          </w:tcPr>
          <w:p w14:paraId="5CAE111A" w14:textId="77777777" w:rsidR="008C77B2" w:rsidRDefault="008C77B2" w:rsidP="001D23A4">
            <w:pPr>
              <w:spacing w:before="40" w:after="40"/>
              <w:jc w:val="center"/>
              <w:rPr>
                <w:rFonts w:cstheme="minorHAnsi"/>
                <w:sz w:val="20"/>
              </w:rPr>
            </w:pPr>
          </w:p>
        </w:tc>
        <w:tc>
          <w:tcPr>
            <w:tcW w:w="462" w:type="pct"/>
          </w:tcPr>
          <w:p w14:paraId="5CAE111B" w14:textId="77777777" w:rsidR="008C77B2" w:rsidRDefault="008C77B2" w:rsidP="001D23A4">
            <w:pPr>
              <w:spacing w:before="40" w:after="40"/>
              <w:jc w:val="center"/>
              <w:rPr>
                <w:rFonts w:cstheme="minorHAnsi"/>
                <w:sz w:val="20"/>
              </w:rPr>
            </w:pPr>
          </w:p>
        </w:tc>
        <w:tc>
          <w:tcPr>
            <w:tcW w:w="491" w:type="pct"/>
          </w:tcPr>
          <w:p w14:paraId="5CAE111C" w14:textId="77777777" w:rsidR="008C77B2" w:rsidRDefault="008C77B2" w:rsidP="001D23A4">
            <w:pPr>
              <w:spacing w:before="40" w:after="40"/>
              <w:jc w:val="center"/>
              <w:rPr>
                <w:rFonts w:cstheme="minorHAnsi"/>
                <w:sz w:val="20"/>
              </w:rPr>
            </w:pPr>
          </w:p>
        </w:tc>
      </w:tr>
      <w:tr w:rsidR="008C77B2" w14:paraId="5CAE1128" w14:textId="77777777">
        <w:tc>
          <w:tcPr>
            <w:tcW w:w="313" w:type="pct"/>
          </w:tcPr>
          <w:p w14:paraId="5CAE111E" w14:textId="77777777" w:rsidR="008C77B2" w:rsidRDefault="00CD4E3B" w:rsidP="001D23A4">
            <w:pPr>
              <w:spacing w:before="40" w:after="40"/>
              <w:jc w:val="center"/>
              <w:rPr>
                <w:rFonts w:cstheme="minorHAnsi"/>
                <w:sz w:val="20"/>
              </w:rPr>
            </w:pPr>
            <w:r>
              <w:rPr>
                <w:rFonts w:cstheme="minorHAnsi"/>
                <w:sz w:val="20"/>
              </w:rPr>
              <w:t>3.6</w:t>
            </w:r>
          </w:p>
        </w:tc>
        <w:tc>
          <w:tcPr>
            <w:tcW w:w="769" w:type="pct"/>
          </w:tcPr>
          <w:p w14:paraId="5CAE111F" w14:textId="77777777" w:rsidR="008C77B2" w:rsidRDefault="00CD4E3B" w:rsidP="001D23A4">
            <w:pPr>
              <w:spacing w:before="40" w:after="40"/>
              <w:jc w:val="center"/>
              <w:rPr>
                <w:rFonts w:cstheme="minorHAnsi"/>
                <w:sz w:val="20"/>
              </w:rPr>
            </w:pPr>
            <w:r>
              <w:rPr>
                <w:rFonts w:cstheme="minorHAnsi"/>
                <w:sz w:val="20"/>
              </w:rPr>
              <w:t>Maximum spectral power</w:t>
            </w:r>
          </w:p>
        </w:tc>
        <w:tc>
          <w:tcPr>
            <w:tcW w:w="495" w:type="pct"/>
          </w:tcPr>
          <w:p w14:paraId="5CAE1120" w14:textId="77777777" w:rsidR="008C77B2" w:rsidRDefault="008C77B2" w:rsidP="001D23A4">
            <w:pPr>
              <w:spacing w:before="40" w:after="40"/>
              <w:jc w:val="center"/>
              <w:rPr>
                <w:rFonts w:cstheme="minorHAnsi"/>
                <w:sz w:val="20"/>
              </w:rPr>
            </w:pPr>
          </w:p>
        </w:tc>
        <w:tc>
          <w:tcPr>
            <w:tcW w:w="490" w:type="pct"/>
          </w:tcPr>
          <w:p w14:paraId="5CAE1121" w14:textId="77777777" w:rsidR="008C77B2" w:rsidRDefault="008C77B2" w:rsidP="001D23A4">
            <w:pPr>
              <w:spacing w:before="40" w:after="40"/>
              <w:jc w:val="center"/>
              <w:rPr>
                <w:rFonts w:cstheme="minorHAnsi"/>
                <w:sz w:val="20"/>
              </w:rPr>
            </w:pPr>
          </w:p>
        </w:tc>
        <w:tc>
          <w:tcPr>
            <w:tcW w:w="506" w:type="pct"/>
            <w:gridSpan w:val="2"/>
          </w:tcPr>
          <w:p w14:paraId="5CAE1122" w14:textId="77777777" w:rsidR="008C77B2" w:rsidRDefault="008C77B2" w:rsidP="001D23A4">
            <w:pPr>
              <w:spacing w:before="40" w:after="40"/>
              <w:jc w:val="center"/>
              <w:rPr>
                <w:rFonts w:cstheme="minorHAnsi"/>
                <w:sz w:val="20"/>
              </w:rPr>
            </w:pPr>
          </w:p>
        </w:tc>
        <w:tc>
          <w:tcPr>
            <w:tcW w:w="523" w:type="pct"/>
          </w:tcPr>
          <w:p w14:paraId="5CAE1123" w14:textId="77777777" w:rsidR="008C77B2" w:rsidRDefault="008C77B2" w:rsidP="001D23A4">
            <w:pPr>
              <w:spacing w:before="40" w:after="40"/>
              <w:jc w:val="center"/>
              <w:rPr>
                <w:rFonts w:cstheme="minorHAnsi"/>
                <w:sz w:val="20"/>
              </w:rPr>
            </w:pPr>
          </w:p>
        </w:tc>
        <w:tc>
          <w:tcPr>
            <w:tcW w:w="455" w:type="pct"/>
          </w:tcPr>
          <w:p w14:paraId="5CAE1124" w14:textId="77777777" w:rsidR="008C77B2" w:rsidRDefault="008C77B2" w:rsidP="001D23A4">
            <w:pPr>
              <w:spacing w:before="40" w:after="40"/>
              <w:jc w:val="center"/>
              <w:rPr>
                <w:rFonts w:cstheme="minorHAnsi"/>
                <w:sz w:val="20"/>
              </w:rPr>
            </w:pPr>
          </w:p>
        </w:tc>
        <w:tc>
          <w:tcPr>
            <w:tcW w:w="496" w:type="pct"/>
          </w:tcPr>
          <w:p w14:paraId="5CAE1125" w14:textId="77777777" w:rsidR="008C77B2" w:rsidRDefault="008C77B2" w:rsidP="001D23A4">
            <w:pPr>
              <w:spacing w:before="40" w:after="40"/>
              <w:jc w:val="center"/>
              <w:rPr>
                <w:rFonts w:cstheme="minorHAnsi"/>
                <w:sz w:val="20"/>
              </w:rPr>
            </w:pPr>
          </w:p>
        </w:tc>
        <w:tc>
          <w:tcPr>
            <w:tcW w:w="462" w:type="pct"/>
          </w:tcPr>
          <w:p w14:paraId="5CAE1126" w14:textId="77777777" w:rsidR="008C77B2" w:rsidRDefault="008C77B2" w:rsidP="001D23A4">
            <w:pPr>
              <w:spacing w:before="40" w:after="40"/>
              <w:jc w:val="center"/>
              <w:rPr>
                <w:rFonts w:cstheme="minorHAnsi"/>
                <w:sz w:val="20"/>
              </w:rPr>
            </w:pPr>
          </w:p>
        </w:tc>
        <w:tc>
          <w:tcPr>
            <w:tcW w:w="491" w:type="pct"/>
          </w:tcPr>
          <w:p w14:paraId="5CAE1127" w14:textId="77777777" w:rsidR="008C77B2" w:rsidRDefault="008C77B2" w:rsidP="001D23A4">
            <w:pPr>
              <w:spacing w:before="40" w:after="40"/>
              <w:jc w:val="center"/>
              <w:rPr>
                <w:rFonts w:cstheme="minorHAnsi"/>
                <w:sz w:val="20"/>
              </w:rPr>
            </w:pPr>
          </w:p>
        </w:tc>
      </w:tr>
      <w:tr w:rsidR="008C77B2" w14:paraId="5CAE112A" w14:textId="77777777">
        <w:tc>
          <w:tcPr>
            <w:tcW w:w="5000" w:type="pct"/>
            <w:gridSpan w:val="11"/>
          </w:tcPr>
          <w:p w14:paraId="5CAE1129" w14:textId="77777777" w:rsidR="008C77B2" w:rsidRDefault="008C77B2" w:rsidP="001D23A4">
            <w:pPr>
              <w:spacing w:before="40" w:after="40"/>
              <w:jc w:val="center"/>
              <w:rPr>
                <w:rFonts w:cstheme="minorHAnsi"/>
                <w:sz w:val="20"/>
              </w:rPr>
            </w:pPr>
          </w:p>
        </w:tc>
      </w:tr>
      <w:tr w:rsidR="008C77B2" w14:paraId="5CAE1135" w14:textId="77777777">
        <w:tc>
          <w:tcPr>
            <w:tcW w:w="313" w:type="pct"/>
          </w:tcPr>
          <w:p w14:paraId="5CAE112B" w14:textId="77777777" w:rsidR="008C77B2" w:rsidRDefault="00CD4E3B" w:rsidP="001D23A4">
            <w:pPr>
              <w:spacing w:before="40" w:after="40"/>
              <w:jc w:val="center"/>
              <w:rPr>
                <w:rFonts w:cstheme="minorHAnsi"/>
                <w:sz w:val="20"/>
              </w:rPr>
            </w:pPr>
            <w:r>
              <w:rPr>
                <w:rFonts w:cstheme="minorHAnsi"/>
                <w:sz w:val="20"/>
              </w:rPr>
              <w:t>4</w:t>
            </w:r>
          </w:p>
        </w:tc>
        <w:tc>
          <w:tcPr>
            <w:tcW w:w="769" w:type="pct"/>
          </w:tcPr>
          <w:p w14:paraId="5CAE112C" w14:textId="77777777" w:rsidR="008C77B2" w:rsidRDefault="00CD4E3B" w:rsidP="001D23A4">
            <w:pPr>
              <w:spacing w:before="40" w:after="40"/>
              <w:jc w:val="center"/>
              <w:rPr>
                <w:rFonts w:cstheme="minorHAnsi"/>
                <w:b/>
                <w:sz w:val="20"/>
              </w:rPr>
            </w:pPr>
            <w:r>
              <w:rPr>
                <w:rFonts w:cstheme="minorHAnsi"/>
                <w:b/>
                <w:sz w:val="20"/>
              </w:rPr>
              <w:t>Receiver characteristics</w:t>
            </w:r>
          </w:p>
        </w:tc>
        <w:tc>
          <w:tcPr>
            <w:tcW w:w="495" w:type="pct"/>
          </w:tcPr>
          <w:p w14:paraId="5CAE112D" w14:textId="77777777" w:rsidR="008C77B2" w:rsidRDefault="008C77B2" w:rsidP="001D23A4">
            <w:pPr>
              <w:spacing w:before="40" w:after="40"/>
              <w:jc w:val="center"/>
              <w:rPr>
                <w:rFonts w:cstheme="minorHAnsi"/>
                <w:sz w:val="20"/>
              </w:rPr>
            </w:pPr>
          </w:p>
        </w:tc>
        <w:tc>
          <w:tcPr>
            <w:tcW w:w="527" w:type="pct"/>
            <w:gridSpan w:val="2"/>
          </w:tcPr>
          <w:p w14:paraId="5CAE112E" w14:textId="77777777" w:rsidR="008C77B2" w:rsidRDefault="008C77B2" w:rsidP="001D23A4">
            <w:pPr>
              <w:spacing w:before="40" w:after="40"/>
              <w:jc w:val="center"/>
              <w:rPr>
                <w:rFonts w:cstheme="minorHAnsi"/>
                <w:sz w:val="20"/>
              </w:rPr>
            </w:pPr>
          </w:p>
        </w:tc>
        <w:tc>
          <w:tcPr>
            <w:tcW w:w="469" w:type="pct"/>
          </w:tcPr>
          <w:p w14:paraId="5CAE112F" w14:textId="77777777" w:rsidR="008C77B2" w:rsidRDefault="008C77B2" w:rsidP="001D23A4">
            <w:pPr>
              <w:spacing w:before="40" w:after="40"/>
              <w:jc w:val="center"/>
              <w:rPr>
                <w:rFonts w:cstheme="minorHAnsi"/>
                <w:sz w:val="20"/>
              </w:rPr>
            </w:pPr>
          </w:p>
        </w:tc>
        <w:tc>
          <w:tcPr>
            <w:tcW w:w="523" w:type="pct"/>
          </w:tcPr>
          <w:p w14:paraId="5CAE1130" w14:textId="77777777" w:rsidR="008C77B2" w:rsidRDefault="008C77B2" w:rsidP="001D23A4">
            <w:pPr>
              <w:spacing w:before="40" w:after="40"/>
              <w:jc w:val="center"/>
              <w:rPr>
                <w:rFonts w:cstheme="minorHAnsi"/>
                <w:sz w:val="20"/>
              </w:rPr>
            </w:pPr>
          </w:p>
        </w:tc>
        <w:tc>
          <w:tcPr>
            <w:tcW w:w="455" w:type="pct"/>
          </w:tcPr>
          <w:p w14:paraId="5CAE1131" w14:textId="77777777" w:rsidR="008C77B2" w:rsidRDefault="008C77B2" w:rsidP="001D23A4">
            <w:pPr>
              <w:spacing w:before="40" w:after="40"/>
              <w:jc w:val="center"/>
              <w:rPr>
                <w:rFonts w:cstheme="minorHAnsi"/>
                <w:sz w:val="20"/>
              </w:rPr>
            </w:pPr>
          </w:p>
        </w:tc>
        <w:tc>
          <w:tcPr>
            <w:tcW w:w="496" w:type="pct"/>
          </w:tcPr>
          <w:p w14:paraId="5CAE1132" w14:textId="77777777" w:rsidR="008C77B2" w:rsidRDefault="008C77B2" w:rsidP="001D23A4">
            <w:pPr>
              <w:spacing w:before="40" w:after="40"/>
              <w:jc w:val="center"/>
              <w:rPr>
                <w:rFonts w:cstheme="minorHAnsi"/>
                <w:sz w:val="20"/>
              </w:rPr>
            </w:pPr>
          </w:p>
        </w:tc>
        <w:tc>
          <w:tcPr>
            <w:tcW w:w="462" w:type="pct"/>
          </w:tcPr>
          <w:p w14:paraId="5CAE1133" w14:textId="77777777" w:rsidR="008C77B2" w:rsidRDefault="008C77B2" w:rsidP="001D23A4">
            <w:pPr>
              <w:spacing w:before="40" w:after="40"/>
              <w:jc w:val="center"/>
              <w:rPr>
                <w:rFonts w:cstheme="minorHAnsi"/>
                <w:sz w:val="20"/>
              </w:rPr>
            </w:pPr>
          </w:p>
        </w:tc>
        <w:tc>
          <w:tcPr>
            <w:tcW w:w="491" w:type="pct"/>
          </w:tcPr>
          <w:p w14:paraId="5CAE1134" w14:textId="77777777" w:rsidR="008C77B2" w:rsidRDefault="008C77B2" w:rsidP="001D23A4">
            <w:pPr>
              <w:spacing w:before="40" w:after="40"/>
              <w:jc w:val="center"/>
              <w:rPr>
                <w:rFonts w:cstheme="minorHAnsi"/>
                <w:sz w:val="20"/>
              </w:rPr>
            </w:pPr>
          </w:p>
        </w:tc>
      </w:tr>
      <w:tr w:rsidR="008C77B2" w14:paraId="5CAE1140" w14:textId="77777777">
        <w:tc>
          <w:tcPr>
            <w:tcW w:w="313" w:type="pct"/>
          </w:tcPr>
          <w:p w14:paraId="5CAE1136" w14:textId="77777777" w:rsidR="008C77B2" w:rsidRDefault="00CD4E3B" w:rsidP="001D23A4">
            <w:pPr>
              <w:spacing w:before="40" w:after="40"/>
              <w:jc w:val="center"/>
              <w:rPr>
                <w:rFonts w:cstheme="minorHAnsi"/>
                <w:sz w:val="20"/>
              </w:rPr>
            </w:pPr>
            <w:r>
              <w:rPr>
                <w:rFonts w:cstheme="minorHAnsi"/>
                <w:sz w:val="20"/>
              </w:rPr>
              <w:t>4.1</w:t>
            </w:r>
          </w:p>
        </w:tc>
        <w:tc>
          <w:tcPr>
            <w:tcW w:w="769" w:type="pct"/>
          </w:tcPr>
          <w:p w14:paraId="5CAE1137" w14:textId="77777777" w:rsidR="008C77B2" w:rsidRDefault="00CD4E3B" w:rsidP="001D23A4">
            <w:pPr>
              <w:spacing w:before="40" w:after="40"/>
              <w:jc w:val="center"/>
              <w:rPr>
                <w:rFonts w:cstheme="minorHAnsi"/>
                <w:sz w:val="20"/>
              </w:rPr>
            </w:pPr>
            <w:r>
              <w:rPr>
                <w:rFonts w:cstheme="minorHAnsi"/>
                <w:sz w:val="20"/>
              </w:rPr>
              <w:t>Thermal noise</w:t>
            </w:r>
          </w:p>
        </w:tc>
        <w:tc>
          <w:tcPr>
            <w:tcW w:w="495" w:type="pct"/>
          </w:tcPr>
          <w:p w14:paraId="5CAE1138" w14:textId="77777777" w:rsidR="008C77B2" w:rsidRDefault="008C77B2" w:rsidP="001D23A4">
            <w:pPr>
              <w:spacing w:before="40" w:after="40"/>
              <w:jc w:val="center"/>
              <w:rPr>
                <w:rFonts w:cstheme="minorHAnsi"/>
                <w:sz w:val="20"/>
              </w:rPr>
            </w:pPr>
          </w:p>
        </w:tc>
        <w:tc>
          <w:tcPr>
            <w:tcW w:w="527" w:type="pct"/>
            <w:gridSpan w:val="2"/>
          </w:tcPr>
          <w:p w14:paraId="5CAE1139" w14:textId="77777777" w:rsidR="008C77B2" w:rsidRDefault="008C77B2" w:rsidP="001D23A4">
            <w:pPr>
              <w:spacing w:before="40" w:after="40"/>
              <w:jc w:val="center"/>
              <w:rPr>
                <w:rFonts w:cstheme="minorHAnsi"/>
                <w:sz w:val="20"/>
              </w:rPr>
            </w:pPr>
          </w:p>
        </w:tc>
        <w:tc>
          <w:tcPr>
            <w:tcW w:w="469" w:type="pct"/>
          </w:tcPr>
          <w:p w14:paraId="5CAE113A" w14:textId="77777777" w:rsidR="008C77B2" w:rsidRDefault="008C77B2" w:rsidP="001D23A4">
            <w:pPr>
              <w:spacing w:before="40" w:after="40"/>
              <w:jc w:val="center"/>
              <w:rPr>
                <w:rFonts w:cstheme="minorHAnsi"/>
                <w:sz w:val="20"/>
              </w:rPr>
            </w:pPr>
          </w:p>
        </w:tc>
        <w:tc>
          <w:tcPr>
            <w:tcW w:w="523" w:type="pct"/>
          </w:tcPr>
          <w:p w14:paraId="5CAE113B" w14:textId="77777777" w:rsidR="008C77B2" w:rsidRDefault="008C77B2" w:rsidP="001D23A4">
            <w:pPr>
              <w:spacing w:before="40" w:after="40"/>
              <w:jc w:val="center"/>
              <w:rPr>
                <w:rFonts w:cstheme="minorHAnsi"/>
                <w:sz w:val="20"/>
              </w:rPr>
            </w:pPr>
          </w:p>
        </w:tc>
        <w:tc>
          <w:tcPr>
            <w:tcW w:w="455" w:type="pct"/>
          </w:tcPr>
          <w:p w14:paraId="5CAE113C" w14:textId="77777777" w:rsidR="008C77B2" w:rsidRDefault="008C77B2" w:rsidP="001D23A4">
            <w:pPr>
              <w:spacing w:before="40" w:after="40"/>
              <w:jc w:val="center"/>
              <w:rPr>
                <w:rFonts w:cstheme="minorHAnsi"/>
                <w:sz w:val="20"/>
              </w:rPr>
            </w:pPr>
          </w:p>
        </w:tc>
        <w:tc>
          <w:tcPr>
            <w:tcW w:w="496" w:type="pct"/>
          </w:tcPr>
          <w:p w14:paraId="5CAE113D" w14:textId="77777777" w:rsidR="008C77B2" w:rsidRDefault="008C77B2" w:rsidP="001D23A4">
            <w:pPr>
              <w:spacing w:before="40" w:after="40"/>
              <w:jc w:val="center"/>
              <w:rPr>
                <w:rFonts w:cstheme="minorHAnsi"/>
                <w:sz w:val="20"/>
              </w:rPr>
            </w:pPr>
          </w:p>
        </w:tc>
        <w:tc>
          <w:tcPr>
            <w:tcW w:w="462" w:type="pct"/>
          </w:tcPr>
          <w:p w14:paraId="5CAE113E" w14:textId="77777777" w:rsidR="008C77B2" w:rsidRDefault="008C77B2" w:rsidP="001D23A4">
            <w:pPr>
              <w:spacing w:before="40" w:after="40"/>
              <w:jc w:val="center"/>
              <w:rPr>
                <w:rFonts w:cstheme="minorHAnsi"/>
                <w:sz w:val="20"/>
              </w:rPr>
            </w:pPr>
          </w:p>
        </w:tc>
        <w:tc>
          <w:tcPr>
            <w:tcW w:w="491" w:type="pct"/>
          </w:tcPr>
          <w:p w14:paraId="5CAE113F" w14:textId="77777777" w:rsidR="008C77B2" w:rsidRDefault="008C77B2" w:rsidP="001D23A4">
            <w:pPr>
              <w:spacing w:before="40" w:after="40"/>
              <w:jc w:val="center"/>
              <w:rPr>
                <w:rFonts w:cstheme="minorHAnsi"/>
                <w:sz w:val="20"/>
              </w:rPr>
            </w:pPr>
          </w:p>
        </w:tc>
      </w:tr>
      <w:tr w:rsidR="008C77B2" w14:paraId="5CAE114B" w14:textId="77777777">
        <w:tc>
          <w:tcPr>
            <w:tcW w:w="313" w:type="pct"/>
          </w:tcPr>
          <w:p w14:paraId="5CAE1141" w14:textId="77777777" w:rsidR="008C77B2" w:rsidRDefault="00CD4E3B" w:rsidP="001D23A4">
            <w:pPr>
              <w:spacing w:before="40" w:after="40"/>
              <w:jc w:val="center"/>
              <w:rPr>
                <w:rFonts w:cstheme="minorHAnsi"/>
                <w:sz w:val="20"/>
              </w:rPr>
            </w:pPr>
            <w:r>
              <w:rPr>
                <w:rFonts w:cstheme="minorHAnsi"/>
                <w:sz w:val="20"/>
              </w:rPr>
              <w:t>4.2</w:t>
            </w:r>
          </w:p>
        </w:tc>
        <w:tc>
          <w:tcPr>
            <w:tcW w:w="769" w:type="pct"/>
          </w:tcPr>
          <w:p w14:paraId="5CAE1142" w14:textId="77777777" w:rsidR="008C77B2" w:rsidRDefault="00CD4E3B" w:rsidP="001D23A4">
            <w:pPr>
              <w:spacing w:before="40" w:after="40"/>
              <w:jc w:val="center"/>
              <w:rPr>
                <w:rFonts w:cstheme="minorHAnsi"/>
                <w:sz w:val="20"/>
              </w:rPr>
            </w:pPr>
            <w:r>
              <w:rPr>
                <w:rFonts w:cstheme="minorHAnsi"/>
                <w:sz w:val="20"/>
              </w:rPr>
              <w:t>Sensitivity</w:t>
            </w:r>
          </w:p>
        </w:tc>
        <w:tc>
          <w:tcPr>
            <w:tcW w:w="495" w:type="pct"/>
          </w:tcPr>
          <w:p w14:paraId="5CAE1143" w14:textId="77777777" w:rsidR="008C77B2" w:rsidRDefault="008C77B2" w:rsidP="001D23A4">
            <w:pPr>
              <w:spacing w:before="40" w:after="40"/>
              <w:jc w:val="center"/>
              <w:rPr>
                <w:rFonts w:cstheme="minorHAnsi"/>
                <w:sz w:val="20"/>
              </w:rPr>
            </w:pPr>
          </w:p>
        </w:tc>
        <w:tc>
          <w:tcPr>
            <w:tcW w:w="527" w:type="pct"/>
            <w:gridSpan w:val="2"/>
          </w:tcPr>
          <w:p w14:paraId="5CAE1144" w14:textId="77777777" w:rsidR="008C77B2" w:rsidRDefault="008C77B2" w:rsidP="001D23A4">
            <w:pPr>
              <w:spacing w:before="40" w:after="40"/>
              <w:jc w:val="center"/>
              <w:rPr>
                <w:rFonts w:cstheme="minorHAnsi"/>
                <w:sz w:val="20"/>
              </w:rPr>
            </w:pPr>
          </w:p>
        </w:tc>
        <w:tc>
          <w:tcPr>
            <w:tcW w:w="469" w:type="pct"/>
          </w:tcPr>
          <w:p w14:paraId="5CAE1145" w14:textId="77777777" w:rsidR="008C77B2" w:rsidRDefault="008C77B2" w:rsidP="001D23A4">
            <w:pPr>
              <w:spacing w:before="40" w:after="40"/>
              <w:jc w:val="center"/>
              <w:rPr>
                <w:rFonts w:cstheme="minorHAnsi"/>
                <w:sz w:val="20"/>
              </w:rPr>
            </w:pPr>
          </w:p>
        </w:tc>
        <w:tc>
          <w:tcPr>
            <w:tcW w:w="523" w:type="pct"/>
          </w:tcPr>
          <w:p w14:paraId="5CAE1146" w14:textId="77777777" w:rsidR="008C77B2" w:rsidRDefault="008C77B2" w:rsidP="001D23A4">
            <w:pPr>
              <w:spacing w:before="40" w:after="40"/>
              <w:jc w:val="center"/>
              <w:rPr>
                <w:rFonts w:cstheme="minorHAnsi"/>
                <w:sz w:val="20"/>
              </w:rPr>
            </w:pPr>
          </w:p>
        </w:tc>
        <w:tc>
          <w:tcPr>
            <w:tcW w:w="455" w:type="pct"/>
          </w:tcPr>
          <w:p w14:paraId="5CAE1147" w14:textId="77777777" w:rsidR="008C77B2" w:rsidRDefault="008C77B2" w:rsidP="001D23A4">
            <w:pPr>
              <w:spacing w:before="40" w:after="40"/>
              <w:jc w:val="center"/>
              <w:rPr>
                <w:rFonts w:cstheme="minorHAnsi"/>
                <w:sz w:val="20"/>
              </w:rPr>
            </w:pPr>
          </w:p>
        </w:tc>
        <w:tc>
          <w:tcPr>
            <w:tcW w:w="496" w:type="pct"/>
          </w:tcPr>
          <w:p w14:paraId="5CAE1148" w14:textId="77777777" w:rsidR="008C77B2" w:rsidRDefault="008C77B2" w:rsidP="001D23A4">
            <w:pPr>
              <w:spacing w:before="40" w:after="40"/>
              <w:jc w:val="center"/>
              <w:rPr>
                <w:rFonts w:cstheme="minorHAnsi"/>
                <w:sz w:val="20"/>
              </w:rPr>
            </w:pPr>
          </w:p>
        </w:tc>
        <w:tc>
          <w:tcPr>
            <w:tcW w:w="462" w:type="pct"/>
          </w:tcPr>
          <w:p w14:paraId="5CAE1149" w14:textId="77777777" w:rsidR="008C77B2" w:rsidRDefault="008C77B2" w:rsidP="001D23A4">
            <w:pPr>
              <w:spacing w:before="40" w:after="40"/>
              <w:jc w:val="center"/>
              <w:rPr>
                <w:rFonts w:cstheme="minorHAnsi"/>
                <w:sz w:val="20"/>
              </w:rPr>
            </w:pPr>
          </w:p>
        </w:tc>
        <w:tc>
          <w:tcPr>
            <w:tcW w:w="491" w:type="pct"/>
          </w:tcPr>
          <w:p w14:paraId="5CAE114A" w14:textId="77777777" w:rsidR="008C77B2" w:rsidRDefault="008C77B2" w:rsidP="001D23A4">
            <w:pPr>
              <w:spacing w:before="40" w:after="40"/>
              <w:jc w:val="center"/>
              <w:rPr>
                <w:rFonts w:cstheme="minorHAnsi"/>
                <w:sz w:val="20"/>
              </w:rPr>
            </w:pPr>
          </w:p>
        </w:tc>
      </w:tr>
      <w:tr w:rsidR="008C77B2" w14:paraId="5CAE1156" w14:textId="77777777">
        <w:tc>
          <w:tcPr>
            <w:tcW w:w="313" w:type="pct"/>
          </w:tcPr>
          <w:p w14:paraId="5CAE114C" w14:textId="77777777" w:rsidR="008C77B2" w:rsidRDefault="00CD4E3B" w:rsidP="001D23A4">
            <w:pPr>
              <w:spacing w:before="40" w:after="40"/>
              <w:jc w:val="center"/>
              <w:rPr>
                <w:rFonts w:cstheme="minorHAnsi"/>
                <w:sz w:val="20"/>
              </w:rPr>
            </w:pPr>
            <w:r>
              <w:rPr>
                <w:rFonts w:cstheme="minorHAnsi"/>
                <w:sz w:val="20"/>
              </w:rPr>
              <w:t>4.3</w:t>
            </w:r>
          </w:p>
        </w:tc>
        <w:tc>
          <w:tcPr>
            <w:tcW w:w="769" w:type="pct"/>
          </w:tcPr>
          <w:p w14:paraId="5CAE114D" w14:textId="77777777" w:rsidR="008C77B2" w:rsidRDefault="00CD4E3B" w:rsidP="001D23A4">
            <w:pPr>
              <w:spacing w:before="40" w:after="40"/>
              <w:jc w:val="center"/>
              <w:rPr>
                <w:rFonts w:cstheme="minorHAnsi"/>
                <w:sz w:val="20"/>
              </w:rPr>
            </w:pPr>
            <w:r>
              <w:rPr>
                <w:rFonts w:cstheme="minorHAnsi"/>
                <w:sz w:val="20"/>
              </w:rPr>
              <w:t>Blocking response</w:t>
            </w:r>
          </w:p>
        </w:tc>
        <w:tc>
          <w:tcPr>
            <w:tcW w:w="495" w:type="pct"/>
          </w:tcPr>
          <w:p w14:paraId="5CAE114E" w14:textId="77777777" w:rsidR="008C77B2" w:rsidRDefault="008C77B2" w:rsidP="001D23A4">
            <w:pPr>
              <w:spacing w:before="40" w:after="40"/>
              <w:jc w:val="center"/>
              <w:rPr>
                <w:rStyle w:val="FootnoteReference"/>
                <w:rFonts w:cstheme="minorHAnsi"/>
                <w:sz w:val="20"/>
              </w:rPr>
            </w:pPr>
          </w:p>
        </w:tc>
        <w:tc>
          <w:tcPr>
            <w:tcW w:w="527" w:type="pct"/>
            <w:gridSpan w:val="2"/>
          </w:tcPr>
          <w:p w14:paraId="5CAE114F" w14:textId="77777777" w:rsidR="008C77B2" w:rsidRDefault="008C77B2" w:rsidP="001D23A4">
            <w:pPr>
              <w:spacing w:before="40" w:after="40"/>
              <w:jc w:val="center"/>
              <w:rPr>
                <w:rStyle w:val="FootnoteReference"/>
                <w:rFonts w:cstheme="minorHAnsi"/>
                <w:sz w:val="20"/>
              </w:rPr>
            </w:pPr>
          </w:p>
        </w:tc>
        <w:tc>
          <w:tcPr>
            <w:tcW w:w="469" w:type="pct"/>
          </w:tcPr>
          <w:p w14:paraId="5CAE1150" w14:textId="77777777" w:rsidR="008C77B2" w:rsidRDefault="008C77B2" w:rsidP="001D23A4">
            <w:pPr>
              <w:spacing w:before="40" w:after="40"/>
              <w:jc w:val="center"/>
              <w:rPr>
                <w:rFonts w:cstheme="minorHAnsi"/>
                <w:sz w:val="20"/>
              </w:rPr>
            </w:pPr>
          </w:p>
        </w:tc>
        <w:tc>
          <w:tcPr>
            <w:tcW w:w="523" w:type="pct"/>
          </w:tcPr>
          <w:p w14:paraId="5CAE1151" w14:textId="77777777" w:rsidR="008C77B2" w:rsidRDefault="008C77B2" w:rsidP="001D23A4">
            <w:pPr>
              <w:spacing w:before="40" w:after="40"/>
              <w:jc w:val="center"/>
              <w:rPr>
                <w:rFonts w:cstheme="minorHAnsi"/>
                <w:sz w:val="20"/>
              </w:rPr>
            </w:pPr>
          </w:p>
        </w:tc>
        <w:tc>
          <w:tcPr>
            <w:tcW w:w="455" w:type="pct"/>
          </w:tcPr>
          <w:p w14:paraId="5CAE1152" w14:textId="77777777" w:rsidR="008C77B2" w:rsidRDefault="008C77B2" w:rsidP="001D23A4">
            <w:pPr>
              <w:spacing w:before="40" w:after="40"/>
              <w:jc w:val="center"/>
              <w:rPr>
                <w:rFonts w:cstheme="minorHAnsi"/>
                <w:sz w:val="20"/>
              </w:rPr>
            </w:pPr>
          </w:p>
        </w:tc>
        <w:tc>
          <w:tcPr>
            <w:tcW w:w="496" w:type="pct"/>
          </w:tcPr>
          <w:p w14:paraId="5CAE1153" w14:textId="77777777" w:rsidR="008C77B2" w:rsidRDefault="008C77B2" w:rsidP="001D23A4">
            <w:pPr>
              <w:spacing w:before="40" w:after="40"/>
              <w:jc w:val="center"/>
              <w:rPr>
                <w:rFonts w:cstheme="minorHAnsi"/>
                <w:sz w:val="20"/>
              </w:rPr>
            </w:pPr>
          </w:p>
        </w:tc>
        <w:tc>
          <w:tcPr>
            <w:tcW w:w="462" w:type="pct"/>
          </w:tcPr>
          <w:p w14:paraId="5CAE1154" w14:textId="77777777" w:rsidR="008C77B2" w:rsidRDefault="008C77B2" w:rsidP="001D23A4">
            <w:pPr>
              <w:spacing w:before="40" w:after="40"/>
              <w:jc w:val="center"/>
              <w:rPr>
                <w:rFonts w:cstheme="minorHAnsi"/>
                <w:sz w:val="20"/>
              </w:rPr>
            </w:pPr>
          </w:p>
        </w:tc>
        <w:tc>
          <w:tcPr>
            <w:tcW w:w="491" w:type="pct"/>
          </w:tcPr>
          <w:p w14:paraId="5CAE1155" w14:textId="77777777" w:rsidR="008C77B2" w:rsidRDefault="008C77B2" w:rsidP="001D23A4">
            <w:pPr>
              <w:spacing w:before="40" w:after="40"/>
              <w:jc w:val="center"/>
              <w:rPr>
                <w:rFonts w:cstheme="minorHAnsi"/>
                <w:sz w:val="20"/>
              </w:rPr>
            </w:pPr>
          </w:p>
        </w:tc>
      </w:tr>
      <w:tr w:rsidR="008C77B2" w14:paraId="5CAE1161" w14:textId="77777777">
        <w:tc>
          <w:tcPr>
            <w:tcW w:w="313" w:type="pct"/>
          </w:tcPr>
          <w:p w14:paraId="5CAE1157" w14:textId="77777777" w:rsidR="008C77B2" w:rsidRDefault="00CD4E3B" w:rsidP="001D23A4">
            <w:pPr>
              <w:spacing w:before="40" w:after="40"/>
              <w:jc w:val="center"/>
              <w:rPr>
                <w:rFonts w:cstheme="minorHAnsi"/>
                <w:sz w:val="20"/>
              </w:rPr>
            </w:pPr>
            <w:r>
              <w:rPr>
                <w:rFonts w:cstheme="minorHAnsi"/>
                <w:sz w:val="20"/>
              </w:rPr>
              <w:t>4.4</w:t>
            </w:r>
          </w:p>
        </w:tc>
        <w:tc>
          <w:tcPr>
            <w:tcW w:w="769" w:type="pct"/>
          </w:tcPr>
          <w:p w14:paraId="5CAE1158" w14:textId="77777777" w:rsidR="008C77B2" w:rsidRDefault="00CD4E3B" w:rsidP="001D23A4">
            <w:pPr>
              <w:spacing w:before="40" w:after="40"/>
              <w:jc w:val="center"/>
              <w:rPr>
                <w:rFonts w:cstheme="minorHAnsi"/>
                <w:sz w:val="20"/>
              </w:rPr>
            </w:pPr>
            <w:r>
              <w:rPr>
                <w:rFonts w:cstheme="minorHAnsi"/>
                <w:sz w:val="20"/>
              </w:rPr>
              <w:t>ACS</w:t>
            </w:r>
          </w:p>
        </w:tc>
        <w:tc>
          <w:tcPr>
            <w:tcW w:w="495" w:type="pct"/>
          </w:tcPr>
          <w:p w14:paraId="5CAE1159" w14:textId="77777777" w:rsidR="008C77B2" w:rsidRDefault="008C77B2" w:rsidP="001D23A4">
            <w:pPr>
              <w:spacing w:before="40" w:after="40"/>
              <w:jc w:val="center"/>
              <w:rPr>
                <w:rStyle w:val="FootnoteReference"/>
                <w:rFonts w:cstheme="minorHAnsi"/>
                <w:sz w:val="20"/>
              </w:rPr>
            </w:pPr>
          </w:p>
        </w:tc>
        <w:tc>
          <w:tcPr>
            <w:tcW w:w="527" w:type="pct"/>
            <w:gridSpan w:val="2"/>
          </w:tcPr>
          <w:p w14:paraId="5CAE115A" w14:textId="77777777" w:rsidR="008C77B2" w:rsidRDefault="008C77B2" w:rsidP="001D23A4">
            <w:pPr>
              <w:spacing w:before="40" w:after="40"/>
              <w:jc w:val="center"/>
              <w:rPr>
                <w:rStyle w:val="FootnoteReference"/>
                <w:rFonts w:cstheme="minorHAnsi"/>
                <w:sz w:val="20"/>
              </w:rPr>
            </w:pPr>
          </w:p>
        </w:tc>
        <w:tc>
          <w:tcPr>
            <w:tcW w:w="469" w:type="pct"/>
          </w:tcPr>
          <w:p w14:paraId="5CAE115B" w14:textId="77777777" w:rsidR="008C77B2" w:rsidRDefault="008C77B2" w:rsidP="001D23A4">
            <w:pPr>
              <w:spacing w:before="40" w:after="40"/>
              <w:jc w:val="center"/>
              <w:rPr>
                <w:rFonts w:cstheme="minorHAnsi"/>
                <w:sz w:val="20"/>
              </w:rPr>
            </w:pPr>
          </w:p>
        </w:tc>
        <w:tc>
          <w:tcPr>
            <w:tcW w:w="523" w:type="pct"/>
          </w:tcPr>
          <w:p w14:paraId="5CAE115C" w14:textId="77777777" w:rsidR="008C77B2" w:rsidRDefault="008C77B2" w:rsidP="001D23A4">
            <w:pPr>
              <w:spacing w:before="40" w:after="40"/>
              <w:jc w:val="center"/>
              <w:rPr>
                <w:rFonts w:cstheme="minorHAnsi"/>
                <w:sz w:val="20"/>
              </w:rPr>
            </w:pPr>
          </w:p>
        </w:tc>
        <w:tc>
          <w:tcPr>
            <w:tcW w:w="455" w:type="pct"/>
          </w:tcPr>
          <w:p w14:paraId="5CAE115D" w14:textId="77777777" w:rsidR="008C77B2" w:rsidRDefault="008C77B2" w:rsidP="001D23A4">
            <w:pPr>
              <w:spacing w:before="40" w:after="40"/>
              <w:jc w:val="center"/>
              <w:rPr>
                <w:rFonts w:cstheme="minorHAnsi"/>
                <w:sz w:val="20"/>
              </w:rPr>
            </w:pPr>
          </w:p>
        </w:tc>
        <w:tc>
          <w:tcPr>
            <w:tcW w:w="496" w:type="pct"/>
          </w:tcPr>
          <w:p w14:paraId="5CAE115E" w14:textId="77777777" w:rsidR="008C77B2" w:rsidRDefault="008C77B2" w:rsidP="001D23A4">
            <w:pPr>
              <w:spacing w:before="40" w:after="40"/>
              <w:jc w:val="center"/>
              <w:rPr>
                <w:rFonts w:cstheme="minorHAnsi"/>
                <w:sz w:val="20"/>
              </w:rPr>
            </w:pPr>
          </w:p>
        </w:tc>
        <w:tc>
          <w:tcPr>
            <w:tcW w:w="462" w:type="pct"/>
          </w:tcPr>
          <w:p w14:paraId="5CAE115F" w14:textId="77777777" w:rsidR="008C77B2" w:rsidRDefault="008C77B2" w:rsidP="001D23A4">
            <w:pPr>
              <w:spacing w:before="40" w:after="40"/>
              <w:jc w:val="center"/>
              <w:rPr>
                <w:rFonts w:cstheme="minorHAnsi"/>
                <w:sz w:val="20"/>
              </w:rPr>
            </w:pPr>
          </w:p>
        </w:tc>
        <w:tc>
          <w:tcPr>
            <w:tcW w:w="491" w:type="pct"/>
          </w:tcPr>
          <w:p w14:paraId="5CAE1160" w14:textId="77777777" w:rsidR="008C77B2" w:rsidRDefault="008C77B2" w:rsidP="001D23A4">
            <w:pPr>
              <w:spacing w:before="40" w:after="40"/>
              <w:jc w:val="center"/>
              <w:rPr>
                <w:rFonts w:cstheme="minorHAnsi"/>
                <w:sz w:val="20"/>
              </w:rPr>
            </w:pPr>
          </w:p>
        </w:tc>
      </w:tr>
      <w:tr w:rsidR="008C77B2" w14:paraId="5CAE1163" w14:textId="77777777">
        <w:tc>
          <w:tcPr>
            <w:tcW w:w="5000" w:type="pct"/>
            <w:gridSpan w:val="11"/>
          </w:tcPr>
          <w:p w14:paraId="5CAE1162" w14:textId="77777777" w:rsidR="008C77B2" w:rsidRDefault="008C77B2" w:rsidP="001D23A4">
            <w:pPr>
              <w:spacing w:before="40" w:after="40"/>
              <w:jc w:val="center"/>
              <w:rPr>
                <w:rFonts w:cstheme="minorHAnsi"/>
                <w:sz w:val="20"/>
              </w:rPr>
            </w:pPr>
          </w:p>
        </w:tc>
      </w:tr>
      <w:tr w:rsidR="008C77B2" w14:paraId="5CAE116E" w14:textId="77777777">
        <w:tc>
          <w:tcPr>
            <w:tcW w:w="313" w:type="pct"/>
          </w:tcPr>
          <w:p w14:paraId="5CAE1164" w14:textId="77777777" w:rsidR="008C77B2" w:rsidRDefault="00CD4E3B" w:rsidP="001D23A4">
            <w:pPr>
              <w:spacing w:before="40" w:after="40"/>
              <w:jc w:val="center"/>
              <w:rPr>
                <w:rFonts w:cstheme="minorHAnsi"/>
                <w:sz w:val="20"/>
              </w:rPr>
            </w:pPr>
            <w:r>
              <w:rPr>
                <w:rFonts w:cstheme="minorHAnsi"/>
                <w:sz w:val="20"/>
              </w:rPr>
              <w:t>5</w:t>
            </w:r>
          </w:p>
        </w:tc>
        <w:tc>
          <w:tcPr>
            <w:tcW w:w="769" w:type="pct"/>
          </w:tcPr>
          <w:p w14:paraId="5CAE1165" w14:textId="77777777" w:rsidR="008C77B2" w:rsidRDefault="00CD4E3B" w:rsidP="001D23A4">
            <w:pPr>
              <w:spacing w:before="40" w:after="40"/>
              <w:jc w:val="center"/>
              <w:rPr>
                <w:rFonts w:cstheme="minorHAnsi"/>
                <w:b/>
                <w:sz w:val="20"/>
              </w:rPr>
            </w:pPr>
            <w:r>
              <w:rPr>
                <w:rFonts w:cstheme="minorHAnsi"/>
                <w:b/>
                <w:sz w:val="20"/>
              </w:rPr>
              <w:t>Antenna characteristics</w:t>
            </w:r>
          </w:p>
        </w:tc>
        <w:tc>
          <w:tcPr>
            <w:tcW w:w="495" w:type="pct"/>
          </w:tcPr>
          <w:p w14:paraId="5CAE1166" w14:textId="77777777" w:rsidR="008C77B2" w:rsidRDefault="008C77B2" w:rsidP="001D23A4">
            <w:pPr>
              <w:spacing w:before="40" w:after="40"/>
              <w:jc w:val="center"/>
              <w:rPr>
                <w:rStyle w:val="FootnoteReference"/>
                <w:rFonts w:cstheme="minorHAnsi"/>
                <w:sz w:val="20"/>
              </w:rPr>
            </w:pPr>
          </w:p>
        </w:tc>
        <w:tc>
          <w:tcPr>
            <w:tcW w:w="527" w:type="pct"/>
            <w:gridSpan w:val="2"/>
          </w:tcPr>
          <w:p w14:paraId="5CAE1167" w14:textId="77777777" w:rsidR="008C77B2" w:rsidRDefault="008C77B2" w:rsidP="001D23A4">
            <w:pPr>
              <w:spacing w:before="40" w:after="40"/>
              <w:jc w:val="center"/>
              <w:rPr>
                <w:rStyle w:val="FootnoteReference"/>
                <w:rFonts w:cstheme="minorHAnsi"/>
                <w:sz w:val="20"/>
              </w:rPr>
            </w:pPr>
          </w:p>
        </w:tc>
        <w:tc>
          <w:tcPr>
            <w:tcW w:w="469" w:type="pct"/>
          </w:tcPr>
          <w:p w14:paraId="5CAE1168" w14:textId="77777777" w:rsidR="008C77B2" w:rsidRDefault="008C77B2" w:rsidP="001D23A4">
            <w:pPr>
              <w:spacing w:before="40" w:after="40"/>
              <w:jc w:val="center"/>
              <w:rPr>
                <w:rFonts w:cstheme="minorHAnsi"/>
                <w:sz w:val="20"/>
              </w:rPr>
            </w:pPr>
          </w:p>
        </w:tc>
        <w:tc>
          <w:tcPr>
            <w:tcW w:w="523" w:type="pct"/>
          </w:tcPr>
          <w:p w14:paraId="5CAE1169" w14:textId="77777777" w:rsidR="008C77B2" w:rsidRDefault="008C77B2" w:rsidP="001D23A4">
            <w:pPr>
              <w:spacing w:before="40" w:after="40"/>
              <w:jc w:val="center"/>
              <w:rPr>
                <w:rFonts w:cstheme="minorHAnsi"/>
                <w:sz w:val="20"/>
              </w:rPr>
            </w:pPr>
          </w:p>
        </w:tc>
        <w:tc>
          <w:tcPr>
            <w:tcW w:w="455" w:type="pct"/>
          </w:tcPr>
          <w:p w14:paraId="5CAE116A" w14:textId="77777777" w:rsidR="008C77B2" w:rsidRDefault="008C77B2" w:rsidP="001D23A4">
            <w:pPr>
              <w:spacing w:before="40" w:after="40"/>
              <w:jc w:val="center"/>
              <w:rPr>
                <w:rFonts w:cstheme="minorHAnsi"/>
                <w:sz w:val="20"/>
              </w:rPr>
            </w:pPr>
          </w:p>
        </w:tc>
        <w:tc>
          <w:tcPr>
            <w:tcW w:w="496" w:type="pct"/>
          </w:tcPr>
          <w:p w14:paraId="5CAE116B" w14:textId="77777777" w:rsidR="008C77B2" w:rsidRDefault="008C77B2" w:rsidP="001D23A4">
            <w:pPr>
              <w:spacing w:before="40" w:after="40"/>
              <w:jc w:val="center"/>
              <w:rPr>
                <w:rFonts w:cstheme="minorHAnsi"/>
                <w:sz w:val="20"/>
              </w:rPr>
            </w:pPr>
          </w:p>
        </w:tc>
        <w:tc>
          <w:tcPr>
            <w:tcW w:w="462" w:type="pct"/>
          </w:tcPr>
          <w:p w14:paraId="5CAE116C" w14:textId="77777777" w:rsidR="008C77B2" w:rsidRDefault="008C77B2" w:rsidP="001D23A4">
            <w:pPr>
              <w:spacing w:before="40" w:after="40"/>
              <w:jc w:val="center"/>
              <w:rPr>
                <w:rFonts w:cstheme="minorHAnsi"/>
                <w:sz w:val="20"/>
              </w:rPr>
            </w:pPr>
          </w:p>
        </w:tc>
        <w:tc>
          <w:tcPr>
            <w:tcW w:w="491" w:type="pct"/>
          </w:tcPr>
          <w:p w14:paraId="5CAE116D" w14:textId="77777777" w:rsidR="008C77B2" w:rsidRDefault="008C77B2" w:rsidP="001D23A4">
            <w:pPr>
              <w:spacing w:before="40" w:after="40"/>
              <w:jc w:val="center"/>
              <w:rPr>
                <w:rFonts w:cstheme="minorHAnsi"/>
                <w:sz w:val="20"/>
              </w:rPr>
            </w:pPr>
          </w:p>
        </w:tc>
      </w:tr>
      <w:tr w:rsidR="008C77B2" w14:paraId="5CAE1179" w14:textId="77777777">
        <w:tc>
          <w:tcPr>
            <w:tcW w:w="313" w:type="pct"/>
          </w:tcPr>
          <w:p w14:paraId="5CAE116F" w14:textId="77777777" w:rsidR="008C77B2" w:rsidRDefault="00CD4E3B" w:rsidP="001D23A4">
            <w:pPr>
              <w:spacing w:before="40" w:after="40"/>
              <w:jc w:val="center"/>
              <w:rPr>
                <w:rFonts w:cstheme="minorHAnsi"/>
                <w:sz w:val="20"/>
              </w:rPr>
            </w:pPr>
            <w:r>
              <w:rPr>
                <w:rFonts w:cstheme="minorHAnsi"/>
                <w:sz w:val="20"/>
              </w:rPr>
              <w:t>5.1</w:t>
            </w:r>
          </w:p>
        </w:tc>
        <w:tc>
          <w:tcPr>
            <w:tcW w:w="769" w:type="pct"/>
          </w:tcPr>
          <w:p w14:paraId="5CAE1170" w14:textId="77777777" w:rsidR="008C77B2" w:rsidRDefault="00CD4E3B" w:rsidP="001D23A4">
            <w:pPr>
              <w:spacing w:before="40" w:after="40"/>
              <w:jc w:val="center"/>
              <w:rPr>
                <w:rFonts w:cstheme="minorHAnsi"/>
                <w:sz w:val="20"/>
              </w:rPr>
            </w:pPr>
            <w:r>
              <w:rPr>
                <w:rFonts w:cstheme="minorHAnsi"/>
                <w:sz w:val="20"/>
              </w:rPr>
              <w:t>Gain (dBi)</w:t>
            </w:r>
          </w:p>
        </w:tc>
        <w:tc>
          <w:tcPr>
            <w:tcW w:w="495" w:type="pct"/>
          </w:tcPr>
          <w:p w14:paraId="5CAE1171" w14:textId="77777777" w:rsidR="008C77B2" w:rsidRDefault="008C77B2" w:rsidP="001D23A4">
            <w:pPr>
              <w:spacing w:before="40" w:after="40"/>
              <w:jc w:val="center"/>
              <w:rPr>
                <w:rStyle w:val="FootnoteReference"/>
                <w:rFonts w:cstheme="minorHAnsi"/>
                <w:sz w:val="20"/>
              </w:rPr>
            </w:pPr>
          </w:p>
        </w:tc>
        <w:tc>
          <w:tcPr>
            <w:tcW w:w="527" w:type="pct"/>
            <w:gridSpan w:val="2"/>
          </w:tcPr>
          <w:p w14:paraId="5CAE1172" w14:textId="77777777" w:rsidR="008C77B2" w:rsidRDefault="008C77B2" w:rsidP="001D23A4">
            <w:pPr>
              <w:spacing w:before="40" w:after="40"/>
              <w:jc w:val="center"/>
              <w:rPr>
                <w:rStyle w:val="FootnoteReference"/>
                <w:rFonts w:cstheme="minorHAnsi"/>
                <w:sz w:val="20"/>
              </w:rPr>
            </w:pPr>
          </w:p>
        </w:tc>
        <w:tc>
          <w:tcPr>
            <w:tcW w:w="469" w:type="pct"/>
          </w:tcPr>
          <w:p w14:paraId="5CAE1173" w14:textId="77777777" w:rsidR="008C77B2" w:rsidRDefault="008C77B2" w:rsidP="001D23A4">
            <w:pPr>
              <w:spacing w:before="40" w:after="40"/>
              <w:jc w:val="center"/>
              <w:rPr>
                <w:rFonts w:cstheme="minorHAnsi"/>
                <w:sz w:val="20"/>
              </w:rPr>
            </w:pPr>
          </w:p>
        </w:tc>
        <w:tc>
          <w:tcPr>
            <w:tcW w:w="523" w:type="pct"/>
          </w:tcPr>
          <w:p w14:paraId="5CAE1174" w14:textId="77777777" w:rsidR="008C77B2" w:rsidRDefault="008C77B2" w:rsidP="001D23A4">
            <w:pPr>
              <w:spacing w:before="40" w:after="40"/>
              <w:jc w:val="center"/>
              <w:rPr>
                <w:rFonts w:cstheme="minorHAnsi"/>
                <w:sz w:val="20"/>
              </w:rPr>
            </w:pPr>
          </w:p>
        </w:tc>
        <w:tc>
          <w:tcPr>
            <w:tcW w:w="455" w:type="pct"/>
          </w:tcPr>
          <w:p w14:paraId="5CAE1175" w14:textId="77777777" w:rsidR="008C77B2" w:rsidRDefault="008C77B2" w:rsidP="001D23A4">
            <w:pPr>
              <w:spacing w:before="40" w:after="40"/>
              <w:jc w:val="center"/>
              <w:rPr>
                <w:rFonts w:cstheme="minorHAnsi"/>
                <w:sz w:val="20"/>
              </w:rPr>
            </w:pPr>
          </w:p>
        </w:tc>
        <w:tc>
          <w:tcPr>
            <w:tcW w:w="496" w:type="pct"/>
          </w:tcPr>
          <w:p w14:paraId="5CAE1176" w14:textId="77777777" w:rsidR="008C77B2" w:rsidRDefault="008C77B2" w:rsidP="001D23A4">
            <w:pPr>
              <w:spacing w:before="40" w:after="40"/>
              <w:jc w:val="center"/>
              <w:rPr>
                <w:rFonts w:cstheme="minorHAnsi"/>
                <w:sz w:val="20"/>
              </w:rPr>
            </w:pPr>
          </w:p>
        </w:tc>
        <w:tc>
          <w:tcPr>
            <w:tcW w:w="462" w:type="pct"/>
          </w:tcPr>
          <w:p w14:paraId="5CAE1177" w14:textId="77777777" w:rsidR="008C77B2" w:rsidRDefault="008C77B2" w:rsidP="001D23A4">
            <w:pPr>
              <w:spacing w:before="40" w:after="40"/>
              <w:jc w:val="center"/>
              <w:rPr>
                <w:rFonts w:cstheme="minorHAnsi"/>
                <w:sz w:val="20"/>
              </w:rPr>
            </w:pPr>
          </w:p>
        </w:tc>
        <w:tc>
          <w:tcPr>
            <w:tcW w:w="491" w:type="pct"/>
          </w:tcPr>
          <w:p w14:paraId="5CAE1178" w14:textId="77777777" w:rsidR="008C77B2" w:rsidRDefault="008C77B2" w:rsidP="001D23A4">
            <w:pPr>
              <w:spacing w:before="40" w:after="40"/>
              <w:jc w:val="center"/>
              <w:rPr>
                <w:rFonts w:cstheme="minorHAnsi"/>
                <w:sz w:val="20"/>
              </w:rPr>
            </w:pPr>
          </w:p>
        </w:tc>
      </w:tr>
      <w:tr w:rsidR="008C77B2" w14:paraId="5CAE1184" w14:textId="77777777">
        <w:tc>
          <w:tcPr>
            <w:tcW w:w="313" w:type="pct"/>
          </w:tcPr>
          <w:p w14:paraId="5CAE117A" w14:textId="77777777" w:rsidR="008C77B2" w:rsidRDefault="00CD4E3B" w:rsidP="001D23A4">
            <w:pPr>
              <w:spacing w:before="40" w:after="40"/>
              <w:jc w:val="center"/>
              <w:rPr>
                <w:rFonts w:cstheme="minorHAnsi"/>
                <w:sz w:val="20"/>
              </w:rPr>
            </w:pPr>
            <w:r>
              <w:rPr>
                <w:rFonts w:cstheme="minorHAnsi"/>
                <w:sz w:val="20"/>
              </w:rPr>
              <w:t>5.2</w:t>
            </w:r>
          </w:p>
        </w:tc>
        <w:tc>
          <w:tcPr>
            <w:tcW w:w="769" w:type="pct"/>
          </w:tcPr>
          <w:p w14:paraId="5CAE117B" w14:textId="77777777" w:rsidR="008C77B2" w:rsidRDefault="00CD4E3B" w:rsidP="001D23A4">
            <w:pPr>
              <w:spacing w:before="40" w:after="40"/>
              <w:jc w:val="center"/>
              <w:rPr>
                <w:rFonts w:cstheme="minorHAnsi"/>
                <w:sz w:val="20"/>
              </w:rPr>
            </w:pPr>
            <w:r>
              <w:rPr>
                <w:rFonts w:cstheme="minorHAnsi"/>
                <w:sz w:val="20"/>
              </w:rPr>
              <w:t>Height (m)</w:t>
            </w:r>
          </w:p>
        </w:tc>
        <w:tc>
          <w:tcPr>
            <w:tcW w:w="495" w:type="pct"/>
          </w:tcPr>
          <w:p w14:paraId="5CAE117C" w14:textId="77777777" w:rsidR="008C77B2" w:rsidRDefault="008C77B2" w:rsidP="001D23A4">
            <w:pPr>
              <w:spacing w:before="40" w:after="40"/>
              <w:jc w:val="center"/>
              <w:rPr>
                <w:rFonts w:cstheme="minorHAnsi"/>
                <w:sz w:val="20"/>
              </w:rPr>
            </w:pPr>
          </w:p>
        </w:tc>
        <w:tc>
          <w:tcPr>
            <w:tcW w:w="527" w:type="pct"/>
            <w:gridSpan w:val="2"/>
          </w:tcPr>
          <w:p w14:paraId="5CAE117D" w14:textId="77777777" w:rsidR="008C77B2" w:rsidRDefault="008C77B2" w:rsidP="001D23A4">
            <w:pPr>
              <w:spacing w:before="40" w:after="40"/>
              <w:jc w:val="center"/>
              <w:rPr>
                <w:rFonts w:cstheme="minorHAnsi"/>
                <w:sz w:val="20"/>
              </w:rPr>
            </w:pPr>
          </w:p>
        </w:tc>
        <w:tc>
          <w:tcPr>
            <w:tcW w:w="469" w:type="pct"/>
          </w:tcPr>
          <w:p w14:paraId="5CAE117E" w14:textId="77777777" w:rsidR="008C77B2" w:rsidRDefault="008C77B2" w:rsidP="001D23A4">
            <w:pPr>
              <w:spacing w:before="40" w:after="40"/>
              <w:jc w:val="center"/>
              <w:rPr>
                <w:rFonts w:cstheme="minorHAnsi"/>
                <w:sz w:val="20"/>
              </w:rPr>
            </w:pPr>
          </w:p>
        </w:tc>
        <w:tc>
          <w:tcPr>
            <w:tcW w:w="523" w:type="pct"/>
          </w:tcPr>
          <w:p w14:paraId="5CAE117F" w14:textId="77777777" w:rsidR="008C77B2" w:rsidRDefault="008C77B2" w:rsidP="001D23A4">
            <w:pPr>
              <w:spacing w:before="40" w:after="40"/>
              <w:jc w:val="center"/>
              <w:rPr>
                <w:rFonts w:cstheme="minorHAnsi"/>
                <w:sz w:val="20"/>
              </w:rPr>
            </w:pPr>
          </w:p>
        </w:tc>
        <w:tc>
          <w:tcPr>
            <w:tcW w:w="455" w:type="pct"/>
          </w:tcPr>
          <w:p w14:paraId="5CAE1180" w14:textId="77777777" w:rsidR="008C77B2" w:rsidRDefault="008C77B2" w:rsidP="001D23A4">
            <w:pPr>
              <w:spacing w:before="40" w:after="40"/>
              <w:jc w:val="center"/>
              <w:rPr>
                <w:rFonts w:cstheme="minorHAnsi"/>
                <w:sz w:val="20"/>
              </w:rPr>
            </w:pPr>
          </w:p>
        </w:tc>
        <w:tc>
          <w:tcPr>
            <w:tcW w:w="496" w:type="pct"/>
          </w:tcPr>
          <w:p w14:paraId="5CAE1181" w14:textId="77777777" w:rsidR="008C77B2" w:rsidRDefault="008C77B2" w:rsidP="001D23A4">
            <w:pPr>
              <w:spacing w:before="40" w:after="40"/>
              <w:jc w:val="center"/>
              <w:rPr>
                <w:rFonts w:cstheme="minorHAnsi"/>
                <w:sz w:val="20"/>
              </w:rPr>
            </w:pPr>
          </w:p>
        </w:tc>
        <w:tc>
          <w:tcPr>
            <w:tcW w:w="462" w:type="pct"/>
          </w:tcPr>
          <w:p w14:paraId="5CAE1182" w14:textId="77777777" w:rsidR="008C77B2" w:rsidRDefault="008C77B2" w:rsidP="001D23A4">
            <w:pPr>
              <w:spacing w:before="40" w:after="40"/>
              <w:jc w:val="center"/>
              <w:rPr>
                <w:rFonts w:cstheme="minorHAnsi"/>
                <w:sz w:val="20"/>
              </w:rPr>
            </w:pPr>
          </w:p>
        </w:tc>
        <w:tc>
          <w:tcPr>
            <w:tcW w:w="491" w:type="pct"/>
          </w:tcPr>
          <w:p w14:paraId="5CAE1183" w14:textId="77777777" w:rsidR="008C77B2" w:rsidRDefault="008C77B2" w:rsidP="001D23A4">
            <w:pPr>
              <w:spacing w:before="40" w:after="40"/>
              <w:jc w:val="center"/>
              <w:rPr>
                <w:rFonts w:cstheme="minorHAnsi"/>
                <w:sz w:val="20"/>
              </w:rPr>
            </w:pPr>
          </w:p>
        </w:tc>
      </w:tr>
      <w:tr w:rsidR="008C77B2" w14:paraId="5CAE118F" w14:textId="77777777">
        <w:tc>
          <w:tcPr>
            <w:tcW w:w="313" w:type="pct"/>
          </w:tcPr>
          <w:p w14:paraId="5CAE1185" w14:textId="77777777" w:rsidR="008C77B2" w:rsidRDefault="00CD4E3B" w:rsidP="001D23A4">
            <w:pPr>
              <w:spacing w:before="40" w:after="40"/>
              <w:jc w:val="center"/>
              <w:rPr>
                <w:rFonts w:cstheme="minorHAnsi"/>
                <w:sz w:val="20"/>
              </w:rPr>
            </w:pPr>
            <w:r>
              <w:rPr>
                <w:rFonts w:cstheme="minorHAnsi"/>
                <w:sz w:val="20"/>
              </w:rPr>
              <w:t>5.3</w:t>
            </w:r>
          </w:p>
        </w:tc>
        <w:tc>
          <w:tcPr>
            <w:tcW w:w="769" w:type="pct"/>
          </w:tcPr>
          <w:p w14:paraId="5CAE1186" w14:textId="77777777" w:rsidR="008C77B2" w:rsidRDefault="00CD4E3B" w:rsidP="001D23A4">
            <w:pPr>
              <w:spacing w:before="40" w:after="40"/>
              <w:jc w:val="center"/>
              <w:rPr>
                <w:rFonts w:cstheme="minorHAnsi"/>
                <w:sz w:val="20"/>
              </w:rPr>
            </w:pPr>
            <w:r>
              <w:rPr>
                <w:rFonts w:cstheme="minorHAnsi"/>
                <w:sz w:val="20"/>
              </w:rPr>
              <w:t>Type</w:t>
            </w:r>
          </w:p>
        </w:tc>
        <w:tc>
          <w:tcPr>
            <w:tcW w:w="495" w:type="pct"/>
          </w:tcPr>
          <w:p w14:paraId="5CAE1187" w14:textId="77777777" w:rsidR="008C77B2" w:rsidRDefault="008C77B2" w:rsidP="001D23A4">
            <w:pPr>
              <w:spacing w:before="40" w:after="40"/>
              <w:jc w:val="center"/>
              <w:rPr>
                <w:rFonts w:cstheme="minorHAnsi"/>
                <w:sz w:val="20"/>
              </w:rPr>
            </w:pPr>
          </w:p>
        </w:tc>
        <w:tc>
          <w:tcPr>
            <w:tcW w:w="527" w:type="pct"/>
            <w:gridSpan w:val="2"/>
          </w:tcPr>
          <w:p w14:paraId="5CAE1188" w14:textId="77777777" w:rsidR="008C77B2" w:rsidRDefault="008C77B2" w:rsidP="001D23A4">
            <w:pPr>
              <w:spacing w:before="40" w:after="40"/>
              <w:jc w:val="center"/>
              <w:rPr>
                <w:rFonts w:cstheme="minorHAnsi"/>
                <w:sz w:val="20"/>
              </w:rPr>
            </w:pPr>
          </w:p>
        </w:tc>
        <w:tc>
          <w:tcPr>
            <w:tcW w:w="469" w:type="pct"/>
          </w:tcPr>
          <w:p w14:paraId="5CAE1189" w14:textId="77777777" w:rsidR="008C77B2" w:rsidRDefault="008C77B2" w:rsidP="001D23A4">
            <w:pPr>
              <w:spacing w:before="40" w:after="40"/>
              <w:jc w:val="center"/>
              <w:rPr>
                <w:rFonts w:cstheme="minorHAnsi"/>
                <w:sz w:val="20"/>
              </w:rPr>
            </w:pPr>
          </w:p>
        </w:tc>
        <w:tc>
          <w:tcPr>
            <w:tcW w:w="523" w:type="pct"/>
          </w:tcPr>
          <w:p w14:paraId="5CAE118A" w14:textId="77777777" w:rsidR="008C77B2" w:rsidRDefault="008C77B2" w:rsidP="001D23A4">
            <w:pPr>
              <w:spacing w:before="40" w:after="40"/>
              <w:jc w:val="center"/>
              <w:rPr>
                <w:rFonts w:cstheme="minorHAnsi"/>
                <w:sz w:val="20"/>
              </w:rPr>
            </w:pPr>
          </w:p>
        </w:tc>
        <w:tc>
          <w:tcPr>
            <w:tcW w:w="455" w:type="pct"/>
          </w:tcPr>
          <w:p w14:paraId="5CAE118B" w14:textId="77777777" w:rsidR="008C77B2" w:rsidRDefault="008C77B2" w:rsidP="001D23A4">
            <w:pPr>
              <w:spacing w:before="40" w:after="40"/>
              <w:jc w:val="center"/>
              <w:rPr>
                <w:rFonts w:cstheme="minorHAnsi"/>
                <w:sz w:val="20"/>
              </w:rPr>
            </w:pPr>
          </w:p>
        </w:tc>
        <w:tc>
          <w:tcPr>
            <w:tcW w:w="496" w:type="pct"/>
          </w:tcPr>
          <w:p w14:paraId="5CAE118C" w14:textId="77777777" w:rsidR="008C77B2" w:rsidRDefault="008C77B2" w:rsidP="001D23A4">
            <w:pPr>
              <w:spacing w:before="40" w:after="40"/>
              <w:jc w:val="center"/>
              <w:rPr>
                <w:rFonts w:cstheme="minorHAnsi"/>
                <w:sz w:val="20"/>
              </w:rPr>
            </w:pPr>
          </w:p>
        </w:tc>
        <w:tc>
          <w:tcPr>
            <w:tcW w:w="462" w:type="pct"/>
          </w:tcPr>
          <w:p w14:paraId="5CAE118D" w14:textId="77777777" w:rsidR="008C77B2" w:rsidRDefault="008C77B2" w:rsidP="001D23A4">
            <w:pPr>
              <w:spacing w:before="40" w:after="40"/>
              <w:jc w:val="center"/>
              <w:rPr>
                <w:rFonts w:cstheme="minorHAnsi"/>
                <w:sz w:val="20"/>
              </w:rPr>
            </w:pPr>
          </w:p>
        </w:tc>
        <w:tc>
          <w:tcPr>
            <w:tcW w:w="491" w:type="pct"/>
          </w:tcPr>
          <w:p w14:paraId="5CAE118E" w14:textId="77777777" w:rsidR="008C77B2" w:rsidRDefault="008C77B2" w:rsidP="001D23A4">
            <w:pPr>
              <w:spacing w:before="40" w:after="40"/>
              <w:jc w:val="center"/>
              <w:rPr>
                <w:rFonts w:cstheme="minorHAnsi"/>
                <w:sz w:val="20"/>
              </w:rPr>
            </w:pPr>
          </w:p>
        </w:tc>
      </w:tr>
      <w:tr w:rsidR="008C77B2" w14:paraId="5CAE119A" w14:textId="77777777">
        <w:tc>
          <w:tcPr>
            <w:tcW w:w="313" w:type="pct"/>
          </w:tcPr>
          <w:p w14:paraId="5CAE1190" w14:textId="77777777" w:rsidR="008C77B2" w:rsidRDefault="00CD4E3B" w:rsidP="001D23A4">
            <w:pPr>
              <w:spacing w:before="40" w:after="40"/>
              <w:jc w:val="center"/>
              <w:rPr>
                <w:rFonts w:cstheme="minorHAnsi"/>
                <w:sz w:val="20"/>
              </w:rPr>
            </w:pPr>
            <w:r>
              <w:rPr>
                <w:rFonts w:cstheme="minorHAnsi"/>
                <w:sz w:val="20"/>
              </w:rPr>
              <w:t>5.4</w:t>
            </w:r>
          </w:p>
        </w:tc>
        <w:tc>
          <w:tcPr>
            <w:tcW w:w="769" w:type="pct"/>
          </w:tcPr>
          <w:p w14:paraId="5CAE1191" w14:textId="77777777" w:rsidR="008C77B2" w:rsidRDefault="00CD4E3B" w:rsidP="001D23A4">
            <w:pPr>
              <w:spacing w:before="40" w:after="40"/>
              <w:jc w:val="center"/>
              <w:rPr>
                <w:rFonts w:cstheme="minorHAnsi"/>
                <w:sz w:val="20"/>
              </w:rPr>
            </w:pPr>
            <w:r>
              <w:rPr>
                <w:rFonts w:cstheme="minorHAnsi"/>
                <w:sz w:val="20"/>
              </w:rPr>
              <w:t>Pattern</w:t>
            </w:r>
          </w:p>
        </w:tc>
        <w:tc>
          <w:tcPr>
            <w:tcW w:w="495" w:type="pct"/>
          </w:tcPr>
          <w:p w14:paraId="5CAE1192" w14:textId="77777777" w:rsidR="008C77B2" w:rsidRDefault="008C77B2" w:rsidP="001D23A4">
            <w:pPr>
              <w:spacing w:before="40" w:after="40"/>
              <w:jc w:val="center"/>
              <w:rPr>
                <w:rFonts w:cstheme="minorHAnsi"/>
                <w:sz w:val="20"/>
              </w:rPr>
            </w:pPr>
          </w:p>
        </w:tc>
        <w:tc>
          <w:tcPr>
            <w:tcW w:w="527" w:type="pct"/>
            <w:gridSpan w:val="2"/>
          </w:tcPr>
          <w:p w14:paraId="5CAE1193" w14:textId="77777777" w:rsidR="008C77B2" w:rsidRDefault="008C77B2" w:rsidP="001D23A4">
            <w:pPr>
              <w:spacing w:before="40" w:after="40"/>
              <w:jc w:val="center"/>
              <w:rPr>
                <w:rFonts w:cstheme="minorHAnsi"/>
                <w:sz w:val="20"/>
              </w:rPr>
            </w:pPr>
          </w:p>
        </w:tc>
        <w:tc>
          <w:tcPr>
            <w:tcW w:w="469" w:type="pct"/>
          </w:tcPr>
          <w:p w14:paraId="5CAE1194" w14:textId="77777777" w:rsidR="008C77B2" w:rsidRDefault="008C77B2" w:rsidP="001D23A4">
            <w:pPr>
              <w:spacing w:before="40" w:after="40"/>
              <w:jc w:val="center"/>
              <w:rPr>
                <w:rFonts w:cstheme="minorHAnsi"/>
                <w:sz w:val="20"/>
              </w:rPr>
            </w:pPr>
          </w:p>
        </w:tc>
        <w:tc>
          <w:tcPr>
            <w:tcW w:w="523" w:type="pct"/>
          </w:tcPr>
          <w:p w14:paraId="5CAE1195" w14:textId="77777777" w:rsidR="008C77B2" w:rsidRDefault="008C77B2" w:rsidP="001D23A4">
            <w:pPr>
              <w:spacing w:before="40" w:after="40"/>
              <w:jc w:val="center"/>
              <w:rPr>
                <w:rFonts w:cstheme="minorHAnsi"/>
                <w:sz w:val="20"/>
              </w:rPr>
            </w:pPr>
          </w:p>
        </w:tc>
        <w:tc>
          <w:tcPr>
            <w:tcW w:w="455" w:type="pct"/>
          </w:tcPr>
          <w:p w14:paraId="5CAE1196" w14:textId="77777777" w:rsidR="008C77B2" w:rsidRDefault="008C77B2" w:rsidP="001D23A4">
            <w:pPr>
              <w:spacing w:before="40" w:after="40"/>
              <w:jc w:val="center"/>
              <w:rPr>
                <w:rFonts w:cstheme="minorHAnsi"/>
                <w:sz w:val="20"/>
              </w:rPr>
            </w:pPr>
          </w:p>
        </w:tc>
        <w:tc>
          <w:tcPr>
            <w:tcW w:w="496" w:type="pct"/>
          </w:tcPr>
          <w:p w14:paraId="5CAE1197" w14:textId="77777777" w:rsidR="008C77B2" w:rsidRDefault="008C77B2" w:rsidP="001D23A4">
            <w:pPr>
              <w:spacing w:before="40" w:after="40"/>
              <w:jc w:val="center"/>
              <w:rPr>
                <w:rFonts w:cstheme="minorHAnsi"/>
                <w:sz w:val="20"/>
              </w:rPr>
            </w:pPr>
          </w:p>
        </w:tc>
        <w:tc>
          <w:tcPr>
            <w:tcW w:w="462" w:type="pct"/>
          </w:tcPr>
          <w:p w14:paraId="5CAE1198" w14:textId="77777777" w:rsidR="008C77B2" w:rsidRDefault="008C77B2" w:rsidP="001D23A4">
            <w:pPr>
              <w:spacing w:before="40" w:after="40"/>
              <w:jc w:val="center"/>
              <w:rPr>
                <w:rFonts w:cstheme="minorHAnsi"/>
                <w:sz w:val="20"/>
              </w:rPr>
            </w:pPr>
          </w:p>
        </w:tc>
        <w:tc>
          <w:tcPr>
            <w:tcW w:w="491" w:type="pct"/>
          </w:tcPr>
          <w:p w14:paraId="5CAE1199" w14:textId="77777777" w:rsidR="008C77B2" w:rsidRDefault="008C77B2" w:rsidP="001D23A4">
            <w:pPr>
              <w:spacing w:before="40" w:after="40"/>
              <w:jc w:val="center"/>
              <w:rPr>
                <w:rFonts w:cstheme="minorHAnsi"/>
                <w:sz w:val="20"/>
              </w:rPr>
            </w:pPr>
          </w:p>
        </w:tc>
      </w:tr>
      <w:tr w:rsidR="008C77B2" w14:paraId="5CAE11A5" w14:textId="77777777">
        <w:tc>
          <w:tcPr>
            <w:tcW w:w="313" w:type="pct"/>
          </w:tcPr>
          <w:p w14:paraId="5CAE119B" w14:textId="77777777" w:rsidR="008C77B2" w:rsidRDefault="00CD4E3B" w:rsidP="001D23A4">
            <w:pPr>
              <w:spacing w:before="40" w:after="40"/>
              <w:jc w:val="center"/>
              <w:rPr>
                <w:rFonts w:cstheme="minorHAnsi"/>
                <w:sz w:val="20"/>
              </w:rPr>
            </w:pPr>
            <w:r>
              <w:rPr>
                <w:rFonts w:cstheme="minorHAnsi"/>
                <w:sz w:val="20"/>
              </w:rPr>
              <w:t>5.4.1</w:t>
            </w:r>
          </w:p>
        </w:tc>
        <w:tc>
          <w:tcPr>
            <w:tcW w:w="769" w:type="pct"/>
          </w:tcPr>
          <w:p w14:paraId="5CAE119C" w14:textId="77777777" w:rsidR="008C77B2" w:rsidRDefault="00CD4E3B" w:rsidP="001D23A4">
            <w:pPr>
              <w:spacing w:before="40" w:after="40"/>
              <w:jc w:val="center"/>
              <w:rPr>
                <w:rFonts w:cstheme="minorHAnsi"/>
                <w:sz w:val="20"/>
              </w:rPr>
            </w:pPr>
            <w:r>
              <w:rPr>
                <w:rFonts w:cstheme="minorHAnsi"/>
                <w:sz w:val="20"/>
              </w:rPr>
              <w:t>Width in horizontal plane (°)</w:t>
            </w:r>
          </w:p>
        </w:tc>
        <w:tc>
          <w:tcPr>
            <w:tcW w:w="495" w:type="pct"/>
          </w:tcPr>
          <w:p w14:paraId="5CAE119D" w14:textId="77777777" w:rsidR="008C77B2" w:rsidRDefault="008C77B2" w:rsidP="001D23A4">
            <w:pPr>
              <w:spacing w:before="40" w:after="40"/>
              <w:jc w:val="center"/>
              <w:rPr>
                <w:rFonts w:cstheme="minorHAnsi"/>
                <w:sz w:val="20"/>
              </w:rPr>
            </w:pPr>
          </w:p>
        </w:tc>
        <w:tc>
          <w:tcPr>
            <w:tcW w:w="527" w:type="pct"/>
            <w:gridSpan w:val="2"/>
          </w:tcPr>
          <w:p w14:paraId="5CAE119E" w14:textId="77777777" w:rsidR="008C77B2" w:rsidRDefault="008C77B2" w:rsidP="001D23A4">
            <w:pPr>
              <w:spacing w:before="40" w:after="40"/>
              <w:jc w:val="center"/>
              <w:rPr>
                <w:rFonts w:cstheme="minorHAnsi"/>
                <w:sz w:val="20"/>
              </w:rPr>
            </w:pPr>
          </w:p>
        </w:tc>
        <w:tc>
          <w:tcPr>
            <w:tcW w:w="469" w:type="pct"/>
          </w:tcPr>
          <w:p w14:paraId="5CAE119F" w14:textId="77777777" w:rsidR="008C77B2" w:rsidRDefault="008C77B2" w:rsidP="001D23A4">
            <w:pPr>
              <w:spacing w:before="40" w:after="40"/>
              <w:jc w:val="center"/>
              <w:rPr>
                <w:rFonts w:cstheme="minorHAnsi"/>
                <w:sz w:val="20"/>
              </w:rPr>
            </w:pPr>
          </w:p>
        </w:tc>
        <w:tc>
          <w:tcPr>
            <w:tcW w:w="523" w:type="pct"/>
          </w:tcPr>
          <w:p w14:paraId="5CAE11A0" w14:textId="77777777" w:rsidR="008C77B2" w:rsidRDefault="008C77B2" w:rsidP="001D23A4">
            <w:pPr>
              <w:spacing w:before="40" w:after="40"/>
              <w:jc w:val="center"/>
              <w:rPr>
                <w:rFonts w:cstheme="minorHAnsi"/>
                <w:sz w:val="20"/>
              </w:rPr>
            </w:pPr>
          </w:p>
        </w:tc>
        <w:tc>
          <w:tcPr>
            <w:tcW w:w="455" w:type="pct"/>
          </w:tcPr>
          <w:p w14:paraId="5CAE11A1" w14:textId="77777777" w:rsidR="008C77B2" w:rsidRDefault="008C77B2" w:rsidP="001D23A4">
            <w:pPr>
              <w:spacing w:before="40" w:after="40"/>
              <w:jc w:val="center"/>
              <w:rPr>
                <w:rFonts w:cstheme="minorHAnsi"/>
                <w:sz w:val="20"/>
              </w:rPr>
            </w:pPr>
          </w:p>
        </w:tc>
        <w:tc>
          <w:tcPr>
            <w:tcW w:w="496" w:type="pct"/>
          </w:tcPr>
          <w:p w14:paraId="5CAE11A2" w14:textId="77777777" w:rsidR="008C77B2" w:rsidRDefault="008C77B2" w:rsidP="001D23A4">
            <w:pPr>
              <w:spacing w:before="40" w:after="40"/>
              <w:jc w:val="center"/>
              <w:rPr>
                <w:rFonts w:cstheme="minorHAnsi"/>
                <w:sz w:val="20"/>
              </w:rPr>
            </w:pPr>
          </w:p>
        </w:tc>
        <w:tc>
          <w:tcPr>
            <w:tcW w:w="462" w:type="pct"/>
          </w:tcPr>
          <w:p w14:paraId="5CAE11A3" w14:textId="77777777" w:rsidR="008C77B2" w:rsidRDefault="008C77B2" w:rsidP="001D23A4">
            <w:pPr>
              <w:spacing w:before="40" w:after="40"/>
              <w:jc w:val="center"/>
              <w:rPr>
                <w:rFonts w:cstheme="minorHAnsi"/>
                <w:sz w:val="20"/>
              </w:rPr>
            </w:pPr>
          </w:p>
        </w:tc>
        <w:tc>
          <w:tcPr>
            <w:tcW w:w="491" w:type="pct"/>
          </w:tcPr>
          <w:p w14:paraId="5CAE11A4" w14:textId="77777777" w:rsidR="008C77B2" w:rsidRDefault="008C77B2" w:rsidP="001D23A4">
            <w:pPr>
              <w:spacing w:before="40" w:after="40"/>
              <w:jc w:val="center"/>
              <w:rPr>
                <w:rFonts w:cstheme="minorHAnsi"/>
                <w:sz w:val="20"/>
              </w:rPr>
            </w:pPr>
          </w:p>
        </w:tc>
      </w:tr>
      <w:tr w:rsidR="008C77B2" w14:paraId="5CAE11B0" w14:textId="77777777">
        <w:tc>
          <w:tcPr>
            <w:tcW w:w="313" w:type="pct"/>
          </w:tcPr>
          <w:p w14:paraId="5CAE11A6" w14:textId="77777777" w:rsidR="008C77B2" w:rsidRDefault="00CD4E3B" w:rsidP="001D23A4">
            <w:pPr>
              <w:spacing w:before="40" w:after="40"/>
              <w:jc w:val="center"/>
              <w:rPr>
                <w:rFonts w:cstheme="minorHAnsi"/>
                <w:sz w:val="20"/>
              </w:rPr>
            </w:pPr>
            <w:r>
              <w:rPr>
                <w:rFonts w:cstheme="minorHAnsi"/>
                <w:sz w:val="20"/>
              </w:rPr>
              <w:t>5.4.2</w:t>
            </w:r>
          </w:p>
        </w:tc>
        <w:tc>
          <w:tcPr>
            <w:tcW w:w="769" w:type="pct"/>
          </w:tcPr>
          <w:p w14:paraId="5CAE11A7" w14:textId="77777777" w:rsidR="008C77B2" w:rsidRDefault="00CD4E3B" w:rsidP="001D23A4">
            <w:pPr>
              <w:spacing w:before="40" w:after="40"/>
              <w:jc w:val="center"/>
              <w:rPr>
                <w:rFonts w:cstheme="minorHAnsi"/>
                <w:sz w:val="20"/>
              </w:rPr>
            </w:pPr>
            <w:r>
              <w:rPr>
                <w:rFonts w:cstheme="minorHAnsi"/>
                <w:sz w:val="20"/>
              </w:rPr>
              <w:t xml:space="preserve">Width in vertical plane (°) </w:t>
            </w:r>
          </w:p>
        </w:tc>
        <w:tc>
          <w:tcPr>
            <w:tcW w:w="495" w:type="pct"/>
          </w:tcPr>
          <w:p w14:paraId="5CAE11A8" w14:textId="77777777" w:rsidR="008C77B2" w:rsidRDefault="008C77B2" w:rsidP="001D23A4">
            <w:pPr>
              <w:spacing w:before="40" w:after="40"/>
              <w:jc w:val="center"/>
              <w:rPr>
                <w:rFonts w:cstheme="minorHAnsi"/>
                <w:sz w:val="20"/>
              </w:rPr>
            </w:pPr>
          </w:p>
        </w:tc>
        <w:tc>
          <w:tcPr>
            <w:tcW w:w="527" w:type="pct"/>
            <w:gridSpan w:val="2"/>
          </w:tcPr>
          <w:p w14:paraId="5CAE11A9" w14:textId="77777777" w:rsidR="008C77B2" w:rsidRDefault="008C77B2" w:rsidP="001D23A4">
            <w:pPr>
              <w:spacing w:before="40" w:after="40"/>
              <w:jc w:val="center"/>
              <w:rPr>
                <w:rFonts w:cstheme="minorHAnsi"/>
                <w:sz w:val="20"/>
              </w:rPr>
            </w:pPr>
          </w:p>
        </w:tc>
        <w:tc>
          <w:tcPr>
            <w:tcW w:w="469" w:type="pct"/>
          </w:tcPr>
          <w:p w14:paraId="5CAE11AA" w14:textId="77777777" w:rsidR="008C77B2" w:rsidRDefault="008C77B2" w:rsidP="001D23A4">
            <w:pPr>
              <w:spacing w:before="40" w:after="40"/>
              <w:jc w:val="center"/>
              <w:rPr>
                <w:rFonts w:cstheme="minorHAnsi"/>
                <w:sz w:val="20"/>
              </w:rPr>
            </w:pPr>
          </w:p>
        </w:tc>
        <w:tc>
          <w:tcPr>
            <w:tcW w:w="523" w:type="pct"/>
          </w:tcPr>
          <w:p w14:paraId="5CAE11AB" w14:textId="77777777" w:rsidR="008C77B2" w:rsidRDefault="008C77B2" w:rsidP="001D23A4">
            <w:pPr>
              <w:spacing w:before="40" w:after="40"/>
              <w:jc w:val="center"/>
              <w:rPr>
                <w:rFonts w:cstheme="minorHAnsi"/>
                <w:sz w:val="20"/>
              </w:rPr>
            </w:pPr>
          </w:p>
        </w:tc>
        <w:tc>
          <w:tcPr>
            <w:tcW w:w="455" w:type="pct"/>
          </w:tcPr>
          <w:p w14:paraId="5CAE11AC" w14:textId="77777777" w:rsidR="008C77B2" w:rsidRDefault="008C77B2" w:rsidP="001D23A4">
            <w:pPr>
              <w:spacing w:before="40" w:after="40"/>
              <w:jc w:val="center"/>
              <w:rPr>
                <w:rFonts w:cstheme="minorHAnsi"/>
                <w:sz w:val="20"/>
              </w:rPr>
            </w:pPr>
          </w:p>
        </w:tc>
        <w:tc>
          <w:tcPr>
            <w:tcW w:w="496" w:type="pct"/>
          </w:tcPr>
          <w:p w14:paraId="5CAE11AD" w14:textId="77777777" w:rsidR="008C77B2" w:rsidRDefault="008C77B2" w:rsidP="001D23A4">
            <w:pPr>
              <w:spacing w:before="40" w:after="40"/>
              <w:jc w:val="center"/>
              <w:rPr>
                <w:rFonts w:cstheme="minorHAnsi"/>
                <w:sz w:val="20"/>
              </w:rPr>
            </w:pPr>
          </w:p>
        </w:tc>
        <w:tc>
          <w:tcPr>
            <w:tcW w:w="462" w:type="pct"/>
          </w:tcPr>
          <w:p w14:paraId="5CAE11AE" w14:textId="77777777" w:rsidR="008C77B2" w:rsidRDefault="008C77B2" w:rsidP="001D23A4">
            <w:pPr>
              <w:spacing w:before="40" w:after="40"/>
              <w:jc w:val="center"/>
              <w:rPr>
                <w:rFonts w:cstheme="minorHAnsi"/>
                <w:sz w:val="20"/>
              </w:rPr>
            </w:pPr>
          </w:p>
        </w:tc>
        <w:tc>
          <w:tcPr>
            <w:tcW w:w="491" w:type="pct"/>
          </w:tcPr>
          <w:p w14:paraId="5CAE11AF" w14:textId="77777777" w:rsidR="008C77B2" w:rsidRDefault="008C77B2" w:rsidP="001D23A4">
            <w:pPr>
              <w:spacing w:before="40" w:after="40"/>
              <w:jc w:val="center"/>
              <w:rPr>
                <w:rFonts w:cstheme="minorHAnsi"/>
                <w:sz w:val="20"/>
              </w:rPr>
            </w:pPr>
          </w:p>
        </w:tc>
      </w:tr>
      <w:tr w:rsidR="008C77B2" w14:paraId="5CAE11BB" w14:textId="77777777">
        <w:tc>
          <w:tcPr>
            <w:tcW w:w="313" w:type="pct"/>
          </w:tcPr>
          <w:p w14:paraId="5CAE11B1" w14:textId="77777777" w:rsidR="008C77B2" w:rsidRDefault="00CD4E3B" w:rsidP="001D23A4">
            <w:pPr>
              <w:spacing w:before="40" w:after="40"/>
              <w:jc w:val="center"/>
              <w:rPr>
                <w:rFonts w:cstheme="minorHAnsi"/>
                <w:sz w:val="20"/>
              </w:rPr>
            </w:pPr>
            <w:r>
              <w:rPr>
                <w:rFonts w:cstheme="minorHAnsi"/>
                <w:sz w:val="20"/>
              </w:rPr>
              <w:t>5.4.3</w:t>
            </w:r>
          </w:p>
        </w:tc>
        <w:tc>
          <w:tcPr>
            <w:tcW w:w="769" w:type="pct"/>
          </w:tcPr>
          <w:p w14:paraId="5CAE11B2" w14:textId="77777777" w:rsidR="008C77B2" w:rsidRDefault="00CD4E3B" w:rsidP="001D23A4">
            <w:pPr>
              <w:spacing w:before="40" w:after="40"/>
              <w:jc w:val="center"/>
              <w:rPr>
                <w:rFonts w:cstheme="minorHAnsi"/>
                <w:sz w:val="20"/>
              </w:rPr>
            </w:pPr>
            <w:r>
              <w:rPr>
                <w:rFonts w:cstheme="minorHAnsi"/>
                <w:sz w:val="20"/>
              </w:rPr>
              <w:t>Downtilt (°)</w:t>
            </w:r>
          </w:p>
        </w:tc>
        <w:tc>
          <w:tcPr>
            <w:tcW w:w="495" w:type="pct"/>
          </w:tcPr>
          <w:p w14:paraId="5CAE11B3" w14:textId="77777777" w:rsidR="008C77B2" w:rsidRDefault="008C77B2" w:rsidP="001D23A4">
            <w:pPr>
              <w:spacing w:before="40" w:after="40"/>
              <w:jc w:val="center"/>
              <w:rPr>
                <w:rFonts w:cstheme="minorHAnsi"/>
                <w:sz w:val="20"/>
              </w:rPr>
            </w:pPr>
          </w:p>
        </w:tc>
        <w:tc>
          <w:tcPr>
            <w:tcW w:w="527" w:type="pct"/>
            <w:gridSpan w:val="2"/>
          </w:tcPr>
          <w:p w14:paraId="5CAE11B4" w14:textId="77777777" w:rsidR="008C77B2" w:rsidRDefault="008C77B2" w:rsidP="001D23A4">
            <w:pPr>
              <w:spacing w:before="40" w:after="40"/>
              <w:jc w:val="center"/>
              <w:rPr>
                <w:rFonts w:cstheme="minorHAnsi"/>
                <w:sz w:val="20"/>
              </w:rPr>
            </w:pPr>
          </w:p>
        </w:tc>
        <w:tc>
          <w:tcPr>
            <w:tcW w:w="469" w:type="pct"/>
          </w:tcPr>
          <w:p w14:paraId="5CAE11B5" w14:textId="77777777" w:rsidR="008C77B2" w:rsidRDefault="008C77B2" w:rsidP="001D23A4">
            <w:pPr>
              <w:spacing w:before="40" w:after="40"/>
              <w:jc w:val="center"/>
              <w:rPr>
                <w:rFonts w:cstheme="minorHAnsi"/>
                <w:sz w:val="20"/>
              </w:rPr>
            </w:pPr>
          </w:p>
        </w:tc>
        <w:tc>
          <w:tcPr>
            <w:tcW w:w="523" w:type="pct"/>
          </w:tcPr>
          <w:p w14:paraId="5CAE11B6" w14:textId="77777777" w:rsidR="008C77B2" w:rsidRDefault="008C77B2" w:rsidP="001D23A4">
            <w:pPr>
              <w:spacing w:before="40" w:after="40"/>
              <w:jc w:val="center"/>
              <w:rPr>
                <w:rFonts w:cstheme="minorHAnsi"/>
                <w:sz w:val="20"/>
              </w:rPr>
            </w:pPr>
          </w:p>
        </w:tc>
        <w:tc>
          <w:tcPr>
            <w:tcW w:w="455" w:type="pct"/>
          </w:tcPr>
          <w:p w14:paraId="5CAE11B7" w14:textId="77777777" w:rsidR="008C77B2" w:rsidRDefault="008C77B2" w:rsidP="001D23A4">
            <w:pPr>
              <w:spacing w:before="40" w:after="40"/>
              <w:jc w:val="center"/>
              <w:rPr>
                <w:rFonts w:cstheme="minorHAnsi"/>
                <w:sz w:val="20"/>
              </w:rPr>
            </w:pPr>
          </w:p>
        </w:tc>
        <w:tc>
          <w:tcPr>
            <w:tcW w:w="496" w:type="pct"/>
          </w:tcPr>
          <w:p w14:paraId="5CAE11B8" w14:textId="77777777" w:rsidR="008C77B2" w:rsidRDefault="008C77B2" w:rsidP="001D23A4">
            <w:pPr>
              <w:spacing w:before="40" w:after="40"/>
              <w:jc w:val="center"/>
              <w:rPr>
                <w:rFonts w:cstheme="minorHAnsi"/>
                <w:sz w:val="20"/>
              </w:rPr>
            </w:pPr>
          </w:p>
        </w:tc>
        <w:tc>
          <w:tcPr>
            <w:tcW w:w="462" w:type="pct"/>
          </w:tcPr>
          <w:p w14:paraId="5CAE11B9" w14:textId="77777777" w:rsidR="008C77B2" w:rsidRDefault="008C77B2" w:rsidP="001D23A4">
            <w:pPr>
              <w:spacing w:before="40" w:after="40"/>
              <w:jc w:val="center"/>
              <w:rPr>
                <w:rFonts w:cstheme="minorHAnsi"/>
                <w:sz w:val="20"/>
              </w:rPr>
            </w:pPr>
          </w:p>
        </w:tc>
        <w:tc>
          <w:tcPr>
            <w:tcW w:w="491" w:type="pct"/>
          </w:tcPr>
          <w:p w14:paraId="5CAE11BA" w14:textId="77777777" w:rsidR="008C77B2" w:rsidRDefault="008C77B2" w:rsidP="001D23A4">
            <w:pPr>
              <w:spacing w:before="40" w:after="40"/>
              <w:jc w:val="center"/>
              <w:rPr>
                <w:rFonts w:cstheme="minorHAnsi"/>
                <w:sz w:val="20"/>
              </w:rPr>
            </w:pPr>
          </w:p>
        </w:tc>
      </w:tr>
      <w:tr w:rsidR="008C77B2" w14:paraId="5CAE11C6" w14:textId="77777777">
        <w:tc>
          <w:tcPr>
            <w:tcW w:w="313" w:type="pct"/>
          </w:tcPr>
          <w:p w14:paraId="5CAE11BC" w14:textId="77777777" w:rsidR="008C77B2" w:rsidRDefault="00CD4E3B" w:rsidP="001D23A4">
            <w:pPr>
              <w:spacing w:before="40" w:after="40"/>
              <w:jc w:val="center"/>
              <w:rPr>
                <w:rFonts w:cstheme="minorHAnsi"/>
                <w:sz w:val="20"/>
              </w:rPr>
            </w:pPr>
            <w:r>
              <w:rPr>
                <w:rFonts w:cstheme="minorHAnsi"/>
                <w:sz w:val="20"/>
              </w:rPr>
              <w:t>5.4.4</w:t>
            </w:r>
          </w:p>
        </w:tc>
        <w:tc>
          <w:tcPr>
            <w:tcW w:w="769" w:type="pct"/>
          </w:tcPr>
          <w:p w14:paraId="5CAE11BD" w14:textId="77777777" w:rsidR="008C77B2" w:rsidRDefault="00CD4E3B" w:rsidP="001D23A4">
            <w:pPr>
              <w:spacing w:before="40" w:after="40"/>
              <w:jc w:val="center"/>
              <w:rPr>
                <w:rFonts w:cstheme="minorHAnsi"/>
                <w:sz w:val="20"/>
              </w:rPr>
            </w:pPr>
            <w:r>
              <w:rPr>
                <w:rFonts w:cstheme="minorHAnsi"/>
                <w:sz w:val="20"/>
              </w:rPr>
              <w:t>Relative side-lobe level (dB)</w:t>
            </w:r>
          </w:p>
        </w:tc>
        <w:tc>
          <w:tcPr>
            <w:tcW w:w="495" w:type="pct"/>
          </w:tcPr>
          <w:p w14:paraId="5CAE11BE" w14:textId="77777777" w:rsidR="008C77B2" w:rsidRDefault="008C77B2" w:rsidP="001D23A4">
            <w:pPr>
              <w:spacing w:before="40" w:after="40"/>
              <w:jc w:val="center"/>
              <w:rPr>
                <w:rFonts w:cstheme="minorHAnsi"/>
                <w:sz w:val="20"/>
              </w:rPr>
            </w:pPr>
          </w:p>
        </w:tc>
        <w:tc>
          <w:tcPr>
            <w:tcW w:w="527" w:type="pct"/>
            <w:gridSpan w:val="2"/>
          </w:tcPr>
          <w:p w14:paraId="5CAE11BF" w14:textId="77777777" w:rsidR="008C77B2" w:rsidRDefault="008C77B2" w:rsidP="001D23A4">
            <w:pPr>
              <w:spacing w:before="40" w:after="40"/>
              <w:jc w:val="center"/>
              <w:rPr>
                <w:rFonts w:cstheme="minorHAnsi"/>
                <w:sz w:val="20"/>
              </w:rPr>
            </w:pPr>
          </w:p>
        </w:tc>
        <w:tc>
          <w:tcPr>
            <w:tcW w:w="469" w:type="pct"/>
          </w:tcPr>
          <w:p w14:paraId="5CAE11C0" w14:textId="77777777" w:rsidR="008C77B2" w:rsidRDefault="008C77B2" w:rsidP="001D23A4">
            <w:pPr>
              <w:spacing w:before="40" w:after="40"/>
              <w:jc w:val="center"/>
              <w:rPr>
                <w:rFonts w:cstheme="minorHAnsi"/>
                <w:sz w:val="20"/>
              </w:rPr>
            </w:pPr>
          </w:p>
        </w:tc>
        <w:tc>
          <w:tcPr>
            <w:tcW w:w="523" w:type="pct"/>
          </w:tcPr>
          <w:p w14:paraId="5CAE11C1" w14:textId="77777777" w:rsidR="008C77B2" w:rsidRDefault="008C77B2" w:rsidP="001D23A4">
            <w:pPr>
              <w:spacing w:before="40" w:after="40"/>
              <w:jc w:val="center"/>
              <w:rPr>
                <w:rFonts w:cstheme="minorHAnsi"/>
                <w:sz w:val="20"/>
              </w:rPr>
            </w:pPr>
          </w:p>
        </w:tc>
        <w:tc>
          <w:tcPr>
            <w:tcW w:w="455" w:type="pct"/>
          </w:tcPr>
          <w:p w14:paraId="5CAE11C2" w14:textId="77777777" w:rsidR="008C77B2" w:rsidRDefault="008C77B2" w:rsidP="001D23A4">
            <w:pPr>
              <w:spacing w:before="40" w:after="40"/>
              <w:jc w:val="center"/>
              <w:rPr>
                <w:rFonts w:cstheme="minorHAnsi"/>
                <w:sz w:val="20"/>
              </w:rPr>
            </w:pPr>
          </w:p>
        </w:tc>
        <w:tc>
          <w:tcPr>
            <w:tcW w:w="496" w:type="pct"/>
          </w:tcPr>
          <w:p w14:paraId="5CAE11C3" w14:textId="77777777" w:rsidR="008C77B2" w:rsidRDefault="008C77B2" w:rsidP="001D23A4">
            <w:pPr>
              <w:spacing w:before="40" w:after="40"/>
              <w:jc w:val="center"/>
              <w:rPr>
                <w:rFonts w:cstheme="minorHAnsi"/>
                <w:sz w:val="20"/>
              </w:rPr>
            </w:pPr>
          </w:p>
        </w:tc>
        <w:tc>
          <w:tcPr>
            <w:tcW w:w="462" w:type="pct"/>
          </w:tcPr>
          <w:p w14:paraId="5CAE11C4" w14:textId="77777777" w:rsidR="008C77B2" w:rsidRDefault="008C77B2" w:rsidP="001D23A4">
            <w:pPr>
              <w:spacing w:before="40" w:after="40"/>
              <w:jc w:val="center"/>
              <w:rPr>
                <w:rFonts w:cstheme="minorHAnsi"/>
                <w:sz w:val="20"/>
              </w:rPr>
            </w:pPr>
          </w:p>
        </w:tc>
        <w:tc>
          <w:tcPr>
            <w:tcW w:w="491" w:type="pct"/>
          </w:tcPr>
          <w:p w14:paraId="5CAE11C5" w14:textId="77777777" w:rsidR="008C77B2" w:rsidRDefault="008C77B2" w:rsidP="001D23A4">
            <w:pPr>
              <w:spacing w:before="40" w:after="40"/>
              <w:jc w:val="center"/>
              <w:rPr>
                <w:rFonts w:cstheme="minorHAnsi"/>
                <w:sz w:val="20"/>
              </w:rPr>
            </w:pPr>
          </w:p>
        </w:tc>
      </w:tr>
      <w:tr w:rsidR="008C77B2" w14:paraId="5CAE11D1" w14:textId="77777777">
        <w:tc>
          <w:tcPr>
            <w:tcW w:w="313" w:type="pct"/>
          </w:tcPr>
          <w:p w14:paraId="5CAE11C7" w14:textId="77777777" w:rsidR="008C77B2" w:rsidRDefault="00CD4E3B" w:rsidP="001D23A4">
            <w:pPr>
              <w:spacing w:before="40" w:after="40"/>
              <w:jc w:val="center"/>
              <w:rPr>
                <w:rFonts w:cstheme="minorHAnsi"/>
                <w:sz w:val="20"/>
              </w:rPr>
            </w:pPr>
            <w:r>
              <w:rPr>
                <w:rFonts w:cstheme="minorHAnsi"/>
                <w:sz w:val="20"/>
              </w:rPr>
              <w:t>5.5</w:t>
            </w:r>
          </w:p>
        </w:tc>
        <w:tc>
          <w:tcPr>
            <w:tcW w:w="769" w:type="pct"/>
          </w:tcPr>
          <w:p w14:paraId="5CAE11C8" w14:textId="77777777" w:rsidR="008C77B2" w:rsidRDefault="00CD4E3B" w:rsidP="001D23A4">
            <w:pPr>
              <w:spacing w:before="40" w:after="40"/>
              <w:jc w:val="center"/>
              <w:rPr>
                <w:rFonts w:cstheme="minorHAnsi"/>
                <w:sz w:val="20"/>
              </w:rPr>
            </w:pPr>
            <w:r>
              <w:rPr>
                <w:rFonts w:cstheme="minorHAnsi"/>
                <w:sz w:val="20"/>
              </w:rPr>
              <w:t xml:space="preserve">Type of Polarization </w:t>
            </w:r>
          </w:p>
        </w:tc>
        <w:tc>
          <w:tcPr>
            <w:tcW w:w="495" w:type="pct"/>
          </w:tcPr>
          <w:p w14:paraId="5CAE11C9" w14:textId="77777777" w:rsidR="008C77B2" w:rsidRDefault="008C77B2" w:rsidP="001D23A4">
            <w:pPr>
              <w:spacing w:before="40" w:after="40"/>
              <w:jc w:val="center"/>
              <w:rPr>
                <w:rFonts w:cstheme="minorHAnsi"/>
                <w:sz w:val="20"/>
              </w:rPr>
            </w:pPr>
          </w:p>
        </w:tc>
        <w:tc>
          <w:tcPr>
            <w:tcW w:w="527" w:type="pct"/>
            <w:gridSpan w:val="2"/>
          </w:tcPr>
          <w:p w14:paraId="5CAE11CA" w14:textId="77777777" w:rsidR="008C77B2" w:rsidRDefault="008C77B2" w:rsidP="001D23A4">
            <w:pPr>
              <w:spacing w:before="40" w:after="40"/>
              <w:jc w:val="center"/>
              <w:rPr>
                <w:rFonts w:cstheme="minorHAnsi"/>
                <w:sz w:val="20"/>
              </w:rPr>
            </w:pPr>
          </w:p>
        </w:tc>
        <w:tc>
          <w:tcPr>
            <w:tcW w:w="469" w:type="pct"/>
          </w:tcPr>
          <w:p w14:paraId="5CAE11CB" w14:textId="77777777" w:rsidR="008C77B2" w:rsidRDefault="008C77B2" w:rsidP="001D23A4">
            <w:pPr>
              <w:spacing w:before="40" w:after="40"/>
              <w:jc w:val="center"/>
              <w:rPr>
                <w:rFonts w:cstheme="minorHAnsi"/>
                <w:sz w:val="20"/>
              </w:rPr>
            </w:pPr>
          </w:p>
        </w:tc>
        <w:tc>
          <w:tcPr>
            <w:tcW w:w="523" w:type="pct"/>
          </w:tcPr>
          <w:p w14:paraId="5CAE11CC" w14:textId="77777777" w:rsidR="008C77B2" w:rsidRDefault="008C77B2" w:rsidP="001D23A4">
            <w:pPr>
              <w:spacing w:before="40" w:after="40"/>
              <w:jc w:val="center"/>
              <w:rPr>
                <w:rFonts w:cstheme="minorHAnsi"/>
                <w:sz w:val="20"/>
              </w:rPr>
            </w:pPr>
          </w:p>
        </w:tc>
        <w:tc>
          <w:tcPr>
            <w:tcW w:w="455" w:type="pct"/>
          </w:tcPr>
          <w:p w14:paraId="5CAE11CD" w14:textId="77777777" w:rsidR="008C77B2" w:rsidRDefault="008C77B2" w:rsidP="001D23A4">
            <w:pPr>
              <w:spacing w:before="40" w:after="40"/>
              <w:jc w:val="center"/>
              <w:rPr>
                <w:rFonts w:cstheme="minorHAnsi"/>
                <w:sz w:val="20"/>
              </w:rPr>
            </w:pPr>
          </w:p>
        </w:tc>
        <w:tc>
          <w:tcPr>
            <w:tcW w:w="496" w:type="pct"/>
          </w:tcPr>
          <w:p w14:paraId="5CAE11CE" w14:textId="77777777" w:rsidR="008C77B2" w:rsidRDefault="008C77B2" w:rsidP="001D23A4">
            <w:pPr>
              <w:spacing w:before="40" w:after="40"/>
              <w:jc w:val="center"/>
              <w:rPr>
                <w:rFonts w:cstheme="minorHAnsi"/>
                <w:sz w:val="20"/>
              </w:rPr>
            </w:pPr>
          </w:p>
        </w:tc>
        <w:tc>
          <w:tcPr>
            <w:tcW w:w="462" w:type="pct"/>
          </w:tcPr>
          <w:p w14:paraId="5CAE11CF" w14:textId="77777777" w:rsidR="008C77B2" w:rsidRDefault="008C77B2" w:rsidP="001D23A4">
            <w:pPr>
              <w:spacing w:before="40" w:after="40"/>
              <w:jc w:val="center"/>
              <w:rPr>
                <w:rFonts w:cstheme="minorHAnsi"/>
                <w:sz w:val="20"/>
              </w:rPr>
            </w:pPr>
          </w:p>
        </w:tc>
        <w:tc>
          <w:tcPr>
            <w:tcW w:w="491" w:type="pct"/>
          </w:tcPr>
          <w:p w14:paraId="5CAE11D0" w14:textId="77777777" w:rsidR="008C77B2" w:rsidRDefault="008C77B2" w:rsidP="001D23A4">
            <w:pPr>
              <w:spacing w:before="40" w:after="40"/>
              <w:jc w:val="center"/>
              <w:rPr>
                <w:rFonts w:cstheme="minorHAnsi"/>
                <w:sz w:val="20"/>
              </w:rPr>
            </w:pPr>
          </w:p>
        </w:tc>
      </w:tr>
      <w:tr w:rsidR="008C77B2" w14:paraId="5CAE11DC" w14:textId="77777777">
        <w:tc>
          <w:tcPr>
            <w:tcW w:w="313" w:type="pct"/>
          </w:tcPr>
          <w:p w14:paraId="5CAE11D2" w14:textId="77777777" w:rsidR="008C77B2" w:rsidRDefault="00CD4E3B" w:rsidP="001D23A4">
            <w:pPr>
              <w:spacing w:before="40" w:after="40"/>
              <w:jc w:val="center"/>
              <w:rPr>
                <w:rFonts w:cstheme="minorHAnsi"/>
                <w:sz w:val="20"/>
              </w:rPr>
            </w:pPr>
            <w:r>
              <w:rPr>
                <w:rFonts w:cstheme="minorHAnsi"/>
                <w:sz w:val="20"/>
              </w:rPr>
              <w:t>5.6</w:t>
            </w:r>
          </w:p>
        </w:tc>
        <w:tc>
          <w:tcPr>
            <w:tcW w:w="769" w:type="pct"/>
          </w:tcPr>
          <w:p w14:paraId="5CAE11D3" w14:textId="77777777" w:rsidR="008C77B2" w:rsidRDefault="00CD4E3B" w:rsidP="001D23A4">
            <w:pPr>
              <w:spacing w:before="40" w:after="40"/>
              <w:jc w:val="center"/>
              <w:rPr>
                <w:rFonts w:cstheme="minorHAnsi"/>
                <w:sz w:val="20"/>
              </w:rPr>
            </w:pPr>
            <w:r>
              <w:rPr>
                <w:rFonts w:cstheme="minorHAnsi"/>
                <w:sz w:val="20"/>
              </w:rPr>
              <w:t>Feeder loss (dB)</w:t>
            </w:r>
          </w:p>
        </w:tc>
        <w:tc>
          <w:tcPr>
            <w:tcW w:w="495" w:type="pct"/>
          </w:tcPr>
          <w:p w14:paraId="5CAE11D4" w14:textId="77777777" w:rsidR="008C77B2" w:rsidRDefault="008C77B2" w:rsidP="001D23A4">
            <w:pPr>
              <w:spacing w:before="40" w:after="40"/>
              <w:jc w:val="center"/>
              <w:rPr>
                <w:rFonts w:cstheme="minorHAnsi"/>
                <w:sz w:val="20"/>
              </w:rPr>
            </w:pPr>
          </w:p>
        </w:tc>
        <w:tc>
          <w:tcPr>
            <w:tcW w:w="527" w:type="pct"/>
            <w:gridSpan w:val="2"/>
          </w:tcPr>
          <w:p w14:paraId="5CAE11D5" w14:textId="77777777" w:rsidR="008C77B2" w:rsidRDefault="008C77B2" w:rsidP="001D23A4">
            <w:pPr>
              <w:spacing w:before="40" w:after="40"/>
              <w:jc w:val="center"/>
              <w:rPr>
                <w:rFonts w:cstheme="minorHAnsi"/>
                <w:sz w:val="20"/>
              </w:rPr>
            </w:pPr>
          </w:p>
        </w:tc>
        <w:tc>
          <w:tcPr>
            <w:tcW w:w="469" w:type="pct"/>
          </w:tcPr>
          <w:p w14:paraId="5CAE11D6" w14:textId="77777777" w:rsidR="008C77B2" w:rsidRDefault="008C77B2" w:rsidP="001D23A4">
            <w:pPr>
              <w:spacing w:before="40" w:after="40"/>
              <w:jc w:val="center"/>
              <w:rPr>
                <w:rFonts w:cstheme="minorHAnsi"/>
                <w:sz w:val="20"/>
              </w:rPr>
            </w:pPr>
          </w:p>
        </w:tc>
        <w:tc>
          <w:tcPr>
            <w:tcW w:w="523" w:type="pct"/>
          </w:tcPr>
          <w:p w14:paraId="5CAE11D7" w14:textId="77777777" w:rsidR="008C77B2" w:rsidRDefault="008C77B2" w:rsidP="001D23A4">
            <w:pPr>
              <w:spacing w:before="40" w:after="40"/>
              <w:jc w:val="center"/>
              <w:rPr>
                <w:rFonts w:cstheme="minorHAnsi"/>
                <w:sz w:val="20"/>
              </w:rPr>
            </w:pPr>
          </w:p>
        </w:tc>
        <w:tc>
          <w:tcPr>
            <w:tcW w:w="455" w:type="pct"/>
          </w:tcPr>
          <w:p w14:paraId="5CAE11D8" w14:textId="77777777" w:rsidR="008C77B2" w:rsidRDefault="008C77B2" w:rsidP="001D23A4">
            <w:pPr>
              <w:spacing w:before="40" w:after="40"/>
              <w:jc w:val="center"/>
              <w:rPr>
                <w:rFonts w:cstheme="minorHAnsi"/>
                <w:sz w:val="20"/>
              </w:rPr>
            </w:pPr>
          </w:p>
        </w:tc>
        <w:tc>
          <w:tcPr>
            <w:tcW w:w="496" w:type="pct"/>
          </w:tcPr>
          <w:p w14:paraId="5CAE11D9" w14:textId="77777777" w:rsidR="008C77B2" w:rsidRDefault="008C77B2" w:rsidP="001D23A4">
            <w:pPr>
              <w:spacing w:before="40" w:after="40"/>
              <w:jc w:val="center"/>
              <w:rPr>
                <w:rFonts w:cstheme="minorHAnsi"/>
                <w:sz w:val="20"/>
              </w:rPr>
            </w:pPr>
          </w:p>
        </w:tc>
        <w:tc>
          <w:tcPr>
            <w:tcW w:w="462" w:type="pct"/>
          </w:tcPr>
          <w:p w14:paraId="5CAE11DA" w14:textId="77777777" w:rsidR="008C77B2" w:rsidRDefault="008C77B2" w:rsidP="001D23A4">
            <w:pPr>
              <w:spacing w:before="40" w:after="40"/>
              <w:jc w:val="center"/>
              <w:rPr>
                <w:rFonts w:cstheme="minorHAnsi"/>
                <w:sz w:val="20"/>
              </w:rPr>
            </w:pPr>
          </w:p>
        </w:tc>
        <w:tc>
          <w:tcPr>
            <w:tcW w:w="491" w:type="pct"/>
          </w:tcPr>
          <w:p w14:paraId="5CAE11DB" w14:textId="77777777" w:rsidR="008C77B2" w:rsidRDefault="008C77B2" w:rsidP="001D23A4">
            <w:pPr>
              <w:spacing w:before="40" w:after="40"/>
              <w:jc w:val="center"/>
              <w:rPr>
                <w:rFonts w:cstheme="minorHAnsi"/>
                <w:sz w:val="20"/>
              </w:rPr>
            </w:pPr>
          </w:p>
        </w:tc>
      </w:tr>
      <w:tr w:rsidR="008C77B2" w14:paraId="5CAE11DE" w14:textId="77777777">
        <w:tc>
          <w:tcPr>
            <w:tcW w:w="5000" w:type="pct"/>
            <w:gridSpan w:val="11"/>
          </w:tcPr>
          <w:p w14:paraId="5CAE11DD" w14:textId="77777777" w:rsidR="008C77B2" w:rsidRDefault="008C77B2" w:rsidP="001D23A4">
            <w:pPr>
              <w:spacing w:before="40" w:after="40"/>
              <w:jc w:val="center"/>
              <w:rPr>
                <w:rFonts w:cstheme="minorHAnsi"/>
                <w:sz w:val="20"/>
              </w:rPr>
            </w:pPr>
          </w:p>
        </w:tc>
      </w:tr>
      <w:tr w:rsidR="008C77B2" w14:paraId="5CAE11E9" w14:textId="77777777">
        <w:tc>
          <w:tcPr>
            <w:tcW w:w="313" w:type="pct"/>
          </w:tcPr>
          <w:p w14:paraId="5CAE11DF" w14:textId="77777777" w:rsidR="008C77B2" w:rsidRDefault="00CD4E3B" w:rsidP="001D23A4">
            <w:pPr>
              <w:spacing w:before="40" w:after="40"/>
              <w:jc w:val="center"/>
              <w:rPr>
                <w:rFonts w:cstheme="minorHAnsi"/>
                <w:sz w:val="20"/>
              </w:rPr>
            </w:pPr>
            <w:r>
              <w:rPr>
                <w:rFonts w:cstheme="minorHAnsi"/>
                <w:sz w:val="20"/>
              </w:rPr>
              <w:t>6</w:t>
            </w:r>
          </w:p>
        </w:tc>
        <w:tc>
          <w:tcPr>
            <w:tcW w:w="769" w:type="pct"/>
          </w:tcPr>
          <w:p w14:paraId="5CAE11E0" w14:textId="77777777" w:rsidR="008C77B2" w:rsidRDefault="00CD4E3B" w:rsidP="001D23A4">
            <w:pPr>
              <w:spacing w:before="40" w:after="40"/>
              <w:jc w:val="center"/>
              <w:rPr>
                <w:rFonts w:cstheme="minorHAnsi"/>
                <w:b/>
                <w:sz w:val="20"/>
              </w:rPr>
            </w:pPr>
            <w:r>
              <w:rPr>
                <w:rFonts w:cstheme="minorHAnsi"/>
                <w:b/>
                <w:sz w:val="20"/>
              </w:rPr>
              <w:t>Operational factors</w:t>
            </w:r>
          </w:p>
        </w:tc>
        <w:tc>
          <w:tcPr>
            <w:tcW w:w="495" w:type="pct"/>
          </w:tcPr>
          <w:p w14:paraId="5CAE11E1" w14:textId="77777777" w:rsidR="008C77B2" w:rsidRDefault="008C77B2" w:rsidP="001D23A4">
            <w:pPr>
              <w:spacing w:before="40" w:after="40"/>
              <w:jc w:val="center"/>
              <w:rPr>
                <w:rFonts w:cstheme="minorHAnsi"/>
                <w:sz w:val="20"/>
              </w:rPr>
            </w:pPr>
          </w:p>
        </w:tc>
        <w:tc>
          <w:tcPr>
            <w:tcW w:w="527" w:type="pct"/>
            <w:gridSpan w:val="2"/>
          </w:tcPr>
          <w:p w14:paraId="5CAE11E2" w14:textId="77777777" w:rsidR="008C77B2" w:rsidRDefault="008C77B2" w:rsidP="001D23A4">
            <w:pPr>
              <w:spacing w:before="40" w:after="40"/>
              <w:jc w:val="center"/>
              <w:rPr>
                <w:rFonts w:cstheme="minorHAnsi"/>
                <w:sz w:val="20"/>
              </w:rPr>
            </w:pPr>
          </w:p>
        </w:tc>
        <w:tc>
          <w:tcPr>
            <w:tcW w:w="469" w:type="pct"/>
          </w:tcPr>
          <w:p w14:paraId="5CAE11E3" w14:textId="77777777" w:rsidR="008C77B2" w:rsidRDefault="008C77B2" w:rsidP="001D23A4">
            <w:pPr>
              <w:spacing w:before="40" w:after="40"/>
              <w:jc w:val="center"/>
              <w:rPr>
                <w:rFonts w:cstheme="minorHAnsi"/>
                <w:sz w:val="20"/>
              </w:rPr>
            </w:pPr>
          </w:p>
        </w:tc>
        <w:tc>
          <w:tcPr>
            <w:tcW w:w="523" w:type="pct"/>
          </w:tcPr>
          <w:p w14:paraId="5CAE11E4" w14:textId="77777777" w:rsidR="008C77B2" w:rsidRDefault="008C77B2" w:rsidP="001D23A4">
            <w:pPr>
              <w:spacing w:before="40" w:after="40"/>
              <w:jc w:val="center"/>
              <w:rPr>
                <w:rFonts w:cstheme="minorHAnsi"/>
                <w:sz w:val="20"/>
              </w:rPr>
            </w:pPr>
          </w:p>
        </w:tc>
        <w:tc>
          <w:tcPr>
            <w:tcW w:w="455" w:type="pct"/>
          </w:tcPr>
          <w:p w14:paraId="5CAE11E5" w14:textId="77777777" w:rsidR="008C77B2" w:rsidRDefault="008C77B2" w:rsidP="001D23A4">
            <w:pPr>
              <w:spacing w:before="40" w:after="40"/>
              <w:jc w:val="center"/>
              <w:rPr>
                <w:rFonts w:cstheme="minorHAnsi"/>
                <w:sz w:val="20"/>
              </w:rPr>
            </w:pPr>
          </w:p>
        </w:tc>
        <w:tc>
          <w:tcPr>
            <w:tcW w:w="496" w:type="pct"/>
          </w:tcPr>
          <w:p w14:paraId="5CAE11E6" w14:textId="77777777" w:rsidR="008C77B2" w:rsidRDefault="008C77B2" w:rsidP="001D23A4">
            <w:pPr>
              <w:spacing w:before="40" w:after="40"/>
              <w:jc w:val="center"/>
              <w:rPr>
                <w:rFonts w:cstheme="minorHAnsi"/>
                <w:sz w:val="20"/>
              </w:rPr>
            </w:pPr>
          </w:p>
        </w:tc>
        <w:tc>
          <w:tcPr>
            <w:tcW w:w="462" w:type="pct"/>
          </w:tcPr>
          <w:p w14:paraId="5CAE11E7" w14:textId="77777777" w:rsidR="008C77B2" w:rsidRDefault="008C77B2" w:rsidP="001D23A4">
            <w:pPr>
              <w:spacing w:before="40" w:after="40"/>
              <w:jc w:val="center"/>
              <w:rPr>
                <w:rFonts w:cstheme="minorHAnsi"/>
                <w:sz w:val="20"/>
              </w:rPr>
            </w:pPr>
          </w:p>
        </w:tc>
        <w:tc>
          <w:tcPr>
            <w:tcW w:w="491" w:type="pct"/>
          </w:tcPr>
          <w:p w14:paraId="5CAE11E8" w14:textId="77777777" w:rsidR="008C77B2" w:rsidRDefault="008C77B2" w:rsidP="001D23A4">
            <w:pPr>
              <w:spacing w:before="40" w:after="40"/>
              <w:jc w:val="center"/>
              <w:rPr>
                <w:rFonts w:cstheme="minorHAnsi"/>
                <w:sz w:val="20"/>
              </w:rPr>
            </w:pPr>
          </w:p>
        </w:tc>
      </w:tr>
      <w:tr w:rsidR="008C77B2" w14:paraId="5CAE11F4" w14:textId="77777777">
        <w:tc>
          <w:tcPr>
            <w:tcW w:w="313" w:type="pct"/>
          </w:tcPr>
          <w:p w14:paraId="5CAE11EA" w14:textId="77777777" w:rsidR="008C77B2" w:rsidRDefault="00CD4E3B" w:rsidP="001D23A4">
            <w:pPr>
              <w:spacing w:before="40" w:after="40"/>
              <w:jc w:val="center"/>
              <w:rPr>
                <w:rFonts w:cstheme="minorHAnsi"/>
                <w:sz w:val="20"/>
              </w:rPr>
            </w:pPr>
            <w:r>
              <w:rPr>
                <w:rFonts w:cstheme="minorHAnsi"/>
                <w:sz w:val="20"/>
              </w:rPr>
              <w:t>6.1</w:t>
            </w:r>
          </w:p>
        </w:tc>
        <w:tc>
          <w:tcPr>
            <w:tcW w:w="769" w:type="pct"/>
          </w:tcPr>
          <w:p w14:paraId="5CAE11EB" w14:textId="77777777" w:rsidR="008C77B2" w:rsidRDefault="00CD4E3B" w:rsidP="001D23A4">
            <w:pPr>
              <w:spacing w:before="40" w:after="40"/>
              <w:jc w:val="center"/>
              <w:rPr>
                <w:rFonts w:cstheme="minorHAnsi"/>
                <w:sz w:val="20"/>
              </w:rPr>
            </w:pPr>
            <w:r>
              <w:rPr>
                <w:rFonts w:cstheme="minorHAnsi"/>
                <w:sz w:val="20"/>
              </w:rPr>
              <w:t>Frequency reuse factor</w:t>
            </w:r>
          </w:p>
        </w:tc>
        <w:tc>
          <w:tcPr>
            <w:tcW w:w="495" w:type="pct"/>
          </w:tcPr>
          <w:p w14:paraId="5CAE11EC" w14:textId="77777777" w:rsidR="008C77B2" w:rsidRDefault="008C77B2" w:rsidP="001D23A4">
            <w:pPr>
              <w:spacing w:before="40" w:after="40"/>
              <w:jc w:val="center"/>
              <w:rPr>
                <w:rFonts w:cstheme="minorHAnsi"/>
                <w:sz w:val="20"/>
              </w:rPr>
            </w:pPr>
          </w:p>
        </w:tc>
        <w:tc>
          <w:tcPr>
            <w:tcW w:w="527" w:type="pct"/>
            <w:gridSpan w:val="2"/>
          </w:tcPr>
          <w:p w14:paraId="5CAE11ED" w14:textId="77777777" w:rsidR="008C77B2" w:rsidRDefault="008C77B2" w:rsidP="001D23A4">
            <w:pPr>
              <w:spacing w:before="40" w:after="40"/>
              <w:jc w:val="center"/>
              <w:rPr>
                <w:rFonts w:cstheme="minorHAnsi"/>
                <w:sz w:val="20"/>
              </w:rPr>
            </w:pPr>
          </w:p>
        </w:tc>
        <w:tc>
          <w:tcPr>
            <w:tcW w:w="469" w:type="pct"/>
          </w:tcPr>
          <w:p w14:paraId="5CAE11EE" w14:textId="77777777" w:rsidR="008C77B2" w:rsidRDefault="008C77B2" w:rsidP="001D23A4">
            <w:pPr>
              <w:spacing w:before="40" w:after="40"/>
              <w:jc w:val="center"/>
              <w:rPr>
                <w:rFonts w:cstheme="minorHAnsi"/>
                <w:sz w:val="20"/>
              </w:rPr>
            </w:pPr>
          </w:p>
        </w:tc>
        <w:tc>
          <w:tcPr>
            <w:tcW w:w="523" w:type="pct"/>
          </w:tcPr>
          <w:p w14:paraId="5CAE11EF" w14:textId="77777777" w:rsidR="008C77B2" w:rsidRDefault="008C77B2" w:rsidP="001D23A4">
            <w:pPr>
              <w:spacing w:before="40" w:after="40"/>
              <w:jc w:val="center"/>
              <w:rPr>
                <w:rFonts w:cstheme="minorHAnsi"/>
                <w:sz w:val="20"/>
              </w:rPr>
            </w:pPr>
          </w:p>
        </w:tc>
        <w:tc>
          <w:tcPr>
            <w:tcW w:w="455" w:type="pct"/>
          </w:tcPr>
          <w:p w14:paraId="5CAE11F0" w14:textId="77777777" w:rsidR="008C77B2" w:rsidRDefault="008C77B2" w:rsidP="001D23A4">
            <w:pPr>
              <w:spacing w:before="40" w:after="40"/>
              <w:jc w:val="center"/>
              <w:rPr>
                <w:rFonts w:cstheme="minorHAnsi"/>
                <w:sz w:val="20"/>
              </w:rPr>
            </w:pPr>
          </w:p>
        </w:tc>
        <w:tc>
          <w:tcPr>
            <w:tcW w:w="496" w:type="pct"/>
          </w:tcPr>
          <w:p w14:paraId="5CAE11F1" w14:textId="77777777" w:rsidR="008C77B2" w:rsidRDefault="008C77B2" w:rsidP="001D23A4">
            <w:pPr>
              <w:spacing w:before="40" w:after="40"/>
              <w:jc w:val="center"/>
              <w:rPr>
                <w:rFonts w:cstheme="minorHAnsi"/>
                <w:sz w:val="20"/>
              </w:rPr>
            </w:pPr>
          </w:p>
        </w:tc>
        <w:tc>
          <w:tcPr>
            <w:tcW w:w="462" w:type="pct"/>
          </w:tcPr>
          <w:p w14:paraId="5CAE11F2" w14:textId="77777777" w:rsidR="008C77B2" w:rsidRDefault="008C77B2" w:rsidP="001D23A4">
            <w:pPr>
              <w:spacing w:before="40" w:after="40"/>
              <w:jc w:val="center"/>
              <w:rPr>
                <w:rFonts w:cstheme="minorHAnsi"/>
                <w:sz w:val="20"/>
              </w:rPr>
            </w:pPr>
          </w:p>
        </w:tc>
        <w:tc>
          <w:tcPr>
            <w:tcW w:w="491" w:type="pct"/>
          </w:tcPr>
          <w:p w14:paraId="5CAE11F3" w14:textId="77777777" w:rsidR="008C77B2" w:rsidRDefault="008C77B2" w:rsidP="001D23A4">
            <w:pPr>
              <w:spacing w:before="40" w:after="40"/>
              <w:jc w:val="center"/>
              <w:rPr>
                <w:rFonts w:cstheme="minorHAnsi"/>
                <w:sz w:val="20"/>
              </w:rPr>
            </w:pPr>
          </w:p>
        </w:tc>
      </w:tr>
      <w:tr w:rsidR="008C77B2" w14:paraId="5CAE11FE" w14:textId="77777777">
        <w:tc>
          <w:tcPr>
            <w:tcW w:w="313" w:type="pct"/>
          </w:tcPr>
          <w:p w14:paraId="5CAE11F5" w14:textId="77777777" w:rsidR="008C77B2" w:rsidRDefault="00CD4E3B" w:rsidP="001D23A4">
            <w:pPr>
              <w:spacing w:before="40" w:after="40"/>
              <w:jc w:val="center"/>
              <w:rPr>
                <w:rFonts w:cstheme="minorHAnsi"/>
                <w:sz w:val="20"/>
              </w:rPr>
            </w:pPr>
            <w:r>
              <w:rPr>
                <w:rFonts w:cstheme="minorHAnsi"/>
                <w:sz w:val="20"/>
              </w:rPr>
              <w:t>6.2</w:t>
            </w:r>
          </w:p>
        </w:tc>
        <w:tc>
          <w:tcPr>
            <w:tcW w:w="769" w:type="pct"/>
          </w:tcPr>
          <w:p w14:paraId="5CAE11F6" w14:textId="77777777" w:rsidR="008C77B2" w:rsidRDefault="00CD4E3B" w:rsidP="001D23A4">
            <w:pPr>
              <w:spacing w:before="40" w:after="40"/>
              <w:jc w:val="center"/>
              <w:rPr>
                <w:rFonts w:cstheme="minorHAnsi"/>
                <w:sz w:val="20"/>
              </w:rPr>
            </w:pPr>
            <w:r>
              <w:rPr>
                <w:rFonts w:cstheme="minorHAnsi"/>
                <w:sz w:val="20"/>
              </w:rPr>
              <w:t>Equipment density (number.km²)</w:t>
            </w:r>
          </w:p>
        </w:tc>
        <w:tc>
          <w:tcPr>
            <w:tcW w:w="1022" w:type="pct"/>
            <w:gridSpan w:val="3"/>
          </w:tcPr>
          <w:p w14:paraId="5CAE11F7" w14:textId="77777777" w:rsidR="008C77B2" w:rsidRDefault="008C77B2" w:rsidP="001D23A4">
            <w:pPr>
              <w:spacing w:before="40" w:after="40"/>
              <w:rPr>
                <w:rFonts w:cstheme="minorHAnsi"/>
                <w:sz w:val="20"/>
              </w:rPr>
            </w:pPr>
          </w:p>
        </w:tc>
        <w:tc>
          <w:tcPr>
            <w:tcW w:w="469" w:type="pct"/>
          </w:tcPr>
          <w:p w14:paraId="5CAE11F8" w14:textId="77777777" w:rsidR="008C77B2" w:rsidRDefault="008C77B2" w:rsidP="001D23A4">
            <w:pPr>
              <w:spacing w:before="40" w:after="40"/>
              <w:jc w:val="center"/>
              <w:rPr>
                <w:rFonts w:cstheme="minorHAnsi"/>
                <w:sz w:val="20"/>
              </w:rPr>
            </w:pPr>
          </w:p>
        </w:tc>
        <w:tc>
          <w:tcPr>
            <w:tcW w:w="523" w:type="pct"/>
          </w:tcPr>
          <w:p w14:paraId="5CAE11F9" w14:textId="77777777" w:rsidR="008C77B2" w:rsidRDefault="008C77B2" w:rsidP="001D23A4">
            <w:pPr>
              <w:spacing w:before="40" w:after="40"/>
              <w:jc w:val="center"/>
              <w:rPr>
                <w:rFonts w:cstheme="minorHAnsi"/>
                <w:sz w:val="20"/>
              </w:rPr>
            </w:pPr>
          </w:p>
        </w:tc>
        <w:tc>
          <w:tcPr>
            <w:tcW w:w="455" w:type="pct"/>
          </w:tcPr>
          <w:p w14:paraId="5CAE11FA" w14:textId="77777777" w:rsidR="008C77B2" w:rsidRDefault="008C77B2" w:rsidP="001D23A4">
            <w:pPr>
              <w:spacing w:before="40" w:after="40"/>
              <w:jc w:val="center"/>
              <w:rPr>
                <w:rFonts w:cstheme="minorHAnsi"/>
                <w:sz w:val="20"/>
              </w:rPr>
            </w:pPr>
          </w:p>
        </w:tc>
        <w:tc>
          <w:tcPr>
            <w:tcW w:w="496" w:type="pct"/>
          </w:tcPr>
          <w:p w14:paraId="5CAE11FB" w14:textId="77777777" w:rsidR="008C77B2" w:rsidRDefault="008C77B2" w:rsidP="001D23A4">
            <w:pPr>
              <w:spacing w:before="40" w:after="40"/>
              <w:jc w:val="center"/>
              <w:rPr>
                <w:rFonts w:cstheme="minorHAnsi"/>
                <w:sz w:val="20"/>
              </w:rPr>
            </w:pPr>
          </w:p>
        </w:tc>
        <w:tc>
          <w:tcPr>
            <w:tcW w:w="462" w:type="pct"/>
          </w:tcPr>
          <w:p w14:paraId="5CAE11FC" w14:textId="77777777" w:rsidR="008C77B2" w:rsidRDefault="008C77B2" w:rsidP="001D23A4">
            <w:pPr>
              <w:spacing w:before="40" w:after="40"/>
              <w:jc w:val="center"/>
              <w:rPr>
                <w:rFonts w:cstheme="minorHAnsi"/>
                <w:sz w:val="20"/>
              </w:rPr>
            </w:pPr>
          </w:p>
        </w:tc>
        <w:tc>
          <w:tcPr>
            <w:tcW w:w="491" w:type="pct"/>
          </w:tcPr>
          <w:p w14:paraId="5CAE11FD" w14:textId="77777777" w:rsidR="008C77B2" w:rsidRDefault="008C77B2" w:rsidP="001D23A4">
            <w:pPr>
              <w:spacing w:before="40" w:after="40"/>
              <w:jc w:val="center"/>
              <w:rPr>
                <w:rFonts w:cstheme="minorHAnsi"/>
                <w:sz w:val="20"/>
              </w:rPr>
            </w:pPr>
          </w:p>
        </w:tc>
      </w:tr>
      <w:tr w:rsidR="008C77B2" w14:paraId="5CAE1209" w14:textId="77777777">
        <w:tc>
          <w:tcPr>
            <w:tcW w:w="313" w:type="pct"/>
          </w:tcPr>
          <w:p w14:paraId="5CAE11FF" w14:textId="77777777" w:rsidR="008C77B2" w:rsidRDefault="00CD4E3B" w:rsidP="001D23A4">
            <w:pPr>
              <w:spacing w:before="40" w:after="40"/>
              <w:jc w:val="center"/>
              <w:rPr>
                <w:rFonts w:cstheme="minorHAnsi"/>
                <w:sz w:val="20"/>
              </w:rPr>
            </w:pPr>
            <w:r>
              <w:rPr>
                <w:rFonts w:cstheme="minorHAnsi"/>
                <w:sz w:val="20"/>
              </w:rPr>
              <w:t>6.3</w:t>
            </w:r>
          </w:p>
        </w:tc>
        <w:tc>
          <w:tcPr>
            <w:tcW w:w="769" w:type="pct"/>
          </w:tcPr>
          <w:p w14:paraId="5CAE1200" w14:textId="77777777" w:rsidR="008C77B2" w:rsidRDefault="00CD4E3B" w:rsidP="001D23A4">
            <w:pPr>
              <w:spacing w:before="40" w:after="40"/>
              <w:jc w:val="center"/>
              <w:rPr>
                <w:rFonts w:cstheme="minorHAnsi"/>
                <w:sz w:val="20"/>
              </w:rPr>
            </w:pPr>
            <w:r>
              <w:rPr>
                <w:rFonts w:cstheme="minorHAnsi"/>
                <w:sz w:val="20"/>
              </w:rPr>
              <w:t xml:space="preserve">Equipment density (number/km²) operating </w:t>
            </w:r>
            <w:r>
              <w:rPr>
                <w:rFonts w:cstheme="minorHAnsi"/>
                <w:sz w:val="20"/>
              </w:rPr>
              <w:br/>
              <w:t xml:space="preserve">co-frequency </w:t>
            </w:r>
          </w:p>
        </w:tc>
        <w:tc>
          <w:tcPr>
            <w:tcW w:w="495" w:type="pct"/>
          </w:tcPr>
          <w:p w14:paraId="5CAE1201" w14:textId="77777777" w:rsidR="008C77B2" w:rsidRDefault="008C77B2" w:rsidP="001D23A4">
            <w:pPr>
              <w:spacing w:before="40" w:after="40"/>
              <w:jc w:val="center"/>
              <w:rPr>
                <w:rFonts w:cstheme="minorHAnsi"/>
                <w:sz w:val="20"/>
              </w:rPr>
            </w:pPr>
          </w:p>
        </w:tc>
        <w:tc>
          <w:tcPr>
            <w:tcW w:w="527" w:type="pct"/>
            <w:gridSpan w:val="2"/>
          </w:tcPr>
          <w:p w14:paraId="5CAE1202" w14:textId="77777777" w:rsidR="008C77B2" w:rsidRDefault="008C77B2" w:rsidP="001D23A4">
            <w:pPr>
              <w:spacing w:before="40" w:after="40"/>
              <w:jc w:val="center"/>
              <w:rPr>
                <w:rFonts w:cstheme="minorHAnsi"/>
                <w:sz w:val="20"/>
              </w:rPr>
            </w:pPr>
          </w:p>
        </w:tc>
        <w:tc>
          <w:tcPr>
            <w:tcW w:w="469" w:type="pct"/>
          </w:tcPr>
          <w:p w14:paraId="5CAE1203" w14:textId="77777777" w:rsidR="008C77B2" w:rsidRDefault="008C77B2" w:rsidP="001D23A4">
            <w:pPr>
              <w:spacing w:before="40" w:after="40"/>
              <w:jc w:val="center"/>
              <w:rPr>
                <w:rFonts w:cstheme="minorHAnsi"/>
                <w:sz w:val="20"/>
              </w:rPr>
            </w:pPr>
          </w:p>
        </w:tc>
        <w:tc>
          <w:tcPr>
            <w:tcW w:w="523" w:type="pct"/>
          </w:tcPr>
          <w:p w14:paraId="5CAE1204" w14:textId="77777777" w:rsidR="008C77B2" w:rsidRDefault="008C77B2" w:rsidP="001D23A4">
            <w:pPr>
              <w:spacing w:before="40" w:after="40"/>
              <w:jc w:val="center"/>
              <w:rPr>
                <w:rFonts w:cstheme="minorHAnsi"/>
                <w:sz w:val="20"/>
              </w:rPr>
            </w:pPr>
          </w:p>
        </w:tc>
        <w:tc>
          <w:tcPr>
            <w:tcW w:w="455" w:type="pct"/>
          </w:tcPr>
          <w:p w14:paraId="5CAE1205" w14:textId="77777777" w:rsidR="008C77B2" w:rsidRDefault="008C77B2" w:rsidP="001D23A4">
            <w:pPr>
              <w:spacing w:before="40" w:after="40"/>
              <w:jc w:val="center"/>
              <w:rPr>
                <w:rFonts w:cstheme="minorHAnsi"/>
                <w:sz w:val="20"/>
              </w:rPr>
            </w:pPr>
          </w:p>
        </w:tc>
        <w:tc>
          <w:tcPr>
            <w:tcW w:w="496" w:type="pct"/>
          </w:tcPr>
          <w:p w14:paraId="5CAE1206" w14:textId="77777777" w:rsidR="008C77B2" w:rsidRDefault="008C77B2" w:rsidP="001D23A4">
            <w:pPr>
              <w:spacing w:before="40" w:after="40"/>
              <w:jc w:val="center"/>
              <w:rPr>
                <w:rFonts w:cstheme="minorHAnsi"/>
                <w:sz w:val="20"/>
              </w:rPr>
            </w:pPr>
          </w:p>
        </w:tc>
        <w:tc>
          <w:tcPr>
            <w:tcW w:w="462" w:type="pct"/>
          </w:tcPr>
          <w:p w14:paraId="5CAE1207" w14:textId="77777777" w:rsidR="008C77B2" w:rsidRDefault="008C77B2" w:rsidP="001D23A4">
            <w:pPr>
              <w:spacing w:before="40" w:after="40"/>
              <w:jc w:val="center"/>
              <w:rPr>
                <w:rFonts w:cstheme="minorHAnsi"/>
                <w:sz w:val="20"/>
              </w:rPr>
            </w:pPr>
          </w:p>
        </w:tc>
        <w:tc>
          <w:tcPr>
            <w:tcW w:w="491" w:type="pct"/>
          </w:tcPr>
          <w:p w14:paraId="5CAE1208" w14:textId="77777777" w:rsidR="008C77B2" w:rsidRDefault="008C77B2" w:rsidP="001D23A4">
            <w:pPr>
              <w:spacing w:before="40" w:after="40"/>
              <w:jc w:val="center"/>
              <w:rPr>
                <w:rFonts w:cstheme="minorHAnsi"/>
                <w:sz w:val="20"/>
              </w:rPr>
            </w:pPr>
          </w:p>
        </w:tc>
      </w:tr>
      <w:tr w:rsidR="008C77B2" w14:paraId="5CAE1213" w14:textId="77777777">
        <w:tc>
          <w:tcPr>
            <w:tcW w:w="313" w:type="pct"/>
          </w:tcPr>
          <w:p w14:paraId="5CAE120A" w14:textId="77777777" w:rsidR="008C77B2" w:rsidRDefault="00CD4E3B" w:rsidP="001D23A4">
            <w:pPr>
              <w:spacing w:before="40" w:after="40"/>
              <w:jc w:val="center"/>
              <w:rPr>
                <w:rFonts w:cstheme="minorHAnsi"/>
                <w:sz w:val="20"/>
              </w:rPr>
            </w:pPr>
            <w:r>
              <w:rPr>
                <w:rFonts w:cstheme="minorHAnsi"/>
                <w:sz w:val="20"/>
              </w:rPr>
              <w:t>6.4</w:t>
            </w:r>
          </w:p>
        </w:tc>
        <w:tc>
          <w:tcPr>
            <w:tcW w:w="769" w:type="pct"/>
          </w:tcPr>
          <w:p w14:paraId="5CAE120B" w14:textId="77777777" w:rsidR="008C77B2" w:rsidRDefault="00CD4E3B" w:rsidP="001D23A4">
            <w:pPr>
              <w:spacing w:before="40" w:after="40"/>
              <w:jc w:val="center"/>
              <w:rPr>
                <w:rFonts w:cstheme="minorHAnsi"/>
                <w:sz w:val="20"/>
              </w:rPr>
            </w:pPr>
            <w:r>
              <w:rPr>
                <w:rFonts w:cstheme="minorHAnsi"/>
                <w:sz w:val="20"/>
              </w:rPr>
              <w:t>Capacity criteria</w:t>
            </w:r>
          </w:p>
        </w:tc>
        <w:tc>
          <w:tcPr>
            <w:tcW w:w="1022" w:type="pct"/>
            <w:gridSpan w:val="3"/>
          </w:tcPr>
          <w:p w14:paraId="5CAE120C" w14:textId="77777777" w:rsidR="008C77B2" w:rsidRDefault="008C77B2" w:rsidP="001D23A4">
            <w:pPr>
              <w:spacing w:before="40" w:after="40"/>
              <w:rPr>
                <w:rFonts w:cstheme="minorHAnsi"/>
                <w:sz w:val="20"/>
              </w:rPr>
            </w:pPr>
          </w:p>
        </w:tc>
        <w:tc>
          <w:tcPr>
            <w:tcW w:w="469" w:type="pct"/>
          </w:tcPr>
          <w:p w14:paraId="5CAE120D" w14:textId="77777777" w:rsidR="008C77B2" w:rsidRDefault="008C77B2" w:rsidP="001D23A4">
            <w:pPr>
              <w:spacing w:before="40" w:after="40"/>
              <w:jc w:val="center"/>
              <w:rPr>
                <w:rFonts w:cstheme="minorHAnsi"/>
                <w:sz w:val="20"/>
              </w:rPr>
            </w:pPr>
          </w:p>
        </w:tc>
        <w:tc>
          <w:tcPr>
            <w:tcW w:w="523" w:type="pct"/>
          </w:tcPr>
          <w:p w14:paraId="5CAE120E" w14:textId="77777777" w:rsidR="008C77B2" w:rsidRDefault="008C77B2" w:rsidP="001D23A4">
            <w:pPr>
              <w:spacing w:before="40" w:after="40"/>
              <w:jc w:val="center"/>
              <w:rPr>
                <w:rFonts w:cstheme="minorHAnsi"/>
                <w:sz w:val="20"/>
              </w:rPr>
            </w:pPr>
          </w:p>
        </w:tc>
        <w:tc>
          <w:tcPr>
            <w:tcW w:w="455" w:type="pct"/>
          </w:tcPr>
          <w:p w14:paraId="5CAE120F" w14:textId="77777777" w:rsidR="008C77B2" w:rsidRDefault="008C77B2" w:rsidP="001D23A4">
            <w:pPr>
              <w:spacing w:before="40" w:after="40"/>
              <w:jc w:val="center"/>
              <w:rPr>
                <w:rFonts w:cstheme="minorHAnsi"/>
                <w:sz w:val="20"/>
              </w:rPr>
            </w:pPr>
          </w:p>
        </w:tc>
        <w:tc>
          <w:tcPr>
            <w:tcW w:w="496" w:type="pct"/>
          </w:tcPr>
          <w:p w14:paraId="5CAE1210" w14:textId="77777777" w:rsidR="008C77B2" w:rsidRDefault="008C77B2" w:rsidP="001D23A4">
            <w:pPr>
              <w:spacing w:before="40" w:after="40"/>
              <w:jc w:val="center"/>
              <w:rPr>
                <w:rFonts w:cstheme="minorHAnsi"/>
                <w:sz w:val="20"/>
              </w:rPr>
            </w:pPr>
          </w:p>
        </w:tc>
        <w:tc>
          <w:tcPr>
            <w:tcW w:w="462" w:type="pct"/>
          </w:tcPr>
          <w:p w14:paraId="5CAE1211" w14:textId="77777777" w:rsidR="008C77B2" w:rsidRDefault="008C77B2" w:rsidP="001D23A4">
            <w:pPr>
              <w:spacing w:before="40" w:after="40"/>
              <w:jc w:val="center"/>
              <w:rPr>
                <w:rFonts w:cstheme="minorHAnsi"/>
                <w:sz w:val="20"/>
              </w:rPr>
            </w:pPr>
          </w:p>
        </w:tc>
        <w:tc>
          <w:tcPr>
            <w:tcW w:w="491" w:type="pct"/>
          </w:tcPr>
          <w:p w14:paraId="5CAE1212" w14:textId="77777777" w:rsidR="008C77B2" w:rsidRDefault="008C77B2" w:rsidP="001D23A4">
            <w:pPr>
              <w:spacing w:before="40" w:after="40"/>
              <w:jc w:val="center"/>
              <w:rPr>
                <w:rFonts w:cstheme="minorHAnsi"/>
                <w:sz w:val="20"/>
              </w:rPr>
            </w:pPr>
          </w:p>
        </w:tc>
      </w:tr>
      <w:tr w:rsidR="008C77B2" w14:paraId="5CAE121E" w14:textId="77777777">
        <w:tc>
          <w:tcPr>
            <w:tcW w:w="313" w:type="pct"/>
          </w:tcPr>
          <w:p w14:paraId="5CAE1214" w14:textId="77777777" w:rsidR="008C77B2" w:rsidRDefault="00CD4E3B" w:rsidP="001D23A4">
            <w:pPr>
              <w:spacing w:before="40" w:after="40"/>
              <w:jc w:val="center"/>
              <w:rPr>
                <w:rFonts w:cstheme="minorHAnsi"/>
                <w:sz w:val="20"/>
              </w:rPr>
            </w:pPr>
            <w:r>
              <w:rPr>
                <w:rFonts w:cstheme="minorHAnsi"/>
                <w:sz w:val="20"/>
              </w:rPr>
              <w:t>6.5</w:t>
            </w:r>
          </w:p>
        </w:tc>
        <w:tc>
          <w:tcPr>
            <w:tcW w:w="769" w:type="pct"/>
          </w:tcPr>
          <w:p w14:paraId="5CAE1215" w14:textId="77777777" w:rsidR="008C77B2" w:rsidRDefault="00CD4E3B" w:rsidP="001D23A4">
            <w:pPr>
              <w:spacing w:before="40" w:after="40"/>
              <w:jc w:val="center"/>
              <w:rPr>
                <w:rFonts w:cstheme="minorHAnsi"/>
                <w:sz w:val="20"/>
              </w:rPr>
            </w:pPr>
            <w:r>
              <w:rPr>
                <w:rFonts w:cstheme="minorHAnsi"/>
                <w:sz w:val="20"/>
              </w:rPr>
              <w:t>Coverage radius (km)</w:t>
            </w:r>
          </w:p>
        </w:tc>
        <w:tc>
          <w:tcPr>
            <w:tcW w:w="495" w:type="pct"/>
          </w:tcPr>
          <w:p w14:paraId="5CAE1216" w14:textId="77777777" w:rsidR="008C77B2" w:rsidRDefault="008C77B2" w:rsidP="001D23A4">
            <w:pPr>
              <w:spacing w:before="40" w:after="40"/>
              <w:jc w:val="center"/>
              <w:rPr>
                <w:rFonts w:cstheme="minorHAnsi"/>
                <w:sz w:val="20"/>
              </w:rPr>
            </w:pPr>
          </w:p>
        </w:tc>
        <w:tc>
          <w:tcPr>
            <w:tcW w:w="527" w:type="pct"/>
            <w:gridSpan w:val="2"/>
          </w:tcPr>
          <w:p w14:paraId="5CAE1217" w14:textId="77777777" w:rsidR="008C77B2" w:rsidRDefault="008C77B2" w:rsidP="001D23A4">
            <w:pPr>
              <w:spacing w:before="40" w:after="40"/>
              <w:jc w:val="center"/>
              <w:rPr>
                <w:rFonts w:cstheme="minorHAnsi"/>
                <w:sz w:val="20"/>
              </w:rPr>
            </w:pPr>
          </w:p>
        </w:tc>
        <w:tc>
          <w:tcPr>
            <w:tcW w:w="469" w:type="pct"/>
          </w:tcPr>
          <w:p w14:paraId="5CAE1218" w14:textId="77777777" w:rsidR="008C77B2" w:rsidRDefault="008C77B2" w:rsidP="001D23A4">
            <w:pPr>
              <w:spacing w:before="40" w:after="40"/>
              <w:jc w:val="center"/>
              <w:rPr>
                <w:rFonts w:cstheme="minorHAnsi"/>
                <w:sz w:val="20"/>
              </w:rPr>
            </w:pPr>
          </w:p>
        </w:tc>
        <w:tc>
          <w:tcPr>
            <w:tcW w:w="523" w:type="pct"/>
          </w:tcPr>
          <w:p w14:paraId="5CAE1219" w14:textId="77777777" w:rsidR="008C77B2" w:rsidRDefault="008C77B2" w:rsidP="001D23A4">
            <w:pPr>
              <w:spacing w:before="40" w:after="40"/>
              <w:jc w:val="center"/>
              <w:rPr>
                <w:rFonts w:cstheme="minorHAnsi"/>
                <w:sz w:val="20"/>
              </w:rPr>
            </w:pPr>
          </w:p>
        </w:tc>
        <w:tc>
          <w:tcPr>
            <w:tcW w:w="455" w:type="pct"/>
          </w:tcPr>
          <w:p w14:paraId="5CAE121A" w14:textId="77777777" w:rsidR="008C77B2" w:rsidRDefault="008C77B2" w:rsidP="001D23A4">
            <w:pPr>
              <w:spacing w:before="40" w:after="40"/>
              <w:jc w:val="center"/>
              <w:rPr>
                <w:rFonts w:cstheme="minorHAnsi"/>
                <w:sz w:val="20"/>
              </w:rPr>
            </w:pPr>
          </w:p>
        </w:tc>
        <w:tc>
          <w:tcPr>
            <w:tcW w:w="496" w:type="pct"/>
          </w:tcPr>
          <w:p w14:paraId="5CAE121B" w14:textId="77777777" w:rsidR="008C77B2" w:rsidRDefault="008C77B2" w:rsidP="001D23A4">
            <w:pPr>
              <w:spacing w:before="40" w:after="40"/>
              <w:jc w:val="center"/>
              <w:rPr>
                <w:rFonts w:cstheme="minorHAnsi"/>
                <w:sz w:val="20"/>
              </w:rPr>
            </w:pPr>
          </w:p>
        </w:tc>
        <w:tc>
          <w:tcPr>
            <w:tcW w:w="462" w:type="pct"/>
          </w:tcPr>
          <w:p w14:paraId="5CAE121C" w14:textId="77777777" w:rsidR="008C77B2" w:rsidRDefault="008C77B2" w:rsidP="001D23A4">
            <w:pPr>
              <w:spacing w:before="40" w:after="40"/>
              <w:jc w:val="center"/>
              <w:rPr>
                <w:rFonts w:cstheme="minorHAnsi"/>
                <w:sz w:val="20"/>
              </w:rPr>
            </w:pPr>
          </w:p>
        </w:tc>
        <w:tc>
          <w:tcPr>
            <w:tcW w:w="491" w:type="pct"/>
          </w:tcPr>
          <w:p w14:paraId="5CAE121D" w14:textId="77777777" w:rsidR="008C77B2" w:rsidRDefault="008C77B2" w:rsidP="001D23A4">
            <w:pPr>
              <w:spacing w:before="40" w:after="40"/>
              <w:jc w:val="center"/>
              <w:rPr>
                <w:rFonts w:cstheme="minorHAnsi"/>
                <w:sz w:val="20"/>
              </w:rPr>
            </w:pPr>
          </w:p>
        </w:tc>
      </w:tr>
    </w:tbl>
    <w:p w14:paraId="5CAE121F" w14:textId="77777777" w:rsidR="008C77B2" w:rsidRDefault="008C77B2">
      <w:pPr>
        <w:rPr>
          <w:rFonts w:cstheme="minorHAnsi"/>
        </w:rPr>
      </w:pPr>
    </w:p>
    <w:p w14:paraId="5CAE1221" w14:textId="77777777" w:rsidR="008C77B2" w:rsidRDefault="008C77B2">
      <w:pPr>
        <w:rPr>
          <w:rFonts w:cstheme="minorHAnsi"/>
        </w:rPr>
      </w:pPr>
    </w:p>
    <w:p w14:paraId="5CAE1222" w14:textId="77777777" w:rsidR="008C77B2" w:rsidRDefault="008C77B2">
      <w:pPr>
        <w:rPr>
          <w:b/>
          <w:sz w:val="28"/>
        </w:rPr>
        <w:sectPr w:rsidR="008C77B2" w:rsidSect="001D23A4">
          <w:headerReference w:type="default" r:id="rId21"/>
          <w:footerReference w:type="default" r:id="rId22"/>
          <w:headerReference w:type="first" r:id="rId23"/>
          <w:footerReference w:type="first" r:id="rId24"/>
          <w:pgSz w:w="11907" w:h="16834" w:code="9"/>
          <w:pgMar w:top="1418" w:right="1134" w:bottom="1134" w:left="1134" w:header="720" w:footer="720" w:gutter="0"/>
          <w:paperSrc w:first="15" w:other="15"/>
          <w:cols w:space="720"/>
          <w:titlePg/>
        </w:sectPr>
      </w:pPr>
    </w:p>
    <w:p w14:paraId="5CAE1223" w14:textId="77777777" w:rsidR="008C77B2" w:rsidRDefault="00CD4E3B">
      <w:pPr>
        <w:pStyle w:val="AppendixNo"/>
      </w:pPr>
      <w:r>
        <w:t>ATTACHMENT 3</w:t>
      </w:r>
    </w:p>
    <w:p w14:paraId="5CAE1224" w14:textId="77777777" w:rsidR="008C77B2" w:rsidRDefault="00CD4E3B">
      <w:pPr>
        <w:pStyle w:val="Appendixtitle"/>
      </w:pPr>
      <w:r>
        <w:t>Information on WRC-15 Agenda items 1.1 and 1.2</w:t>
      </w:r>
    </w:p>
    <w:p w14:paraId="5CAE1225" w14:textId="5F16B253" w:rsidR="008C77B2" w:rsidRDefault="00CD4E3B">
      <w:pPr>
        <w:rPr>
          <w:sz w:val="18"/>
          <w:szCs w:val="18"/>
        </w:rPr>
      </w:pPr>
      <w:r>
        <w:rPr>
          <w:sz w:val="18"/>
          <w:szCs w:val="18"/>
        </w:rPr>
        <w:t xml:space="preserve"> (Extracted from Annex 8 to Circular Letter </w:t>
      </w:r>
      <w:hyperlink r:id="rId25" w:history="1">
        <w:r w:rsidRPr="00442B04">
          <w:rPr>
            <w:rStyle w:val="Hyperlink"/>
            <w:sz w:val="18"/>
            <w:szCs w:val="18"/>
          </w:rPr>
          <w:t>CA/201</w:t>
        </w:r>
      </w:hyperlink>
      <w:r>
        <w:rPr>
          <w:sz w:val="18"/>
          <w:szCs w:val="18"/>
        </w:rPr>
        <w:t>, “Results of the first session of the Conference Preparatory Meeting for WRC</w:t>
      </w:r>
      <w:r>
        <w:rPr>
          <w:sz w:val="18"/>
          <w:szCs w:val="18"/>
        </w:rPr>
        <w:noBreakHyphen/>
        <w:t>15 (CPM15</w:t>
      </w:r>
      <w:r>
        <w:rPr>
          <w:sz w:val="18"/>
          <w:szCs w:val="18"/>
        </w:rPr>
        <w:noBreakHyphen/>
        <w:t>1)”)</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8C77B2" w14:paraId="5CAE122A" w14:textId="77777777">
        <w:trPr>
          <w:cantSplit/>
          <w:trHeight w:val="431"/>
          <w:tblHeader/>
          <w:jc w:val="center"/>
        </w:trPr>
        <w:tc>
          <w:tcPr>
            <w:tcW w:w="3315" w:type="dxa"/>
            <w:vAlign w:val="center"/>
          </w:tcPr>
          <w:p w14:paraId="5CAE1226"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Topic</w:t>
            </w:r>
          </w:p>
        </w:tc>
        <w:tc>
          <w:tcPr>
            <w:tcW w:w="1488" w:type="dxa"/>
            <w:vAlign w:val="center"/>
          </w:tcPr>
          <w:p w14:paraId="5CAE1227"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Responsible group</w:t>
            </w:r>
          </w:p>
        </w:tc>
        <w:tc>
          <w:tcPr>
            <w:tcW w:w="8413" w:type="dxa"/>
            <w:vAlign w:val="center"/>
          </w:tcPr>
          <w:p w14:paraId="5CAE1228"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Action to be taken by the group</w:t>
            </w:r>
          </w:p>
        </w:tc>
        <w:tc>
          <w:tcPr>
            <w:tcW w:w="1243" w:type="dxa"/>
            <w:vAlign w:val="center"/>
          </w:tcPr>
          <w:p w14:paraId="5CAE1229"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Concerned group</w:t>
            </w:r>
            <w:r>
              <w:rPr>
                <w:rStyle w:val="FootnoteReference"/>
                <w:vertAlign w:val="superscript"/>
              </w:rPr>
              <w:footnoteReference w:customMarkFollows="1" w:id="28"/>
              <w:t>(1)</w:t>
            </w:r>
          </w:p>
        </w:tc>
      </w:tr>
      <w:tr w:rsidR="008C77B2" w14:paraId="5CAE122C" w14:textId="77777777">
        <w:trPr>
          <w:cantSplit/>
          <w:jc w:val="center"/>
        </w:trPr>
        <w:tc>
          <w:tcPr>
            <w:tcW w:w="14459" w:type="dxa"/>
            <w:gridSpan w:val="4"/>
          </w:tcPr>
          <w:p w14:paraId="5CAE122B" w14:textId="77777777" w:rsidR="008C77B2" w:rsidRDefault="00CD4E3B">
            <w:pPr>
              <w:pStyle w:val="Tabletext"/>
              <w:tabs>
                <w:tab w:val="clear" w:pos="284"/>
                <w:tab w:val="clear" w:pos="567"/>
                <w:tab w:val="left" w:pos="690"/>
              </w:tabs>
            </w:pPr>
            <w:r>
              <w:rPr>
                <w:b/>
              </w:rPr>
              <w:t>1.1</w:t>
            </w:r>
            <w:r>
              <w:t xml:space="preserve"> </w:t>
            </w:r>
            <w: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Pr>
                <w:rFonts w:ascii="Times New Roman Bold" w:hAnsi="Times New Roman Bold" w:cs="Times New Roman Bold"/>
                <w:b/>
                <w:bCs/>
              </w:rPr>
              <w:t>233 [</w:t>
            </w:r>
            <w:r>
              <w:rPr>
                <w:b/>
                <w:bCs/>
              </w:rPr>
              <w:t>COM6/8</w:t>
            </w:r>
            <w:r>
              <w:rPr>
                <w:rFonts w:ascii="Times New Roman Bold" w:hAnsi="Times New Roman Bold" w:cs="Times New Roman Bold"/>
                <w:b/>
                <w:bCs/>
              </w:rPr>
              <w:t>]</w:t>
            </w:r>
            <w:r>
              <w:rPr>
                <w:b/>
                <w:bCs/>
              </w:rPr>
              <w:t xml:space="preserve"> (WRC</w:t>
            </w:r>
            <w:r>
              <w:rPr>
                <w:b/>
                <w:bCs/>
              </w:rPr>
              <w:noBreakHyphen/>
              <w:t>12)</w:t>
            </w:r>
            <w:r>
              <w:t>;</w:t>
            </w:r>
          </w:p>
        </w:tc>
      </w:tr>
      <w:tr w:rsidR="008C77B2" w14:paraId="5CAE1240" w14:textId="77777777">
        <w:trPr>
          <w:cantSplit/>
          <w:jc w:val="center"/>
        </w:trPr>
        <w:tc>
          <w:tcPr>
            <w:tcW w:w="3315" w:type="dxa"/>
          </w:tcPr>
          <w:p w14:paraId="5CAE122D"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t xml:space="preserve">Resolution </w:t>
            </w:r>
            <w:r>
              <w:rPr>
                <w:rFonts w:ascii="Times New Roman Bold" w:hAnsi="Times New Roman Bold" w:cs="Times New Roman Bold"/>
                <w:b/>
                <w:bCs/>
              </w:rPr>
              <w:t>233 [</w:t>
            </w:r>
            <w:r>
              <w:rPr>
                <w:b/>
                <w:bCs/>
              </w:rPr>
              <w:t>COM6/8] (WRC</w:t>
            </w:r>
            <w:r>
              <w:rPr>
                <w:b/>
                <w:bCs/>
              </w:rPr>
              <w:noBreakHyphen/>
              <w:t>12)</w:t>
            </w:r>
          </w:p>
          <w:p w14:paraId="5CAE122E"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 xml:space="preserve">Studies on frequency-related matters on International Mobile </w:t>
            </w:r>
            <w:r>
              <w:br/>
              <w:t>Telecommunications and other terrestrial mobile broadband applications</w:t>
            </w:r>
          </w:p>
        </w:tc>
        <w:tc>
          <w:tcPr>
            <w:tcW w:w="1488" w:type="dxa"/>
          </w:tcPr>
          <w:p w14:paraId="5CAE122F"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p>
          <w:p w14:paraId="5CAE1230"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JTG 4-5-6-7</w:t>
            </w:r>
            <w:r>
              <w:rPr>
                <w:rStyle w:val="FootnoteReference"/>
                <w:b/>
                <w:bCs/>
                <w:vertAlign w:val="superscript"/>
              </w:rPr>
              <w:footnoteReference w:customMarkFollows="1" w:id="29"/>
              <w:t>(2)</w:t>
            </w:r>
          </w:p>
        </w:tc>
        <w:tc>
          <w:tcPr>
            <w:tcW w:w="8413" w:type="dxa"/>
          </w:tcPr>
          <w:p w14:paraId="5CAE1231" w14:textId="77777777" w:rsidR="008C77B2" w:rsidRDefault="00CD4E3B">
            <w:pPr>
              <w:pStyle w:val="Call"/>
              <w:tabs>
                <w:tab w:val="left" w:pos="691"/>
              </w:tabs>
              <w:spacing w:before="40" w:after="40"/>
              <w:ind w:left="691"/>
              <w:rPr>
                <w:sz w:val="20"/>
                <w:lang w:val="en-US"/>
              </w:rPr>
            </w:pPr>
            <w:r>
              <w:rPr>
                <w:sz w:val="20"/>
                <w:lang w:val="en-US"/>
              </w:rPr>
              <w:t>resolves to invite ITU</w:t>
            </w:r>
            <w:r>
              <w:rPr>
                <w:sz w:val="20"/>
                <w:lang w:val="en-US"/>
              </w:rPr>
              <w:noBreakHyphen/>
              <w:t>R</w:t>
            </w:r>
          </w:p>
          <w:p w14:paraId="5CAE1232" w14:textId="77777777" w:rsidR="008C77B2" w:rsidRDefault="00CD4E3B">
            <w:pPr>
              <w:keepNext/>
              <w:tabs>
                <w:tab w:val="left" w:pos="691"/>
              </w:tabs>
              <w:spacing w:before="40" w:after="40"/>
              <w:rPr>
                <w:sz w:val="20"/>
              </w:rPr>
            </w:pPr>
            <w:r>
              <w:rPr>
                <w:sz w:val="20"/>
              </w:rPr>
              <w:t>1</w:t>
            </w:r>
            <w:r>
              <w:rPr>
                <w:sz w:val="20"/>
              </w:rPr>
              <w:tab/>
              <w:t>to study additional spectrum requirements, taking into account:</w:t>
            </w:r>
          </w:p>
          <w:p w14:paraId="5CAE1233" w14:textId="77777777" w:rsidR="008C77B2" w:rsidRDefault="00CD4E3B">
            <w:pPr>
              <w:pStyle w:val="enumlev1"/>
              <w:tabs>
                <w:tab w:val="left" w:pos="691"/>
              </w:tabs>
              <w:spacing w:before="40" w:after="40"/>
              <w:ind w:left="691" w:hanging="691"/>
              <w:rPr>
                <w:sz w:val="20"/>
              </w:rPr>
            </w:pPr>
            <w:r>
              <w:rPr>
                <w:sz w:val="20"/>
              </w:rPr>
              <w:t>–</w:t>
            </w:r>
            <w:r>
              <w:rPr>
                <w:sz w:val="20"/>
              </w:rPr>
              <w:tab/>
              <w:t>technical and operational characteristics of IMT systems, including the evolution of IMT through advances in technology and spectrally-efficient techniques, and their deployment;</w:t>
            </w:r>
          </w:p>
          <w:p w14:paraId="5CAE1234" w14:textId="77777777" w:rsidR="008C77B2" w:rsidRDefault="00CD4E3B">
            <w:pPr>
              <w:pStyle w:val="enumlev1"/>
              <w:tabs>
                <w:tab w:val="left" w:pos="691"/>
              </w:tabs>
              <w:spacing w:before="40" w:after="40"/>
              <w:ind w:left="691" w:hanging="691"/>
              <w:rPr>
                <w:sz w:val="20"/>
              </w:rPr>
            </w:pPr>
            <w:r>
              <w:rPr>
                <w:sz w:val="20"/>
              </w:rPr>
              <w:t>–</w:t>
            </w:r>
            <w:r>
              <w:rPr>
                <w:sz w:val="20"/>
              </w:rPr>
              <w:tab/>
              <w:t>the bands currently identified for IMT, the technical conditions of their use, and the possibility of optimizing the use of these bands with a view to increasing spectrum efficiency;</w:t>
            </w:r>
          </w:p>
          <w:p w14:paraId="5CAE1235" w14:textId="77777777" w:rsidR="008C77B2" w:rsidRDefault="00CD4E3B">
            <w:pPr>
              <w:pStyle w:val="enumlev1"/>
              <w:tabs>
                <w:tab w:val="left" w:pos="691"/>
              </w:tabs>
              <w:spacing w:before="40" w:after="40"/>
              <w:ind w:left="691" w:hanging="691"/>
              <w:rPr>
                <w:sz w:val="20"/>
              </w:rPr>
            </w:pPr>
            <w:r>
              <w:rPr>
                <w:sz w:val="20"/>
              </w:rPr>
              <w:t>–</w:t>
            </w:r>
            <w:r>
              <w:rPr>
                <w:sz w:val="20"/>
              </w:rPr>
              <w:tab/>
              <w:t>the evolving needs, including user demand for IMT and other terrestrial mobile broadband applications;</w:t>
            </w:r>
          </w:p>
          <w:p w14:paraId="5CAE1236" w14:textId="77777777" w:rsidR="008C77B2" w:rsidRDefault="00CD4E3B">
            <w:pPr>
              <w:pStyle w:val="enumlev1"/>
              <w:tabs>
                <w:tab w:val="left" w:pos="691"/>
              </w:tabs>
              <w:spacing w:before="40" w:after="40"/>
              <w:rPr>
                <w:sz w:val="20"/>
              </w:rPr>
            </w:pPr>
            <w:r>
              <w:rPr>
                <w:sz w:val="20"/>
              </w:rPr>
              <w:t>–</w:t>
            </w:r>
            <w:r>
              <w:rPr>
                <w:sz w:val="20"/>
              </w:rPr>
              <w:tab/>
              <w:t>the needs of developing countries;</w:t>
            </w:r>
          </w:p>
          <w:p w14:paraId="5CAE1237" w14:textId="77777777" w:rsidR="008C77B2" w:rsidRDefault="00CD4E3B">
            <w:pPr>
              <w:pStyle w:val="enumlev1"/>
              <w:tabs>
                <w:tab w:val="left" w:pos="691"/>
              </w:tabs>
              <w:spacing w:before="40" w:after="40"/>
              <w:rPr>
                <w:sz w:val="20"/>
              </w:rPr>
            </w:pPr>
            <w:r>
              <w:rPr>
                <w:sz w:val="20"/>
              </w:rPr>
              <w:t>–</w:t>
            </w:r>
            <w:r>
              <w:rPr>
                <w:sz w:val="20"/>
              </w:rPr>
              <w:tab/>
              <w:t>the time-frame in which spectrum would be needed;</w:t>
            </w:r>
          </w:p>
          <w:p w14:paraId="5CAE1238" w14:textId="77777777" w:rsidR="008C77B2" w:rsidRDefault="00CD4E3B">
            <w:pPr>
              <w:tabs>
                <w:tab w:val="left" w:pos="691"/>
              </w:tabs>
              <w:spacing w:before="40" w:after="40"/>
              <w:rPr>
                <w:sz w:val="20"/>
              </w:rPr>
            </w:pPr>
            <w:r>
              <w:rPr>
                <w:sz w:val="20"/>
              </w:rPr>
              <w:t>2</w:t>
            </w:r>
            <w:r>
              <w:rPr>
                <w:sz w:val="20"/>
              </w:rPr>
              <w:tab/>
              <w:t xml:space="preserve">to study potential candidate frequency bands, taking into account the results of the studies under </w:t>
            </w:r>
            <w:r>
              <w:rPr>
                <w:i/>
                <w:sz w:val="20"/>
              </w:rPr>
              <w:t>resolves to invite ITU</w:t>
            </w:r>
            <w:r>
              <w:rPr>
                <w:i/>
                <w:sz w:val="20"/>
              </w:rPr>
              <w:noBreakHyphen/>
              <w:t>R</w:t>
            </w:r>
            <w:r>
              <w:rPr>
                <w:sz w:val="20"/>
              </w:rPr>
              <w:t xml:space="preserve"> 1, protection of existing services and the need for harmonization, </w:t>
            </w:r>
          </w:p>
          <w:p w14:paraId="5CAE1239" w14:textId="77777777" w:rsidR="008C77B2" w:rsidRDefault="00CD4E3B">
            <w:pPr>
              <w:pStyle w:val="Call"/>
              <w:tabs>
                <w:tab w:val="left" w:pos="691"/>
              </w:tabs>
              <w:spacing w:before="40" w:after="40"/>
              <w:ind w:left="691"/>
              <w:rPr>
                <w:sz w:val="20"/>
                <w:lang w:val="en-US"/>
              </w:rPr>
            </w:pPr>
            <w:r>
              <w:rPr>
                <w:sz w:val="20"/>
                <w:lang w:val="en-US"/>
              </w:rPr>
              <w:t>further resolves</w:t>
            </w:r>
          </w:p>
          <w:p w14:paraId="5CAE123A" w14:textId="77777777" w:rsidR="008C77B2" w:rsidRDefault="00CD4E3B">
            <w:pPr>
              <w:tabs>
                <w:tab w:val="left" w:pos="691"/>
              </w:tabs>
              <w:spacing w:before="40" w:after="40"/>
              <w:rPr>
                <w:sz w:val="20"/>
              </w:rPr>
            </w:pPr>
            <w:r>
              <w:rPr>
                <w:sz w:val="20"/>
              </w:rPr>
              <w:t>1</w:t>
            </w:r>
            <w:r>
              <w:rPr>
                <w:sz w:val="20"/>
              </w:rPr>
              <w:tab/>
              <w:t xml:space="preserve">that the studies referred to in </w:t>
            </w:r>
            <w:r>
              <w:rPr>
                <w:i/>
                <w:iCs/>
                <w:sz w:val="20"/>
              </w:rPr>
              <w:t>resolves</w:t>
            </w:r>
            <w:r>
              <w:rPr>
                <w:i/>
                <w:sz w:val="20"/>
              </w:rPr>
              <w:t xml:space="preserve"> to invite ITU</w:t>
            </w:r>
            <w:r>
              <w:rPr>
                <w:i/>
                <w:sz w:val="20"/>
              </w:rPr>
              <w:noBreakHyphen/>
              <w:t>R</w:t>
            </w:r>
            <w:r>
              <w:rPr>
                <w:sz w:val="20"/>
              </w:rPr>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Pr>
                <w:sz w:val="20"/>
              </w:rPr>
              <w:noBreakHyphen/>
              <w:t>R;</w:t>
            </w:r>
          </w:p>
          <w:p w14:paraId="5CAE123B" w14:textId="77777777" w:rsidR="008C77B2" w:rsidRDefault="00CD4E3B">
            <w:pPr>
              <w:tabs>
                <w:tab w:val="left" w:pos="691"/>
              </w:tabs>
              <w:spacing w:before="40" w:after="40"/>
              <w:rPr>
                <w:sz w:val="20"/>
              </w:rPr>
            </w:pPr>
            <w:r>
              <w:rPr>
                <w:sz w:val="20"/>
              </w:rPr>
              <w:t>2</w:t>
            </w:r>
            <w:r>
              <w:rPr>
                <w:sz w:val="20"/>
              </w:rPr>
              <w:tab/>
              <w:t>to invite WRC</w:t>
            </w:r>
            <w:r>
              <w:rPr>
                <w:sz w:val="20"/>
              </w:rPr>
              <w:noBreakHyphen/>
              <w:t xml:space="preserve">15 to consider the results of the above studies and take appropriate actions,  </w:t>
            </w:r>
          </w:p>
        </w:tc>
        <w:tc>
          <w:tcPr>
            <w:tcW w:w="1243" w:type="dxa"/>
          </w:tcPr>
          <w:p w14:paraId="5CAE123C"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p>
          <w:p w14:paraId="5CAE123D"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r>
              <w:rPr>
                <w:b/>
                <w:bCs/>
              </w:rPr>
              <w:t>WP 4A</w:t>
            </w:r>
            <w:r>
              <w:rPr>
                <w:b/>
                <w:bCs/>
              </w:rPr>
              <w:br/>
              <w:t>WP 4B</w:t>
            </w:r>
            <w:r>
              <w:rPr>
                <w:b/>
                <w:bCs/>
              </w:rPr>
              <w:br/>
              <w:t>WP 4C</w:t>
            </w:r>
            <w:r>
              <w:rPr>
                <w:b/>
                <w:bCs/>
              </w:rPr>
              <w:br/>
              <w:t>WP 5A</w:t>
            </w:r>
            <w:r>
              <w:rPr>
                <w:b/>
                <w:bCs/>
              </w:rPr>
              <w:br/>
              <w:t>WP 5B</w:t>
            </w:r>
            <w:r>
              <w:rPr>
                <w:b/>
                <w:bCs/>
              </w:rPr>
              <w:br/>
              <w:t>WP 5C</w:t>
            </w:r>
            <w:r>
              <w:rPr>
                <w:b/>
                <w:bCs/>
                <w:highlight w:val="yellow"/>
              </w:rPr>
              <w:br/>
            </w:r>
            <w:r>
              <w:rPr>
                <w:b/>
                <w:bCs/>
              </w:rPr>
              <w:t>WP 5D</w:t>
            </w:r>
            <w:r>
              <w:rPr>
                <w:b/>
                <w:bCs/>
              </w:rPr>
              <w:br/>
              <w:t>WP 6A</w:t>
            </w:r>
            <w:r>
              <w:rPr>
                <w:b/>
                <w:bCs/>
              </w:rPr>
              <w:br/>
              <w:t>WP 7B</w:t>
            </w:r>
            <w:r>
              <w:rPr>
                <w:rFonts w:ascii="Times New Roman Bold" w:hAnsi="Times New Roman Bold" w:cs="Times New Roman Bold"/>
                <w:b/>
                <w:bCs/>
              </w:rPr>
              <w:br/>
            </w:r>
            <w:r>
              <w:rPr>
                <w:b/>
                <w:bCs/>
              </w:rPr>
              <w:t>WP 7C</w:t>
            </w:r>
            <w:r>
              <w:rPr>
                <w:rFonts w:ascii="Times New Roman Bold" w:hAnsi="Times New Roman Bold" w:cs="Times New Roman Bold"/>
                <w:b/>
                <w:bCs/>
              </w:rPr>
              <w:br/>
            </w:r>
            <w:r>
              <w:rPr>
                <w:b/>
                <w:bCs/>
              </w:rPr>
              <w:t>WP 7D</w:t>
            </w:r>
          </w:p>
          <w:p w14:paraId="5CAE123E"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t>(WP 1A</w:t>
            </w:r>
            <w:r>
              <w:br/>
              <w:t>WP 3K</w:t>
            </w:r>
            <w:r>
              <w:br/>
              <w:t>WP 3M)</w:t>
            </w:r>
          </w:p>
          <w:p w14:paraId="5CAE123F"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position w:val="6"/>
                <w:vertAlign w:val="superscript"/>
              </w:rPr>
            </w:pPr>
            <w:r>
              <w:rPr>
                <w:rFonts w:ascii="Times New Roman Bold" w:hAnsi="Times New Roman Bold" w:cs="Times New Roman Bold"/>
                <w:b/>
                <w:bCs/>
                <w:position w:val="6"/>
                <w:vertAlign w:val="superscript"/>
              </w:rPr>
              <w:t>(2)</w:t>
            </w:r>
          </w:p>
        </w:tc>
      </w:tr>
    </w:tbl>
    <w:p w14:paraId="5CAE1241" w14:textId="77777777" w:rsidR="008C77B2" w:rsidRDefault="008C77B2"/>
    <w:p w14:paraId="5CAE1242" w14:textId="77777777" w:rsidR="008C77B2" w:rsidRDefault="008C77B2">
      <w:pPr>
        <w:jc w:val="center"/>
        <w:rPr>
          <w:b/>
        </w:rPr>
        <w:sectPr w:rsidR="008C77B2" w:rsidSect="00442B04">
          <w:headerReference w:type="default" r:id="rId26"/>
          <w:footerReference w:type="default" r:id="rId27"/>
          <w:pgSz w:w="15840" w:h="12240" w:orient="landscape" w:code="1"/>
          <w:pgMar w:top="720" w:right="720" w:bottom="720" w:left="720" w:header="720" w:footer="720" w:gutter="0"/>
          <w:cols w:space="720"/>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8C77B2" w14:paraId="5CAE1247" w14:textId="77777777">
        <w:trPr>
          <w:cantSplit/>
          <w:trHeight w:val="431"/>
          <w:tblHeader/>
          <w:jc w:val="center"/>
        </w:trPr>
        <w:tc>
          <w:tcPr>
            <w:tcW w:w="3315" w:type="dxa"/>
            <w:vAlign w:val="center"/>
          </w:tcPr>
          <w:p w14:paraId="5CAE1243"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Topic</w:t>
            </w:r>
          </w:p>
        </w:tc>
        <w:tc>
          <w:tcPr>
            <w:tcW w:w="1488" w:type="dxa"/>
            <w:vAlign w:val="center"/>
          </w:tcPr>
          <w:p w14:paraId="5CAE1244"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Responsible group</w:t>
            </w:r>
          </w:p>
        </w:tc>
        <w:tc>
          <w:tcPr>
            <w:tcW w:w="8413" w:type="dxa"/>
            <w:vAlign w:val="center"/>
          </w:tcPr>
          <w:p w14:paraId="5CAE1245"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Action to be taken by the group</w:t>
            </w:r>
          </w:p>
        </w:tc>
        <w:tc>
          <w:tcPr>
            <w:tcW w:w="1243" w:type="dxa"/>
            <w:vAlign w:val="center"/>
          </w:tcPr>
          <w:p w14:paraId="5CAE1246"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Concerned group</w:t>
            </w:r>
          </w:p>
        </w:tc>
      </w:tr>
      <w:tr w:rsidR="008C77B2" w14:paraId="5CAE1249" w14:textId="77777777">
        <w:trPr>
          <w:cantSplit/>
          <w:jc w:val="center"/>
        </w:trPr>
        <w:tc>
          <w:tcPr>
            <w:tcW w:w="14459" w:type="dxa"/>
            <w:gridSpan w:val="4"/>
          </w:tcPr>
          <w:p w14:paraId="5CAE1248" w14:textId="77777777" w:rsidR="008C77B2" w:rsidRDefault="00CD4E3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spacing w:before="0" w:after="0"/>
            </w:pPr>
            <w:r>
              <w:rPr>
                <w:b/>
              </w:rPr>
              <w:t>1.2</w:t>
            </w:r>
            <w:r>
              <w:tab/>
              <w:t>to examine the results of ITU</w:t>
            </w:r>
            <w:r>
              <w:noBreakHyphen/>
              <w:t xml:space="preserve">R studies, in accordance with Resolution </w:t>
            </w:r>
            <w:r>
              <w:rPr>
                <w:rFonts w:ascii="Times New Roman Bold" w:hAnsi="Times New Roman Bold" w:cs="Times New Roman Bold"/>
                <w:b/>
                <w:bCs/>
              </w:rPr>
              <w:t>232 [</w:t>
            </w:r>
            <w:r>
              <w:rPr>
                <w:b/>
                <w:bCs/>
              </w:rPr>
              <w:t>COM5/10</w:t>
            </w:r>
            <w:r>
              <w:rPr>
                <w:rFonts w:ascii="Times New Roman Bold" w:hAnsi="Times New Roman Bold" w:cs="Times New Roman Bold"/>
                <w:b/>
                <w:bCs/>
              </w:rPr>
              <w:t>]</w:t>
            </w:r>
            <w:r>
              <w:rPr>
                <w:b/>
                <w:bCs/>
              </w:rPr>
              <w:t xml:space="preserve"> (WRC</w:t>
            </w:r>
            <w:r>
              <w:rPr>
                <w:b/>
                <w:bCs/>
              </w:rPr>
              <w:noBreakHyphen/>
              <w:t>12)</w:t>
            </w:r>
            <w:r>
              <w:t>, on the use of the frequency band 694-790 MHz by the mobile, except aeronautical mobile, service in Region 1 and take the appropriate measures;</w:t>
            </w:r>
          </w:p>
        </w:tc>
      </w:tr>
      <w:tr w:rsidR="008C77B2" w14:paraId="5CAE1265" w14:textId="77777777">
        <w:trPr>
          <w:cantSplit/>
          <w:trHeight w:val="7891"/>
          <w:jc w:val="center"/>
        </w:trPr>
        <w:tc>
          <w:tcPr>
            <w:tcW w:w="3315" w:type="dxa"/>
          </w:tcPr>
          <w:p w14:paraId="5CAE124A"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nl-NL"/>
              </w:rPr>
            </w:pPr>
            <w:r>
              <w:t xml:space="preserve">Resolution </w:t>
            </w:r>
            <w:r>
              <w:rPr>
                <w:rFonts w:ascii="Times New Roman Bold" w:hAnsi="Times New Roman Bold" w:cs="Times New Roman Bold"/>
                <w:b/>
                <w:bCs/>
              </w:rPr>
              <w:t>232 [</w:t>
            </w:r>
            <w:r>
              <w:rPr>
                <w:b/>
                <w:bCs/>
              </w:rPr>
              <w:t>COM5/10]</w:t>
            </w:r>
            <w:r>
              <w:rPr>
                <w:b/>
                <w:bCs/>
                <w:lang w:eastAsia="nl-NL"/>
              </w:rPr>
              <w:t xml:space="preserve"> (WRC</w:t>
            </w:r>
            <w:r>
              <w:rPr>
                <w:b/>
                <w:bCs/>
                <w:lang w:eastAsia="nl-NL"/>
              </w:rPr>
              <w:noBreakHyphen/>
              <w:t>12)</w:t>
            </w:r>
          </w:p>
          <w:p w14:paraId="5CAE124B"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Pr>
                <w:lang w:eastAsia="nl-NL"/>
              </w:rPr>
              <w:t>Use of the frequency band 694-790 MHz by the mobile, except aeronautical mobile, service in Region 1 and related studies</w:t>
            </w:r>
          </w:p>
        </w:tc>
        <w:tc>
          <w:tcPr>
            <w:tcW w:w="1488" w:type="dxa"/>
          </w:tcPr>
          <w:p w14:paraId="5CAE124C"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14:paraId="5CAE124D"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Pr>
                <w:b/>
                <w:bCs/>
              </w:rPr>
              <w:t>JTG 4-5-6-7</w:t>
            </w:r>
            <w:r>
              <w:rPr>
                <w:rStyle w:val="FootnoteReference"/>
                <w:sz w:val="20"/>
                <w:vertAlign w:val="superscript"/>
              </w:rPr>
              <w:t>(2)</w:t>
            </w:r>
          </w:p>
        </w:tc>
        <w:tc>
          <w:tcPr>
            <w:tcW w:w="8413" w:type="dxa"/>
          </w:tcPr>
          <w:p w14:paraId="5CAE124E" w14:textId="77777777" w:rsidR="008C77B2" w:rsidRDefault="00CD4E3B">
            <w:pPr>
              <w:pStyle w:val="Call"/>
              <w:tabs>
                <w:tab w:val="left" w:pos="711"/>
              </w:tabs>
              <w:spacing w:before="0"/>
              <w:ind w:left="691"/>
              <w:rPr>
                <w:iCs/>
                <w:sz w:val="20"/>
                <w:lang w:val="en-US"/>
              </w:rPr>
            </w:pPr>
            <w:r>
              <w:rPr>
                <w:iCs/>
                <w:sz w:val="20"/>
                <w:lang w:val="en-US"/>
              </w:rPr>
              <w:t>resolves</w:t>
            </w:r>
          </w:p>
          <w:p w14:paraId="5CAE124F" w14:textId="77777777" w:rsidR="008C77B2" w:rsidRDefault="00CD4E3B">
            <w:pPr>
              <w:tabs>
                <w:tab w:val="left" w:pos="711"/>
              </w:tabs>
              <w:spacing w:before="0"/>
              <w:rPr>
                <w:sz w:val="20"/>
              </w:rPr>
            </w:pPr>
            <w:r>
              <w:rPr>
                <w:sz w:val="20"/>
              </w:rPr>
              <w:t>1</w:t>
            </w:r>
            <w:r>
              <w:rPr>
                <w:sz w:val="20"/>
              </w:rPr>
              <w:tab/>
              <w:t>to allocate the frequency band 694-790 MHz in Region 1 to the mobile, except aeronautical mobile, service on a co-primary basis with other services to which this band is allocated on a primary basis and to identify it for IMT;</w:t>
            </w:r>
          </w:p>
          <w:p w14:paraId="5CAE1250" w14:textId="77777777" w:rsidR="008C77B2" w:rsidRDefault="00CD4E3B">
            <w:pPr>
              <w:tabs>
                <w:tab w:val="left" w:pos="711"/>
              </w:tabs>
              <w:spacing w:before="0"/>
              <w:rPr>
                <w:sz w:val="20"/>
              </w:rPr>
            </w:pPr>
            <w:r>
              <w:rPr>
                <w:sz w:val="20"/>
              </w:rPr>
              <w:t>2</w:t>
            </w:r>
            <w:r>
              <w:rPr>
                <w:sz w:val="20"/>
              </w:rPr>
              <w:tab/>
              <w:t>that the allocation in resolves 1 is effective immediately after WRC</w:t>
            </w:r>
            <w:r>
              <w:rPr>
                <w:sz w:val="20"/>
              </w:rPr>
              <w:noBreakHyphen/>
              <w:t>15;</w:t>
            </w:r>
          </w:p>
          <w:p w14:paraId="5CAE1251" w14:textId="77777777" w:rsidR="008C77B2" w:rsidRDefault="00CD4E3B">
            <w:pPr>
              <w:tabs>
                <w:tab w:val="left" w:pos="711"/>
              </w:tabs>
              <w:spacing w:before="0"/>
              <w:rPr>
                <w:sz w:val="20"/>
              </w:rPr>
            </w:pPr>
            <w:r>
              <w:rPr>
                <w:sz w:val="20"/>
              </w:rPr>
              <w:t>3</w:t>
            </w:r>
            <w:r>
              <w:rPr>
                <w:sz w:val="20"/>
              </w:rPr>
              <w:tab/>
              <w:t>that use of the allocation in resolves 1 is subject to agreement obtained under No. 9.21 with respect to the aeronautical radionavigation service in countries listed in No. 5.312;</w:t>
            </w:r>
          </w:p>
          <w:p w14:paraId="5CAE1252" w14:textId="77777777" w:rsidR="008C77B2" w:rsidRDefault="00CD4E3B">
            <w:pPr>
              <w:tabs>
                <w:tab w:val="left" w:pos="711"/>
              </w:tabs>
              <w:spacing w:before="0"/>
              <w:rPr>
                <w:sz w:val="20"/>
              </w:rPr>
            </w:pPr>
            <w:r>
              <w:rPr>
                <w:sz w:val="20"/>
              </w:rPr>
              <w:t>4</w:t>
            </w:r>
            <w:r>
              <w:rPr>
                <w:sz w:val="20"/>
              </w:rPr>
              <w:tab/>
              <w:t>that the lower edge of the allocation is subject to refinement at WRC</w:t>
            </w:r>
            <w:r>
              <w:rPr>
                <w:sz w:val="20"/>
              </w:rPr>
              <w:noBreakHyphen/>
              <w:t>15, taking into account the ITU-R studies referred to in invites ITU-R below and the needs of countries in Region 1, in particular developing countries;</w:t>
            </w:r>
          </w:p>
          <w:p w14:paraId="5CAE1253" w14:textId="77777777" w:rsidR="008C77B2" w:rsidRDefault="00CD4E3B">
            <w:pPr>
              <w:tabs>
                <w:tab w:val="left" w:pos="711"/>
              </w:tabs>
              <w:spacing w:before="0"/>
              <w:rPr>
                <w:sz w:val="20"/>
              </w:rPr>
            </w:pPr>
            <w:r>
              <w:rPr>
                <w:sz w:val="20"/>
              </w:rPr>
              <w:t>5</w:t>
            </w:r>
            <w:r>
              <w:rPr>
                <w:sz w:val="20"/>
              </w:rPr>
              <w:tab/>
              <w:t>that WRC</w:t>
            </w:r>
            <w:r>
              <w:rPr>
                <w:sz w:val="20"/>
              </w:rPr>
              <w:noBreakHyphen/>
              <w:t>15 will specify the technical and regulatory conditions applicable to the mobile service allocation referred to in resolves 1, taking into account the ITU-R studies referred to in invites ITU-R below,</w:t>
            </w:r>
          </w:p>
          <w:p w14:paraId="5CAE1254" w14:textId="77777777" w:rsidR="008C77B2" w:rsidRDefault="00CD4E3B">
            <w:pPr>
              <w:pStyle w:val="Call"/>
              <w:tabs>
                <w:tab w:val="left" w:pos="711"/>
              </w:tabs>
              <w:spacing w:before="0"/>
              <w:ind w:left="691"/>
              <w:rPr>
                <w:iCs/>
                <w:sz w:val="20"/>
                <w:lang w:val="en-US" w:eastAsia="nl-NL"/>
              </w:rPr>
            </w:pPr>
            <w:r>
              <w:rPr>
                <w:iCs/>
                <w:sz w:val="20"/>
                <w:lang w:val="en-US" w:eastAsia="nl-NL"/>
              </w:rPr>
              <w:t>invites ITU-R</w:t>
            </w:r>
          </w:p>
          <w:p w14:paraId="5CAE1255" w14:textId="77777777" w:rsidR="008C77B2" w:rsidRDefault="00CD4E3B">
            <w:pPr>
              <w:tabs>
                <w:tab w:val="left" w:pos="711"/>
              </w:tabs>
              <w:spacing w:before="0"/>
              <w:rPr>
                <w:sz w:val="20"/>
                <w:lang w:eastAsia="nl-NL"/>
              </w:rPr>
            </w:pPr>
            <w:r>
              <w:rPr>
                <w:sz w:val="20"/>
                <w:lang w:eastAsia="nl-NL"/>
              </w:rPr>
              <w:t>1</w:t>
            </w:r>
            <w:r>
              <w:rPr>
                <w:sz w:val="20"/>
                <w:lang w:eastAsia="nl-NL"/>
              </w:rPr>
              <w:tab/>
              <w:t xml:space="preserve">to study the spectrum requirement for the mobile service and for the broadcasting service in this frequency band, in order to determine as early as possible the options for the lower edge referred to in </w:t>
            </w:r>
            <w:r>
              <w:rPr>
                <w:i/>
                <w:iCs/>
                <w:sz w:val="20"/>
                <w:lang w:eastAsia="nl-NL"/>
              </w:rPr>
              <w:t>resolves</w:t>
            </w:r>
            <w:r>
              <w:rPr>
                <w:sz w:val="20"/>
                <w:lang w:eastAsia="nl-NL"/>
              </w:rPr>
              <w:t> 4;</w:t>
            </w:r>
          </w:p>
          <w:p w14:paraId="5CAE1256" w14:textId="77777777" w:rsidR="008C77B2" w:rsidRDefault="00CD4E3B">
            <w:pPr>
              <w:tabs>
                <w:tab w:val="left" w:pos="711"/>
              </w:tabs>
              <w:spacing w:before="0"/>
              <w:rPr>
                <w:sz w:val="20"/>
                <w:lang w:eastAsia="nl-NL"/>
              </w:rPr>
            </w:pPr>
            <w:r>
              <w:rPr>
                <w:sz w:val="20"/>
                <w:lang w:eastAsia="nl-NL"/>
              </w:rPr>
              <w:t>2</w:t>
            </w:r>
            <w:r>
              <w:rPr>
                <w:sz w:val="20"/>
                <w:lang w:eastAsia="nl-NL"/>
              </w:rPr>
              <w:tab/>
              <w:t>to study the channelling arrangements for the mobile service, adapted to the frequency band below 790 MHz, taking into account</w:t>
            </w:r>
            <w:r>
              <w:rPr>
                <w:sz w:val="20"/>
              </w:rPr>
              <w:t>:</w:t>
            </w:r>
          </w:p>
          <w:p w14:paraId="5CAE1257" w14:textId="77777777" w:rsidR="008C77B2" w:rsidRDefault="00CD4E3B">
            <w:pPr>
              <w:pStyle w:val="enumlev1"/>
              <w:tabs>
                <w:tab w:val="left" w:pos="711"/>
              </w:tabs>
              <w:spacing w:before="0"/>
              <w:ind w:left="711" w:hanging="711"/>
              <w:rPr>
                <w:sz w:val="20"/>
              </w:rPr>
            </w:pPr>
            <w:r>
              <w:rPr>
                <w:sz w:val="20"/>
              </w:rPr>
              <w:t>–</w:t>
            </w:r>
            <w:r>
              <w:rPr>
                <w:sz w:val="20"/>
              </w:rPr>
              <w:tab/>
              <w:t>the existing arrangements in Region 1 in the bands between 790 and 862 MHz and defined in the last version of Recommendation ITU-R M.1036, in order to ensure coexistence with the networks operated in the new allocation and the operational networks in the band 790</w:t>
            </w:r>
            <w:r>
              <w:rPr>
                <w:sz w:val="20"/>
              </w:rPr>
              <w:noBreakHyphen/>
              <w:t>862 MHz,</w:t>
            </w:r>
          </w:p>
          <w:p w14:paraId="5CAE1258" w14:textId="77777777" w:rsidR="008C77B2" w:rsidRDefault="00CD4E3B">
            <w:pPr>
              <w:pStyle w:val="enumlev1"/>
              <w:tabs>
                <w:tab w:val="left" w:pos="711"/>
              </w:tabs>
              <w:spacing w:before="0"/>
              <w:rPr>
                <w:sz w:val="20"/>
              </w:rPr>
            </w:pPr>
            <w:r>
              <w:rPr>
                <w:sz w:val="20"/>
              </w:rPr>
              <w:t>–</w:t>
            </w:r>
            <w:r>
              <w:rPr>
                <w:sz w:val="20"/>
              </w:rPr>
              <w:tab/>
              <w:t>the desire for harmonization with arrangements across all Regions,</w:t>
            </w:r>
          </w:p>
          <w:p w14:paraId="5CAE1259" w14:textId="77777777" w:rsidR="008C77B2" w:rsidRDefault="00CD4E3B">
            <w:pPr>
              <w:pStyle w:val="enumlev1"/>
              <w:tabs>
                <w:tab w:val="left" w:pos="711"/>
              </w:tabs>
              <w:spacing w:before="0"/>
              <w:ind w:left="711" w:hanging="711"/>
              <w:rPr>
                <w:sz w:val="20"/>
              </w:rPr>
            </w:pPr>
            <w:r>
              <w:rPr>
                <w:sz w:val="20"/>
              </w:rPr>
              <w:t>–</w:t>
            </w:r>
            <w:r>
              <w:rPr>
                <w:sz w:val="20"/>
              </w:rPr>
              <w:tab/>
              <w:t>the compatibility with other primary services to which the band is allocated, including in adjacent bands;</w:t>
            </w:r>
          </w:p>
          <w:p w14:paraId="5CAE125A" w14:textId="77777777" w:rsidR="008C77B2" w:rsidRDefault="00CD4E3B">
            <w:pPr>
              <w:tabs>
                <w:tab w:val="left" w:pos="711"/>
              </w:tabs>
              <w:spacing w:before="0"/>
              <w:rPr>
                <w:sz w:val="20"/>
                <w:lang w:eastAsia="nl-NL"/>
              </w:rPr>
            </w:pPr>
            <w:r>
              <w:rPr>
                <w:sz w:val="20"/>
                <w:lang w:eastAsia="nl-NL"/>
              </w:rPr>
              <w:t>3</w:t>
            </w:r>
            <w:r>
              <w:rPr>
                <w:sz w:val="20"/>
                <w:lang w:eastAsia="nl-NL"/>
              </w:rPr>
              <w:tab/>
              <w:t>to study coexistence between the different channelling arrangements which have been implemented in Region 1 above 790 MHz, as well as the possibility of further harmonization;</w:t>
            </w:r>
          </w:p>
          <w:p w14:paraId="5CAE125B" w14:textId="77777777" w:rsidR="008C77B2" w:rsidRDefault="00CD4E3B">
            <w:pPr>
              <w:tabs>
                <w:tab w:val="left" w:pos="711"/>
              </w:tabs>
              <w:spacing w:before="0"/>
              <w:rPr>
                <w:sz w:val="20"/>
                <w:lang w:eastAsia="nl-NL"/>
              </w:rPr>
            </w:pPr>
            <w:r>
              <w:rPr>
                <w:sz w:val="20"/>
                <w:lang w:eastAsia="nl-NL"/>
              </w:rPr>
              <w:t>4</w:t>
            </w:r>
            <w:r>
              <w:rPr>
                <w:sz w:val="20"/>
                <w:lang w:eastAsia="nl-NL"/>
              </w:rPr>
              <w:tab/>
              <w:t>to study the compatibility between the mobile service and other services currently allocated in the frequency band 694-790 MHz and develop ITU-R Recommendations or Reports;</w:t>
            </w:r>
          </w:p>
          <w:p w14:paraId="5CAE125C" w14:textId="77777777" w:rsidR="008C77B2" w:rsidRDefault="00CD4E3B">
            <w:pPr>
              <w:tabs>
                <w:tab w:val="left" w:pos="711"/>
              </w:tabs>
              <w:spacing w:before="0"/>
              <w:rPr>
                <w:sz w:val="20"/>
                <w:lang w:eastAsia="nl-NL"/>
              </w:rPr>
            </w:pPr>
            <w:r>
              <w:rPr>
                <w:sz w:val="20"/>
                <w:lang w:eastAsia="nl-NL"/>
              </w:rPr>
              <w:t>5</w:t>
            </w:r>
            <w:r>
              <w:rPr>
                <w:sz w:val="20"/>
                <w:lang w:eastAsia="nl-NL"/>
              </w:rPr>
              <w:tab/>
              <w:t>to study solutions for accommodating applications ancillary to broadcasting requirements;</w:t>
            </w:r>
          </w:p>
          <w:p w14:paraId="5CAE125D" w14:textId="77777777" w:rsidR="008C77B2" w:rsidRDefault="00CD4E3B">
            <w:pPr>
              <w:tabs>
                <w:tab w:val="left" w:pos="711"/>
              </w:tabs>
              <w:spacing w:before="0"/>
              <w:rPr>
                <w:sz w:val="20"/>
                <w:lang w:eastAsia="nl-NL"/>
              </w:rPr>
            </w:pPr>
            <w:r>
              <w:rPr>
                <w:sz w:val="20"/>
                <w:lang w:eastAsia="nl-NL"/>
              </w:rPr>
              <w:t>6</w:t>
            </w:r>
            <w:r>
              <w:rPr>
                <w:sz w:val="20"/>
                <w:lang w:eastAsia="nl-NL"/>
              </w:rPr>
              <w:tab/>
              <w:t>to report, in time for WRC</w:t>
            </w:r>
            <w:r>
              <w:rPr>
                <w:sz w:val="20"/>
                <w:lang w:eastAsia="nl-NL"/>
              </w:rPr>
              <w:noBreakHyphen/>
              <w:t>15, the results of these studies,</w:t>
            </w:r>
          </w:p>
        </w:tc>
        <w:tc>
          <w:tcPr>
            <w:tcW w:w="1243" w:type="dxa"/>
          </w:tcPr>
          <w:p w14:paraId="5CAE125E"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14:paraId="5CAE125F"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r>
              <w:rPr>
                <w:b/>
                <w:bCs/>
              </w:rPr>
              <w:t>WP 4A</w:t>
            </w:r>
            <w:r>
              <w:rPr>
                <w:rFonts w:ascii="Times New Roman Bold" w:hAnsi="Times New Roman Bold" w:cs="Times New Roman Bold"/>
                <w:b/>
                <w:bCs/>
              </w:rPr>
              <w:br/>
            </w:r>
            <w:r>
              <w:rPr>
                <w:b/>
                <w:bCs/>
              </w:rPr>
              <w:t>WP 5A</w:t>
            </w:r>
            <w:r>
              <w:rPr>
                <w:b/>
                <w:bCs/>
              </w:rPr>
              <w:br/>
              <w:t>WP 5B</w:t>
            </w:r>
            <w:r>
              <w:rPr>
                <w:b/>
                <w:bCs/>
                <w:highlight w:val="yellow"/>
              </w:rPr>
              <w:br/>
            </w:r>
            <w:r>
              <w:rPr>
                <w:b/>
                <w:bCs/>
              </w:rPr>
              <w:t>WP 5D</w:t>
            </w:r>
            <w:r>
              <w:rPr>
                <w:b/>
                <w:bCs/>
              </w:rPr>
              <w:br/>
              <w:t>WP 6A</w:t>
            </w:r>
          </w:p>
          <w:p w14:paraId="5CAE1260"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t>(WP 3K</w:t>
            </w:r>
            <w:r>
              <w:br/>
              <w:t>WP 3M)</w:t>
            </w:r>
          </w:p>
          <w:p w14:paraId="5CAE1263" w14:textId="2CB3574E" w:rsidR="008C77B2" w:rsidRDefault="00CD4E3B" w:rsidP="00442B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Pr>
                <w:rFonts w:ascii="Times New Roman Bold" w:hAnsi="Times New Roman Bold" w:cs="Times New Roman Bold"/>
                <w:position w:val="6"/>
                <w:vertAlign w:val="superscript"/>
              </w:rPr>
              <w:t>(2)</w:t>
            </w:r>
          </w:p>
          <w:p w14:paraId="5CAE1264" w14:textId="77777777" w:rsidR="008C77B2" w:rsidRDefault="008C77B2">
            <w:pPr>
              <w:spacing w:before="0"/>
              <w:rPr>
                <w:sz w:val="20"/>
              </w:rPr>
            </w:pPr>
          </w:p>
        </w:tc>
      </w:tr>
    </w:tbl>
    <w:p w14:paraId="5CAE1266" w14:textId="77777777" w:rsidR="008C77B2" w:rsidRDefault="00CD4E3B">
      <w:pPr>
        <w:spacing w:before="240"/>
        <w:jc w:val="center"/>
        <w:rPr>
          <w:sz w:val="16"/>
          <w:szCs w:val="16"/>
        </w:rPr>
      </w:pPr>
      <w:r>
        <w:rPr>
          <w:sz w:val="16"/>
          <w:szCs w:val="16"/>
        </w:rPr>
        <w:t>__________________</w:t>
      </w:r>
    </w:p>
    <w:sectPr w:rsidR="008C77B2" w:rsidSect="00442B04">
      <w:headerReference w:type="default" r:id="rId28"/>
      <w:footerReference w:type="default" r:id="rId29"/>
      <w:headerReference w:type="first" r:id="rId30"/>
      <w:footerReference w:type="first" r:id="rId31"/>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278FE" w14:textId="77777777" w:rsidR="00442B04" w:rsidRDefault="00442B04">
      <w:r>
        <w:separator/>
      </w:r>
    </w:p>
  </w:endnote>
  <w:endnote w:type="continuationSeparator" w:id="0">
    <w:p w14:paraId="60FFF43E" w14:textId="77777777" w:rsidR="00442B04" w:rsidRDefault="0044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6F" w14:textId="5F1BE317" w:rsidR="00442B04" w:rsidRPr="006C7A70" w:rsidRDefault="00512FAF" w:rsidP="006C7A70">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1" w14:textId="3FA23F97" w:rsidR="00442B04" w:rsidRDefault="00512FAF" w:rsidP="006C7A70">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7" w14:textId="3A6B3214" w:rsidR="00442B04" w:rsidRPr="00CD4E3B" w:rsidRDefault="00512FAF" w:rsidP="00CD4E3B">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A" w14:textId="03106223" w:rsidR="00442B04" w:rsidRPr="00CD4E3B" w:rsidRDefault="00512FAF" w:rsidP="00CD4E3B">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D" w14:textId="1717B746" w:rsidR="00442B04" w:rsidRPr="00CD4E3B" w:rsidRDefault="00512FAF" w:rsidP="00CD4E3B">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80" w14:textId="77777777" w:rsidR="00442B04" w:rsidRDefault="00512FAF">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81" w14:textId="2471667C" w:rsidR="00442B04" w:rsidRPr="00CD4E3B" w:rsidRDefault="00512FAF" w:rsidP="00CD4E3B">
    <w:pPr>
      <w:pStyle w:val="Footer"/>
    </w:pPr>
    <w:r>
      <w:fldChar w:fldCharType="begin"/>
    </w:r>
    <w:r>
      <w:instrText xml:space="preserve"> FILENAME  \p  \* MERGEFORMAT </w:instrText>
    </w:r>
    <w:r>
      <w:fldChar w:fldCharType="separate"/>
    </w:r>
    <w:r w:rsidR="00442B04">
      <w:t>Y:\APP\BR\POOL\sg05\wp5d\liaisons\R12-WP5D-120716-TD-0028!R2!MSW-E_done.docx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2C00F" w14:textId="77777777" w:rsidR="00442B04" w:rsidRDefault="00442B04">
      <w:r>
        <w:t>____________________</w:t>
      </w:r>
    </w:p>
  </w:footnote>
  <w:footnote w:type="continuationSeparator" w:id="0">
    <w:p w14:paraId="0C0A6380" w14:textId="77777777" w:rsidR="00442B04" w:rsidRDefault="00442B04">
      <w:r>
        <w:continuationSeparator/>
      </w:r>
    </w:p>
  </w:footnote>
  <w:footnote w:id="1">
    <w:p w14:paraId="5CAE1282" w14:textId="77777777" w:rsidR="00442B04" w:rsidRDefault="00442B04" w:rsidP="001D23A4">
      <w:pPr>
        <w:pStyle w:val="FootnoteText"/>
        <w:spacing w:before="0"/>
        <w:ind w:left="255" w:hanging="255"/>
      </w:pPr>
      <w:r>
        <w:rPr>
          <w:rStyle w:val="FootnoteReference"/>
        </w:rPr>
        <w:footnoteRef/>
      </w:r>
      <w:r>
        <w:tab/>
        <w:t>IMT includes both IMT-2000 and IMT-Advanced. This liaison addresses the IMT-Advanced portion. Additional correspondence from WP 5D will address IMT-2000 with regard to Report ITU</w:t>
      </w:r>
      <w:r>
        <w:noBreakHyphen/>
        <w:t>R M.2039-2.</w:t>
      </w:r>
    </w:p>
  </w:footnote>
  <w:footnote w:id="2">
    <w:p w14:paraId="5CAE1283" w14:textId="526F1219" w:rsidR="00442B04" w:rsidRDefault="00442B04" w:rsidP="001D23A4">
      <w:pPr>
        <w:pStyle w:val="FootnoteText"/>
      </w:pPr>
      <w:r>
        <w:rPr>
          <w:rStyle w:val="FootnoteReference"/>
        </w:rPr>
        <w:footnoteRef/>
      </w:r>
      <w:r>
        <w:tab/>
        <w:t>The full text of these agenda items is contained in Attachment 3 to this liaison statement.</w:t>
      </w:r>
    </w:p>
  </w:footnote>
  <w:footnote w:id="3">
    <w:p w14:paraId="5CAE1284" w14:textId="774DF2A6" w:rsidR="00442B04" w:rsidRDefault="00442B04" w:rsidP="00880DF1">
      <w:pPr>
        <w:pStyle w:val="FootnoteText"/>
        <w:ind w:left="255" w:hanging="255"/>
      </w:pPr>
      <w:r>
        <w:rPr>
          <w:rStyle w:val="FootnoteReference"/>
        </w:rPr>
        <w:footnoteRef/>
      </w:r>
      <w:r>
        <w:tab/>
        <w:t xml:space="preserve">This table is taken from Attachment 2 of Annex 2 of Chairman’s Report of the fifth and final meeting of JTG 5-6, Document </w:t>
      </w:r>
      <w:r w:rsidRPr="00512FAF">
        <w:t>5-6/180</w:t>
      </w:r>
      <w:r>
        <w:t>;</w:t>
      </w:r>
      <w:r>
        <w:rPr>
          <w:b/>
        </w:rPr>
        <w:t xml:space="preserve"> </w:t>
      </w:r>
      <w:r>
        <w:t xml:space="preserve">List of IMT systems characteristics for use in sharing </w:t>
      </w:r>
      <w:r w:rsidR="00512FAF">
        <w:t>studies in the band 790-862 MHz</w:t>
      </w:r>
      <w:r>
        <w:t>. See section 6 of this liaison statement (reference 2).</w:t>
      </w:r>
    </w:p>
  </w:footnote>
  <w:footnote w:id="4">
    <w:p w14:paraId="5CAE1285" w14:textId="77777777" w:rsidR="00442B04" w:rsidRDefault="00442B04">
      <w:pPr>
        <w:pStyle w:val="FootnoteText"/>
      </w:pPr>
      <w:r>
        <w:rPr>
          <w:rStyle w:val="FootnoteReference"/>
        </w:rPr>
        <w:footnoteRef/>
      </w:r>
      <w:r>
        <w:rPr>
          <w:lang w:eastAsia="ko-KR"/>
        </w:rPr>
        <w:tab/>
      </w:r>
      <w:r>
        <w:rPr>
          <w:sz w:val="22"/>
          <w:szCs w:val="22"/>
        </w:rPr>
        <w:t>See 3GPP Document: TS 36 104 v 8.5.0, see section 6.6.3</w:t>
      </w:r>
      <w:r>
        <w:rPr>
          <w:sz w:val="22"/>
          <w:szCs w:val="22"/>
          <w:lang w:eastAsia="ja-JP"/>
        </w:rPr>
        <w:t xml:space="preserve"> and </w:t>
      </w:r>
      <w:r>
        <w:rPr>
          <w:sz w:val="22"/>
          <w:szCs w:val="22"/>
        </w:rPr>
        <w:t>TS 36 14</w:t>
      </w:r>
      <w:r>
        <w:rPr>
          <w:sz w:val="22"/>
          <w:szCs w:val="22"/>
          <w:lang w:eastAsia="ja-JP"/>
        </w:rPr>
        <w:t>1</w:t>
      </w:r>
      <w:r>
        <w:rPr>
          <w:sz w:val="22"/>
          <w:szCs w:val="22"/>
        </w:rPr>
        <w:t xml:space="preserve"> v 8.</w:t>
      </w:r>
      <w:r>
        <w:rPr>
          <w:sz w:val="22"/>
          <w:szCs w:val="22"/>
          <w:lang w:eastAsia="ja-JP"/>
        </w:rPr>
        <w:t>5</w:t>
      </w:r>
      <w:r>
        <w:rPr>
          <w:sz w:val="22"/>
          <w:szCs w:val="22"/>
        </w:rPr>
        <w:t>.0, see section 6.</w:t>
      </w:r>
      <w:r>
        <w:rPr>
          <w:sz w:val="22"/>
          <w:szCs w:val="22"/>
          <w:lang w:eastAsia="ja-JP"/>
        </w:rPr>
        <w:t>5</w:t>
      </w:r>
      <w:r>
        <w:rPr>
          <w:sz w:val="22"/>
          <w:szCs w:val="22"/>
        </w:rPr>
        <w:t>.</w:t>
      </w:r>
      <w:r>
        <w:rPr>
          <w:sz w:val="22"/>
          <w:szCs w:val="22"/>
          <w:lang w:eastAsia="ja-JP"/>
        </w:rPr>
        <w:t>2.1.</w:t>
      </w:r>
    </w:p>
  </w:footnote>
  <w:footnote w:id="5">
    <w:p w14:paraId="5CAE1286" w14:textId="77777777" w:rsidR="00442B04" w:rsidRDefault="00442B04">
      <w:pPr>
        <w:pStyle w:val="FootnoteText"/>
        <w:ind w:left="255" w:hanging="255"/>
      </w:pPr>
      <w:r>
        <w:rPr>
          <w:rStyle w:val="FootnoteReference"/>
        </w:rPr>
        <w:footnoteRef/>
      </w:r>
      <w:r>
        <w:rPr>
          <w:lang w:eastAsia="ko-KR"/>
        </w:rPr>
        <w:tab/>
      </w:r>
      <w:r>
        <w:rPr>
          <w:sz w:val="22"/>
          <w:szCs w:val="22"/>
        </w:rPr>
        <w:t>See 3GPP Document: TS 36 101 v 8.4.0, see Table 6.6.2.1.1-1 (General E-UTRA spectrum emission mask)</w:t>
      </w:r>
      <w:r>
        <w:rPr>
          <w:sz w:val="22"/>
          <w:szCs w:val="22"/>
          <w:lang w:eastAsia="ja-JP"/>
        </w:rPr>
        <w:t xml:space="preserve"> and </w:t>
      </w:r>
      <w:r>
        <w:rPr>
          <w:sz w:val="22"/>
          <w:szCs w:val="22"/>
        </w:rPr>
        <w:t>TS 36 </w:t>
      </w:r>
      <w:r>
        <w:rPr>
          <w:sz w:val="22"/>
          <w:szCs w:val="22"/>
          <w:lang w:eastAsia="ja-JP"/>
        </w:rPr>
        <w:t>521-1</w:t>
      </w:r>
      <w:r>
        <w:rPr>
          <w:sz w:val="22"/>
          <w:szCs w:val="22"/>
        </w:rPr>
        <w:t xml:space="preserve"> v 8.</w:t>
      </w:r>
      <w:r>
        <w:rPr>
          <w:sz w:val="22"/>
          <w:szCs w:val="22"/>
          <w:lang w:eastAsia="ja-JP"/>
        </w:rPr>
        <w:t>0</w:t>
      </w:r>
      <w:r>
        <w:rPr>
          <w:sz w:val="22"/>
          <w:szCs w:val="22"/>
        </w:rPr>
        <w:t>.0, see section 6.</w:t>
      </w:r>
      <w:r>
        <w:rPr>
          <w:sz w:val="22"/>
          <w:szCs w:val="22"/>
          <w:lang w:eastAsia="ja-JP"/>
        </w:rPr>
        <w:t>6.</w:t>
      </w:r>
    </w:p>
  </w:footnote>
  <w:footnote w:id="6">
    <w:p w14:paraId="5CAE1287" w14:textId="77777777" w:rsidR="00442B04" w:rsidRDefault="00442B04">
      <w:pPr>
        <w:pStyle w:val="FootnoteText"/>
        <w:ind w:left="255" w:hanging="255"/>
      </w:pPr>
      <w:r>
        <w:rPr>
          <w:rStyle w:val="FootnoteReference"/>
        </w:rPr>
        <w:footnoteRef/>
      </w:r>
      <w:r>
        <w:tab/>
      </w:r>
      <w:r>
        <w:rPr>
          <w:sz w:val="22"/>
          <w:szCs w:val="22"/>
        </w:rPr>
        <w:t>Depending on the technology, this parameter can take the following values: 3.84 MHz, 4.5 MHz or 4.6 MHz in a block of 5 MHz; 1.2288 MHz in a block of 1.25 MHz.</w:t>
      </w:r>
    </w:p>
  </w:footnote>
  <w:footnote w:id="7">
    <w:p w14:paraId="5CAE1288" w14:textId="77777777" w:rsidR="00442B04" w:rsidRDefault="00442B04">
      <w:pPr>
        <w:pStyle w:val="FootnoteText"/>
      </w:pPr>
      <w:r>
        <w:rPr>
          <w:rStyle w:val="FootnoteReference"/>
        </w:rPr>
        <w:footnoteRef/>
      </w:r>
      <w:r>
        <w:t xml:space="preserve"> </w:t>
      </w:r>
      <w:r>
        <w:tab/>
      </w:r>
      <w:r>
        <w:rPr>
          <w:sz w:val="22"/>
          <w:szCs w:val="22"/>
        </w:rPr>
        <w:t>See Annex 2 of reference 2.</w:t>
      </w:r>
    </w:p>
  </w:footnote>
  <w:footnote w:id="8">
    <w:p w14:paraId="5CAE1289" w14:textId="77777777" w:rsidR="00442B04" w:rsidRDefault="00442B04">
      <w:pPr>
        <w:pStyle w:val="FootnoteText"/>
        <w:rPr>
          <w:sz w:val="22"/>
          <w:szCs w:val="22"/>
        </w:rPr>
      </w:pPr>
      <w:r>
        <w:rPr>
          <w:rStyle w:val="FootnoteReference"/>
        </w:rPr>
        <w:footnoteRef/>
      </w:r>
      <w:r>
        <w:tab/>
      </w:r>
      <w:r>
        <w:rPr>
          <w:sz w:val="22"/>
          <w:szCs w:val="22"/>
        </w:rPr>
        <w:t>In particular remote rural areas such as some parts of Russia, the e.i.r.p. value may be higher.</w:t>
      </w:r>
    </w:p>
  </w:footnote>
  <w:footnote w:id="9">
    <w:p w14:paraId="5CAE128A" w14:textId="77777777" w:rsidR="00442B04" w:rsidRDefault="00442B04">
      <w:pPr>
        <w:pStyle w:val="FootnoteText"/>
      </w:pPr>
      <w:r>
        <w:rPr>
          <w:rStyle w:val="FootnoteReference"/>
        </w:rPr>
        <w:footnoteRef/>
      </w:r>
      <w:r>
        <w:t xml:space="preserve"> </w:t>
      </w:r>
      <w:r>
        <w:tab/>
      </w:r>
      <w:r>
        <w:rPr>
          <w:sz w:val="22"/>
          <w:szCs w:val="22"/>
        </w:rPr>
        <w:t>See Annex 1 of reference 2.</w:t>
      </w:r>
    </w:p>
  </w:footnote>
  <w:footnote w:id="10">
    <w:p w14:paraId="5CAE128B" w14:textId="77777777" w:rsidR="00442B04" w:rsidRDefault="00442B04">
      <w:pPr>
        <w:pStyle w:val="FootnoteText"/>
        <w:ind w:left="255" w:hanging="255"/>
        <w:rPr>
          <w:sz w:val="22"/>
          <w:szCs w:val="22"/>
        </w:rPr>
      </w:pPr>
      <w:r>
        <w:rPr>
          <w:rStyle w:val="FootnoteReference"/>
        </w:rPr>
        <w:footnoteRef/>
      </w:r>
      <w:r>
        <w:tab/>
      </w:r>
      <w:r>
        <w:rPr>
          <w:sz w:val="22"/>
          <w:szCs w:val="22"/>
        </w:rPr>
        <w:t>Although this ITU-R Recommendation applies to frequency bands above 1 GHz, it is considered that sectorial antennas operating in the 800 MHz band that employ technology comparable to that used in bands on the order of 1 GHz to 3 GHz should exhibit similar off-axis performance.</w:t>
      </w:r>
    </w:p>
  </w:footnote>
  <w:footnote w:id="11">
    <w:p w14:paraId="5CAE128C" w14:textId="56088E82" w:rsidR="00442B04" w:rsidRDefault="00442B04" w:rsidP="00442B04">
      <w:pPr>
        <w:pStyle w:val="FootnoteText"/>
        <w:ind w:left="255" w:hanging="255"/>
        <w:rPr>
          <w:sz w:val="22"/>
          <w:szCs w:val="22"/>
        </w:rPr>
      </w:pPr>
      <w:r>
        <w:rPr>
          <w:rStyle w:val="FootnoteReference"/>
        </w:rPr>
        <w:footnoteRef/>
      </w:r>
      <w:r>
        <w:tab/>
      </w:r>
      <w:r>
        <w:rPr>
          <w:sz w:val="22"/>
          <w:szCs w:val="22"/>
        </w:rPr>
        <w:t xml:space="preserve">This value is derived from Recommendation ITU-R </w:t>
      </w:r>
      <w:hyperlink r:id="rId1" w:history="1">
        <w:r w:rsidRPr="00442B04">
          <w:rPr>
            <w:rStyle w:val="Hyperlink"/>
            <w:sz w:val="22"/>
            <w:szCs w:val="22"/>
          </w:rPr>
          <w:t>F.1336-3</w:t>
        </w:r>
      </w:hyperlink>
      <w:r>
        <w:rPr>
          <w:sz w:val="22"/>
          <w:szCs w:val="22"/>
        </w:rPr>
        <w:t xml:space="preserve"> (</w:t>
      </w:r>
      <w:r w:rsidRPr="00442B04">
        <w:rPr>
          <w:i/>
          <w:iCs/>
          <w:sz w:val="22"/>
          <w:szCs w:val="22"/>
        </w:rPr>
        <w:t>recommends</w:t>
      </w:r>
      <w:r>
        <w:rPr>
          <w:sz w:val="22"/>
          <w:szCs w:val="22"/>
        </w:rPr>
        <w:t xml:space="preserve"> 3.3) using an antenna gain of 15 dBi and </w:t>
      </w:r>
      <w:proofErr w:type="gramStart"/>
      <w:r>
        <w:rPr>
          <w:sz w:val="22"/>
          <w:szCs w:val="22"/>
        </w:rPr>
        <w:t>an</w:t>
      </w:r>
      <w:proofErr w:type="gramEnd"/>
      <w:r>
        <w:rPr>
          <w:sz w:val="22"/>
          <w:szCs w:val="22"/>
        </w:rPr>
        <w:t xml:space="preserve"> horizontal aperture of 65°.</w:t>
      </w:r>
    </w:p>
  </w:footnote>
  <w:footnote w:id="12">
    <w:p w14:paraId="5CAE128D" w14:textId="77777777" w:rsidR="00442B04" w:rsidRDefault="00442B04">
      <w:pPr>
        <w:pStyle w:val="FootnoteText"/>
      </w:pPr>
      <w:r>
        <w:rPr>
          <w:rStyle w:val="FootnoteReference"/>
        </w:rPr>
        <w:footnoteRef/>
      </w:r>
      <w:r>
        <w:rPr>
          <w:lang w:eastAsia="ko-KR"/>
        </w:rPr>
        <w:tab/>
      </w:r>
      <w:r>
        <w:rPr>
          <w:sz w:val="22"/>
          <w:szCs w:val="22"/>
        </w:rPr>
        <w:t>This value refers to the block size.</w:t>
      </w:r>
    </w:p>
  </w:footnote>
  <w:footnote w:id="13">
    <w:p w14:paraId="5CAE128E" w14:textId="77777777" w:rsidR="00442B04" w:rsidRDefault="00442B04">
      <w:pPr>
        <w:pStyle w:val="FootnoteText"/>
      </w:pPr>
      <w:r>
        <w:rPr>
          <w:rStyle w:val="FootnoteReference"/>
        </w:rPr>
        <w:footnoteRef/>
      </w:r>
      <w:r>
        <w:t xml:space="preserve"> </w:t>
      </w:r>
      <w:r>
        <w:tab/>
      </w:r>
      <w:r>
        <w:rPr>
          <w:sz w:val="22"/>
          <w:szCs w:val="22"/>
        </w:rPr>
        <w:t>See Annex 4 of reference 2.</w:t>
      </w:r>
    </w:p>
  </w:footnote>
  <w:footnote w:id="14">
    <w:p w14:paraId="5CAE128F" w14:textId="77777777" w:rsidR="00442B04" w:rsidRDefault="00442B04">
      <w:pPr>
        <w:pStyle w:val="FootnoteText"/>
        <w:ind w:left="255" w:hanging="255"/>
      </w:pPr>
      <w:r>
        <w:rPr>
          <w:rStyle w:val="FootnoteReference"/>
        </w:rPr>
        <w:footnoteRef/>
      </w:r>
      <w:r>
        <w:t xml:space="preserve"> </w:t>
      </w:r>
      <w:r>
        <w:tab/>
      </w:r>
      <w:r>
        <w:rPr>
          <w:sz w:val="22"/>
          <w:szCs w:val="22"/>
        </w:rPr>
        <w:t>These values are expressed in users/km² and should be divided by the number of channels available, as appropriate, when studying the compatibility involving IMT in the band 790-862 MHz, to reflect the distribution of users amongst the available channels.</w:t>
      </w:r>
    </w:p>
  </w:footnote>
  <w:footnote w:id="15">
    <w:p w14:paraId="5CAE1290" w14:textId="77777777" w:rsidR="00442B04" w:rsidRDefault="00442B04">
      <w:pPr>
        <w:pStyle w:val="FootnoteText"/>
        <w:ind w:left="255" w:hanging="255"/>
        <w:rPr>
          <w:sz w:val="22"/>
          <w:szCs w:val="22"/>
        </w:rPr>
      </w:pPr>
      <w:r>
        <w:rPr>
          <w:rStyle w:val="FootnoteReference"/>
        </w:rPr>
        <w:footnoteRef/>
      </w:r>
      <w:r>
        <w:tab/>
      </w:r>
      <w:r>
        <w:rPr>
          <w:sz w:val="22"/>
          <w:szCs w:val="22"/>
        </w:rPr>
        <w:t>In particular rural environments such as northern Scandinavia or deserts, the user density may be lower than this. For example, the total population density is 22.6 inhabitants/ km</w:t>
      </w:r>
      <w:r>
        <w:rPr>
          <w:sz w:val="22"/>
          <w:szCs w:val="22"/>
          <w:vertAlign w:val="superscript"/>
        </w:rPr>
        <w:t>2</w:t>
      </w:r>
      <w:r>
        <w:rPr>
          <w:sz w:val="22"/>
          <w:szCs w:val="22"/>
        </w:rPr>
        <w:t xml:space="preserve"> for Sweden and 16 for Finland. For areas intended for 800 MHz coverage the estimated population density is estimated to be </w:t>
      </w:r>
      <w:r>
        <w:rPr>
          <w:sz w:val="22"/>
          <w:szCs w:val="22"/>
        </w:rPr>
        <w:br/>
        <w:t>0.1-0.5 inhabitants/km</w:t>
      </w:r>
      <w:r>
        <w:rPr>
          <w:sz w:val="22"/>
          <w:szCs w:val="22"/>
          <w:vertAlign w:val="superscript"/>
        </w:rPr>
        <w:t>2</w:t>
      </w:r>
      <w:r>
        <w:rPr>
          <w:sz w:val="22"/>
          <w:szCs w:val="22"/>
        </w:rPr>
        <w:t>.</w:t>
      </w:r>
    </w:p>
  </w:footnote>
  <w:footnote w:id="16">
    <w:p w14:paraId="5CAE1291" w14:textId="77777777" w:rsidR="00442B04" w:rsidRDefault="00442B04">
      <w:pPr>
        <w:tabs>
          <w:tab w:val="left" w:pos="284"/>
        </w:tabs>
        <w:ind w:left="284" w:hanging="284"/>
        <w:rPr>
          <w:sz w:val="22"/>
          <w:szCs w:val="22"/>
          <w:lang w:eastAsia="fr-FR"/>
        </w:rPr>
      </w:pPr>
      <w:r>
        <w:rPr>
          <w:rStyle w:val="FootnoteReference"/>
          <w:szCs w:val="18"/>
        </w:rPr>
        <w:footnoteRef/>
      </w:r>
      <w:r>
        <w:rPr>
          <w:sz w:val="18"/>
          <w:szCs w:val="18"/>
          <w:lang w:eastAsia="fr-FR"/>
        </w:rPr>
        <w:tab/>
      </w:r>
      <w:r>
        <w:rPr>
          <w:sz w:val="22"/>
          <w:szCs w:val="22"/>
          <w:lang w:eastAsia="fr-FR"/>
        </w:rPr>
        <w:t>It should be noted that for TDD systems the density of user equipments (numbers per km</w:t>
      </w:r>
      <w:r>
        <w:rPr>
          <w:sz w:val="22"/>
          <w:szCs w:val="22"/>
          <w:vertAlign w:val="superscript"/>
          <w:lang w:eastAsia="fr-FR"/>
        </w:rPr>
        <w:t>2</w:t>
      </w:r>
      <w:r>
        <w:rPr>
          <w:sz w:val="22"/>
          <w:szCs w:val="22"/>
          <w:lang w:eastAsia="fr-FR"/>
        </w:rPr>
        <w:t>) simultaneously operating in a 5 MHz bandwidth would effectively be further reduced.</w:t>
      </w:r>
    </w:p>
    <w:p w14:paraId="5CAE1292" w14:textId="77777777" w:rsidR="00442B04" w:rsidRDefault="00442B04">
      <w:pPr>
        <w:numPr>
          <w:ilvl w:val="0"/>
          <w:numId w:val="10"/>
        </w:numPr>
        <w:overflowPunct/>
        <w:autoSpaceDE/>
        <w:adjustRightInd/>
        <w:ind w:left="1060" w:hanging="357"/>
        <w:textAlignment w:val="auto"/>
        <w:rPr>
          <w:sz w:val="22"/>
          <w:szCs w:val="22"/>
          <w:lang w:eastAsia="fr-FR"/>
        </w:rPr>
      </w:pPr>
      <w:r>
        <w:rPr>
          <w:sz w:val="22"/>
          <w:szCs w:val="22"/>
          <w:lang w:eastAsia="fr-FR"/>
        </w:rPr>
        <w:t xml:space="preserve">the number of 5 MHz blocks is slightly larger for TDD (up to 65 MHz in total) than for FDD </w:t>
      </w:r>
      <w:r>
        <w:rPr>
          <w:sz w:val="22"/>
          <w:szCs w:val="22"/>
          <w:lang w:eastAsia="fr-FR"/>
        </w:rPr>
        <w:br/>
        <w:t>(60 MHz in total);</w:t>
      </w:r>
    </w:p>
    <w:p w14:paraId="5CAE1293" w14:textId="77777777" w:rsidR="00442B04" w:rsidRDefault="00442B04">
      <w:pPr>
        <w:numPr>
          <w:ilvl w:val="0"/>
          <w:numId w:val="10"/>
        </w:numPr>
        <w:overflowPunct/>
        <w:autoSpaceDE/>
        <w:adjustRightInd/>
        <w:spacing w:before="80"/>
        <w:ind w:left="1060" w:hanging="357"/>
        <w:textAlignment w:val="auto"/>
        <w:rPr>
          <w:sz w:val="22"/>
          <w:szCs w:val="22"/>
          <w:lang w:eastAsia="fr-FR"/>
        </w:rPr>
      </w:pPr>
      <w:r>
        <w:rPr>
          <w:sz w:val="22"/>
          <w:szCs w:val="22"/>
          <w:lang w:eastAsia="fr-FR"/>
        </w:rPr>
        <w:t>should JTG 5-6 wish to perform a detailed analysis involving TDD, it should be noted that the TDD base station and mobile station in a given 5 MHz bandwidth will only transmit part of the time (time-division duplex), which will reduce the amount of interference from the base station compared to FDD but at the same time add interference from the mobile station which is not the case for FDD.</w:t>
      </w:r>
    </w:p>
    <w:p w14:paraId="5CAE1294" w14:textId="51FF0DC8" w:rsidR="00442B04" w:rsidRDefault="00442B04" w:rsidP="003C4054">
      <w:pPr>
        <w:tabs>
          <w:tab w:val="left" w:pos="284"/>
        </w:tabs>
        <w:overflowPunct/>
        <w:autoSpaceDE/>
        <w:adjustRightInd/>
        <w:ind w:left="284" w:hanging="284"/>
        <w:rPr>
          <w:sz w:val="22"/>
          <w:szCs w:val="22"/>
          <w:lang w:eastAsia="de-DE"/>
        </w:rPr>
      </w:pPr>
      <w:r>
        <w:rPr>
          <w:sz w:val="22"/>
          <w:szCs w:val="22"/>
        </w:rPr>
        <w:tab/>
        <w:t xml:space="preserve">As detailed in Annex 4, these calculations of user density only consider carrying traffic in the </w:t>
      </w:r>
      <w:r>
        <w:rPr>
          <w:sz w:val="22"/>
          <w:szCs w:val="22"/>
        </w:rPr>
        <w:br/>
        <w:t>790-862 MHz, 900 MHz, 1.8 GHz, 2.1 GHz and 2.6 GHz bands.  If, in addition to these bands, other frequency bands that were identified for IMT were considered, the user density figures for suburban and urban areas may in reality be lower than the values given in row 17, independent of the duplex method.</w:t>
      </w:r>
    </w:p>
  </w:footnote>
  <w:footnote w:id="17">
    <w:p w14:paraId="5CAE1295" w14:textId="77777777" w:rsidR="00442B04" w:rsidRDefault="00442B04">
      <w:pPr>
        <w:pStyle w:val="FootnoteText"/>
        <w:ind w:left="255" w:hanging="255"/>
        <w:rPr>
          <w:szCs w:val="22"/>
        </w:rPr>
      </w:pPr>
      <w:r>
        <w:rPr>
          <w:rStyle w:val="FootnoteReference"/>
        </w:rPr>
        <w:footnoteRef/>
      </w:r>
      <w:r>
        <w:t xml:space="preserve"> </w:t>
      </w:r>
      <w:r>
        <w:tab/>
      </w:r>
      <w:r>
        <w:rPr>
          <w:sz w:val="22"/>
          <w:szCs w:val="22"/>
        </w:rPr>
        <w:t>Typically base stations today use cross-polarized antennas (two sets of dipoles slanted at ±45° against the horizontal plane), usually transmitting on one of the two polarisation paths (either +45° or –45° for a given frequency) whilst receiving on both paths (to achieve polarisation diversity). Such signals provide an isolation of 3 dB against both horizontally and vertically polarised signals (e.g. DVB-T signals) due to cross-polarisation discrimination.</w:t>
      </w:r>
    </w:p>
  </w:footnote>
  <w:footnote w:id="18">
    <w:p w14:paraId="5CAE1296" w14:textId="77777777" w:rsidR="00442B04" w:rsidRDefault="00442B04">
      <w:pPr>
        <w:pStyle w:val="Index2"/>
        <w:tabs>
          <w:tab w:val="left" w:pos="284"/>
        </w:tabs>
        <w:ind w:left="284" w:hanging="284"/>
        <w:rPr>
          <w:sz w:val="22"/>
          <w:szCs w:val="22"/>
        </w:rPr>
      </w:pPr>
      <w:r>
        <w:rPr>
          <w:rStyle w:val="FootnoteReference"/>
          <w:szCs w:val="18"/>
        </w:rPr>
        <w:footnoteRef/>
      </w:r>
      <w:r>
        <w:rPr>
          <w:sz w:val="22"/>
          <w:szCs w:val="22"/>
        </w:rPr>
        <w:tab/>
        <w:t>For systems based on OFDM, in the rural deployment, frequency reuse factor 3 is mostly planned (although 1 is not excluded), and at urban and suburban environments, frequency reuse factor 1 or 3 can be used.</w:t>
      </w:r>
    </w:p>
    <w:p w14:paraId="5CAE1297" w14:textId="77777777" w:rsidR="00442B04" w:rsidRDefault="00442B04">
      <w:pPr>
        <w:pStyle w:val="FootnoteText"/>
        <w:ind w:left="255" w:hanging="255"/>
        <w:rPr>
          <w:sz w:val="22"/>
          <w:szCs w:val="22"/>
        </w:rPr>
      </w:pPr>
      <w:r>
        <w:rPr>
          <w:szCs w:val="22"/>
        </w:rPr>
        <w:tab/>
      </w:r>
      <w:r>
        <w:rPr>
          <w:sz w:val="22"/>
          <w:szCs w:val="22"/>
        </w:rPr>
        <w:t>Frequency reuse factor 3 can be implemented by both traffic channels and control channels. And frequency reuse factor 1 can be implemented by traffic channels. In order to avoid inter-cell interference, all of the sub-carriers can be only used in the cell centre with lower power, and parts of the sub-carriers can be used at the cell edge.</w:t>
      </w:r>
    </w:p>
  </w:footnote>
  <w:footnote w:id="19">
    <w:p w14:paraId="5CAE1298" w14:textId="77777777" w:rsidR="00442B04" w:rsidRPr="00880DF1" w:rsidRDefault="00442B04">
      <w:pPr>
        <w:pStyle w:val="FootnoteText"/>
        <w:rPr>
          <w:rStyle w:val="FootnoteTextChar"/>
          <w:sz w:val="22"/>
          <w:szCs w:val="18"/>
        </w:rPr>
      </w:pPr>
      <w:r>
        <w:rPr>
          <w:rStyle w:val="FootnoteReference"/>
          <w:szCs w:val="22"/>
        </w:rPr>
        <w:footnoteRef/>
      </w:r>
      <w:r>
        <w:rPr>
          <w:rStyle w:val="FootnoteReference"/>
          <w:szCs w:val="22"/>
        </w:rPr>
        <w:tab/>
      </w:r>
      <w:r w:rsidRPr="00880DF1">
        <w:rPr>
          <w:rStyle w:val="FootnoteTextChar"/>
          <w:sz w:val="22"/>
        </w:rPr>
        <w:t>For a 5 MHz channel.</w:t>
      </w:r>
    </w:p>
  </w:footnote>
  <w:footnote w:id="20">
    <w:p w14:paraId="5CAE1299" w14:textId="77777777" w:rsidR="00442B04" w:rsidRDefault="00442B04">
      <w:pPr>
        <w:pStyle w:val="FirstFooter"/>
        <w:tabs>
          <w:tab w:val="left" w:pos="284"/>
        </w:tabs>
        <w:rPr>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7.2.</w:t>
      </w:r>
    </w:p>
  </w:footnote>
  <w:footnote w:id="21">
    <w:p w14:paraId="5CAE129A" w14:textId="77777777" w:rsidR="00442B04" w:rsidRDefault="00442B04">
      <w:pPr>
        <w:pStyle w:val="FirstFooter"/>
        <w:tabs>
          <w:tab w:val="left" w:pos="284"/>
        </w:tabs>
        <w:rPr>
          <w:sz w:val="22"/>
          <w:szCs w:val="22"/>
          <w:lang w:eastAsia="ja-JP"/>
        </w:rPr>
      </w:pPr>
      <w:r>
        <w:rPr>
          <w:rStyle w:val="FootnoteReference"/>
          <w:szCs w:val="22"/>
        </w:rPr>
        <w:footnoteRef/>
      </w:r>
      <w:r>
        <w:rPr>
          <w:rStyle w:val="FootnoteReference"/>
          <w:szCs w:val="22"/>
        </w:rPr>
        <w:tab/>
      </w:r>
      <w:r>
        <w:rPr>
          <w:sz w:val="22"/>
          <w:szCs w:val="22"/>
          <w:lang w:eastAsia="ja-JP"/>
        </w:rPr>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7.3.</w:t>
      </w:r>
    </w:p>
  </w:footnote>
  <w:footnote w:id="22">
    <w:p w14:paraId="5CAE129B" w14:textId="77777777" w:rsidR="00442B04" w:rsidRDefault="00442B04">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7.6.</w:t>
      </w:r>
    </w:p>
  </w:footnote>
  <w:footnote w:id="23">
    <w:p w14:paraId="5CAE129C" w14:textId="77777777" w:rsidR="00442B04" w:rsidRDefault="00442B04">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7.6.3.</w:t>
      </w:r>
    </w:p>
  </w:footnote>
  <w:footnote w:id="24">
    <w:p w14:paraId="5CAE129D" w14:textId="6B1EFA01" w:rsidR="00442B04" w:rsidRDefault="00442B04" w:rsidP="00880DF1">
      <w:pPr>
        <w:pStyle w:val="FootnoteText"/>
        <w:ind w:left="255" w:hanging="255"/>
        <w:rPr>
          <w:sz w:val="22"/>
          <w:szCs w:val="22"/>
          <w:lang w:val="en-US"/>
        </w:rPr>
      </w:pPr>
      <w:r>
        <w:rPr>
          <w:rStyle w:val="FootnoteReference"/>
          <w:szCs w:val="18"/>
        </w:rPr>
        <w:footnoteRef/>
      </w:r>
      <w:r>
        <w:rPr>
          <w:sz w:val="18"/>
          <w:szCs w:val="18"/>
        </w:rPr>
        <w:tab/>
      </w:r>
      <w:r>
        <w:rPr>
          <w:sz w:val="22"/>
          <w:szCs w:val="22"/>
          <w:lang w:val="en-US"/>
        </w:rPr>
        <w:t xml:space="preserve">A table should be appropriately created for specific band or frequency ranges (e.g. “below 1 GHz”).  Rows may be added for other appropriate characteristics. Report ITU-R </w:t>
      </w:r>
      <w:hyperlink r:id="rId2" w:history="1">
        <w:r w:rsidRPr="00442B04">
          <w:rPr>
            <w:rStyle w:val="Hyperlink"/>
            <w:sz w:val="22"/>
            <w:szCs w:val="22"/>
            <w:lang w:val="en-US"/>
          </w:rPr>
          <w:t>M.2039-2</w:t>
        </w:r>
      </w:hyperlink>
      <w:r>
        <w:rPr>
          <w:sz w:val="22"/>
          <w:szCs w:val="22"/>
          <w:lang w:val="en-US"/>
        </w:rPr>
        <w:t xml:space="preserve"> may be consulted for examples/guidance.</w:t>
      </w:r>
    </w:p>
  </w:footnote>
  <w:footnote w:id="25">
    <w:p w14:paraId="5CAE129E" w14:textId="77777777" w:rsidR="00442B04" w:rsidRDefault="00442B04">
      <w:pPr>
        <w:pStyle w:val="FootnoteText"/>
        <w:rPr>
          <w:sz w:val="22"/>
          <w:szCs w:val="22"/>
        </w:rPr>
      </w:pPr>
      <w:r>
        <w:rPr>
          <w:rStyle w:val="FootnoteReference"/>
          <w:szCs w:val="18"/>
        </w:rPr>
        <w:footnoteRef/>
      </w:r>
      <w:r>
        <w:rPr>
          <w:sz w:val="22"/>
          <w:szCs w:val="22"/>
        </w:rPr>
        <w:t xml:space="preserve"> For reference, see information on macro, micro, pico and femto base stations in Report ITU-R M.2039.</w:t>
      </w:r>
    </w:p>
  </w:footnote>
  <w:footnote w:id="26">
    <w:p w14:paraId="5CAE129F" w14:textId="77777777" w:rsidR="00442B04" w:rsidRDefault="00442B04">
      <w:pPr>
        <w:pStyle w:val="FootnoteText"/>
        <w:rPr>
          <w:sz w:val="22"/>
          <w:szCs w:val="22"/>
          <w:lang w:val="en-US"/>
        </w:rPr>
      </w:pPr>
      <w:r>
        <w:rPr>
          <w:rStyle w:val="FootnoteReference"/>
          <w:szCs w:val="18"/>
        </w:rPr>
        <w:footnoteRef/>
      </w:r>
      <w:r>
        <w:rPr>
          <w:sz w:val="18"/>
          <w:szCs w:val="18"/>
          <w:lang w:val="en-US"/>
        </w:rPr>
        <w:tab/>
      </w:r>
      <w:r>
        <w:rPr>
          <w:sz w:val="22"/>
          <w:szCs w:val="22"/>
          <w:lang w:val="en-US"/>
        </w:rPr>
        <w:t>Developed by 3GPP as LTE Release 10 and Beyond (</w:t>
      </w:r>
      <w:r>
        <w:rPr>
          <w:i/>
          <w:sz w:val="22"/>
          <w:szCs w:val="22"/>
          <w:lang w:val="en-US"/>
        </w:rPr>
        <w:t>LTE-Advanced</w:t>
      </w:r>
      <w:r>
        <w:rPr>
          <w:sz w:val="22"/>
          <w:szCs w:val="22"/>
          <w:lang w:val="en-US"/>
        </w:rPr>
        <w:t>).</w:t>
      </w:r>
    </w:p>
  </w:footnote>
  <w:footnote w:id="27">
    <w:p w14:paraId="5CAE12A0" w14:textId="77777777" w:rsidR="00442B04" w:rsidRDefault="00442B04" w:rsidP="00880DF1">
      <w:pPr>
        <w:pStyle w:val="FootnoteText"/>
        <w:ind w:left="255" w:hanging="255"/>
        <w:rPr>
          <w:sz w:val="22"/>
          <w:szCs w:val="22"/>
          <w:lang w:val="en-US"/>
        </w:rPr>
      </w:pPr>
      <w:r>
        <w:rPr>
          <w:rStyle w:val="FootnoteReference"/>
          <w:szCs w:val="18"/>
        </w:rPr>
        <w:footnoteRef/>
      </w:r>
      <w:r>
        <w:rPr>
          <w:sz w:val="22"/>
          <w:szCs w:val="22"/>
          <w:lang w:val="en-US"/>
        </w:rPr>
        <w:tab/>
        <w:t>Developed by IEEE as the WirelessMAN-Advanced specification incorporated in IEEE Std 802.16 beginning with approval of IEEE Std 802.16m.</w:t>
      </w:r>
    </w:p>
  </w:footnote>
  <w:footnote w:id="28">
    <w:p w14:paraId="5CAE12A1" w14:textId="77777777" w:rsidR="00442B04" w:rsidRDefault="00442B04" w:rsidP="001D23A4">
      <w:pPr>
        <w:pStyle w:val="FootnoteText"/>
        <w:tabs>
          <w:tab w:val="clear" w:pos="255"/>
          <w:tab w:val="left" w:pos="284"/>
        </w:tabs>
        <w:ind w:left="284" w:hanging="284"/>
      </w:pPr>
      <w:r>
        <w:rPr>
          <w:rStyle w:val="FootnoteReference"/>
        </w:rPr>
        <w:t>(1)</w:t>
      </w:r>
      <w:r>
        <w:rPr>
          <w:rStyle w:val="FootnoteReference"/>
        </w:rPr>
        <w:tab/>
      </w:r>
      <w:r>
        <w:t>A concerned ITU-R group may be either a contributing group on a specific item (indicated in bold), or an interested group (indicated between round brackets) that will follow the work on a specific issue and act as appropriate.</w:t>
      </w:r>
    </w:p>
  </w:footnote>
  <w:footnote w:id="29">
    <w:p w14:paraId="5CAE12A2" w14:textId="5E0E3425" w:rsidR="00442B04" w:rsidRDefault="00442B04">
      <w:pPr>
        <w:pStyle w:val="FootnoteText"/>
        <w:tabs>
          <w:tab w:val="clear" w:pos="255"/>
          <w:tab w:val="left" w:pos="284"/>
        </w:tabs>
      </w:pPr>
      <w:r>
        <w:rPr>
          <w:rStyle w:val="FootnoteReference"/>
        </w:rPr>
        <w:t>(2)</w:t>
      </w:r>
      <w:r>
        <w:tab/>
      </w:r>
      <w:r>
        <w:rPr>
          <w:lang w:val="en-US"/>
        </w:rPr>
        <w:t xml:space="preserve">See the </w:t>
      </w:r>
      <w:r>
        <w:t>CPM15-1 Decision on the establishment and Terms of Reference of Joint Task Group 4-5-6-7 (Annex 10 to this Administrative Circular).</w:t>
      </w: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6D" w14:textId="77777777" w:rsidR="00442B04" w:rsidRDefault="00442B04">
    <w:pPr>
      <w:pStyle w:val="Header"/>
    </w:pPr>
    <w:r>
      <w:t xml:space="preserve">- </w:t>
    </w:r>
    <w:sdt>
      <w:sdtPr>
        <w:id w:val="-9931772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12FAF">
          <w:rPr>
            <w:noProof/>
          </w:rPr>
          <w:t>5</w:t>
        </w:r>
        <w:r>
          <w:rPr>
            <w:noProof/>
          </w:rPr>
          <w:fldChar w:fldCharType="end"/>
        </w:r>
        <w:r>
          <w:rPr>
            <w:noProof/>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67661"/>
      <w:docPartObj>
        <w:docPartGallery w:val="Page Numbers (Top of Page)"/>
        <w:docPartUnique/>
      </w:docPartObj>
    </w:sdtPr>
    <w:sdtEndPr>
      <w:rPr>
        <w:noProof/>
      </w:rPr>
    </w:sdtEndPr>
    <w:sdtContent>
      <w:p w14:paraId="5CAE1276" w14:textId="309B6D2F" w:rsidR="00442B04" w:rsidRDefault="00442B04" w:rsidP="001D23A4">
        <w:pPr>
          <w:pStyle w:val="Header"/>
        </w:pPr>
        <w:r>
          <w:t xml:space="preserve">- </w:t>
        </w:r>
        <w:r>
          <w:fldChar w:fldCharType="begin"/>
        </w:r>
        <w:r>
          <w:instrText xml:space="preserve"> PAGE   \* MERGEFORMAT </w:instrText>
        </w:r>
        <w:r>
          <w:fldChar w:fldCharType="separate"/>
        </w:r>
        <w:r w:rsidR="00512FAF">
          <w:rPr>
            <w:noProof/>
          </w:rPr>
          <w:t>10</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8" w14:textId="77777777" w:rsidR="00442B04" w:rsidRDefault="00442B04">
    <w:pPr>
      <w:pStyle w:val="Header"/>
    </w:pPr>
    <w:r>
      <w:t xml:space="preserve">- </w:t>
    </w:r>
    <w:sdt>
      <w:sdtPr>
        <w:id w:val="16562600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12FAF">
          <w:rPr>
            <w:noProof/>
          </w:rPr>
          <w:t>6</w:t>
        </w:r>
        <w:r>
          <w:rPr>
            <w:noProof/>
          </w:rPr>
          <w:fldChar w:fldCharType="end"/>
        </w:r>
        <w:r>
          <w:rPr>
            <w:noProof/>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8180"/>
      <w:docPartObj>
        <w:docPartGallery w:val="Page Numbers (Top of Page)"/>
        <w:docPartUnique/>
      </w:docPartObj>
    </w:sdtPr>
    <w:sdtEndPr>
      <w:rPr>
        <w:noProof/>
      </w:rPr>
    </w:sdtEndPr>
    <w:sdtContent>
      <w:p w14:paraId="5CAE127B" w14:textId="77777777" w:rsidR="00442B04" w:rsidRDefault="00442B04">
        <w:pPr>
          <w:pStyle w:val="Header"/>
        </w:pPr>
        <w:r>
          <w:t xml:space="preserve">- </w:t>
        </w:r>
        <w:r>
          <w:fldChar w:fldCharType="begin"/>
        </w:r>
        <w:r>
          <w:instrText xml:space="preserve"> PAGE   \* MERGEFORMAT </w:instrText>
        </w:r>
        <w:r>
          <w:fldChar w:fldCharType="separate"/>
        </w:r>
        <w:r w:rsidR="00512FAF">
          <w:rPr>
            <w:noProof/>
          </w:rPr>
          <w:t>11</w:t>
        </w:r>
        <w:r>
          <w:rPr>
            <w:noProof/>
          </w:rPr>
          <w:fldChar w:fldCharType="end"/>
        </w:r>
        <w:r>
          <w:rPr>
            <w:noProof/>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E" w14:textId="77777777" w:rsidR="00442B04" w:rsidRDefault="0044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p w14:paraId="5CAE127F" w14:textId="77777777" w:rsidR="00442B04" w:rsidRDefault="00442B04">
    <w:pPr>
      <w:pStyle w:val="Header"/>
      <w:rPr>
        <w:lang w:val="en-US"/>
      </w:rPr>
    </w:pPr>
    <w:r>
      <w:rPr>
        <w:lang w:val="en-US"/>
      </w:rPr>
      <w:t>5D/TEMP/26-E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E953" w14:textId="77777777" w:rsidR="00442B04" w:rsidRDefault="00442B04">
    <w:pPr>
      <w:pStyle w:val="Header"/>
    </w:pPr>
    <w:r>
      <w:t xml:space="preserve">- </w:t>
    </w:r>
    <w:sdt>
      <w:sdtPr>
        <w:id w:val="-3902769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12FAF">
          <w:rPr>
            <w:noProof/>
          </w:rPr>
          <w:t>12</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DD5"/>
    <w:multiLevelType w:val="hybridMultilevel"/>
    <w:tmpl w:val="55949224"/>
    <w:lvl w:ilvl="0" w:tplc="6152120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C1F65"/>
    <w:multiLevelType w:val="hybridMultilevel"/>
    <w:tmpl w:val="2E5C0FF6"/>
    <w:lvl w:ilvl="0" w:tplc="A044CCAA">
      <w:start w:val="1"/>
      <w:numFmt w:val="bullet"/>
      <w:lvlText w:val="•"/>
      <w:lvlJc w:val="left"/>
      <w:pPr>
        <w:tabs>
          <w:tab w:val="num" w:pos="720"/>
        </w:tabs>
        <w:ind w:left="720" w:hanging="360"/>
      </w:pPr>
      <w:rPr>
        <w:rFonts w:ascii="Arial" w:hAnsi="Arial" w:hint="default"/>
      </w:rPr>
    </w:lvl>
    <w:lvl w:ilvl="1" w:tplc="398AE96E">
      <w:start w:val="825"/>
      <w:numFmt w:val="bullet"/>
      <w:lvlText w:val="–"/>
      <w:lvlJc w:val="left"/>
      <w:pPr>
        <w:tabs>
          <w:tab w:val="num" w:pos="1440"/>
        </w:tabs>
        <w:ind w:left="1440" w:hanging="360"/>
      </w:pPr>
      <w:rPr>
        <w:rFonts w:ascii="Arial" w:hAnsi="Arial" w:hint="default"/>
      </w:rPr>
    </w:lvl>
    <w:lvl w:ilvl="2" w:tplc="9ED4B9D6">
      <w:start w:val="1"/>
      <w:numFmt w:val="bullet"/>
      <w:lvlText w:val="•"/>
      <w:lvlJc w:val="left"/>
      <w:pPr>
        <w:tabs>
          <w:tab w:val="num" w:pos="2160"/>
        </w:tabs>
        <w:ind w:left="2160" w:hanging="360"/>
      </w:pPr>
      <w:rPr>
        <w:rFonts w:ascii="Arial" w:hAnsi="Arial" w:hint="default"/>
      </w:rPr>
    </w:lvl>
    <w:lvl w:ilvl="3" w:tplc="B65A1718" w:tentative="1">
      <w:start w:val="1"/>
      <w:numFmt w:val="bullet"/>
      <w:lvlText w:val="•"/>
      <w:lvlJc w:val="left"/>
      <w:pPr>
        <w:tabs>
          <w:tab w:val="num" w:pos="2880"/>
        </w:tabs>
        <w:ind w:left="2880" w:hanging="360"/>
      </w:pPr>
      <w:rPr>
        <w:rFonts w:ascii="Arial" w:hAnsi="Arial" w:hint="default"/>
      </w:rPr>
    </w:lvl>
    <w:lvl w:ilvl="4" w:tplc="583A1D8C" w:tentative="1">
      <w:start w:val="1"/>
      <w:numFmt w:val="bullet"/>
      <w:lvlText w:val="•"/>
      <w:lvlJc w:val="left"/>
      <w:pPr>
        <w:tabs>
          <w:tab w:val="num" w:pos="3600"/>
        </w:tabs>
        <w:ind w:left="3600" w:hanging="360"/>
      </w:pPr>
      <w:rPr>
        <w:rFonts w:ascii="Arial" w:hAnsi="Arial" w:hint="default"/>
      </w:rPr>
    </w:lvl>
    <w:lvl w:ilvl="5" w:tplc="C7302334" w:tentative="1">
      <w:start w:val="1"/>
      <w:numFmt w:val="bullet"/>
      <w:lvlText w:val="•"/>
      <w:lvlJc w:val="left"/>
      <w:pPr>
        <w:tabs>
          <w:tab w:val="num" w:pos="4320"/>
        </w:tabs>
        <w:ind w:left="4320" w:hanging="360"/>
      </w:pPr>
      <w:rPr>
        <w:rFonts w:ascii="Arial" w:hAnsi="Arial" w:hint="default"/>
      </w:rPr>
    </w:lvl>
    <w:lvl w:ilvl="6" w:tplc="0BDE983E" w:tentative="1">
      <w:start w:val="1"/>
      <w:numFmt w:val="bullet"/>
      <w:lvlText w:val="•"/>
      <w:lvlJc w:val="left"/>
      <w:pPr>
        <w:tabs>
          <w:tab w:val="num" w:pos="5040"/>
        </w:tabs>
        <w:ind w:left="5040" w:hanging="360"/>
      </w:pPr>
      <w:rPr>
        <w:rFonts w:ascii="Arial" w:hAnsi="Arial" w:hint="default"/>
      </w:rPr>
    </w:lvl>
    <w:lvl w:ilvl="7" w:tplc="2CF04AC8" w:tentative="1">
      <w:start w:val="1"/>
      <w:numFmt w:val="bullet"/>
      <w:lvlText w:val="•"/>
      <w:lvlJc w:val="left"/>
      <w:pPr>
        <w:tabs>
          <w:tab w:val="num" w:pos="5760"/>
        </w:tabs>
        <w:ind w:left="5760" w:hanging="360"/>
      </w:pPr>
      <w:rPr>
        <w:rFonts w:ascii="Arial" w:hAnsi="Arial" w:hint="default"/>
      </w:rPr>
    </w:lvl>
    <w:lvl w:ilvl="8" w:tplc="5334505C" w:tentative="1">
      <w:start w:val="1"/>
      <w:numFmt w:val="bullet"/>
      <w:lvlText w:val="•"/>
      <w:lvlJc w:val="left"/>
      <w:pPr>
        <w:tabs>
          <w:tab w:val="num" w:pos="6480"/>
        </w:tabs>
        <w:ind w:left="6480" w:hanging="360"/>
      </w:pPr>
      <w:rPr>
        <w:rFonts w:ascii="Arial" w:hAnsi="Arial" w:hint="default"/>
      </w:rPr>
    </w:lvl>
  </w:abstractNum>
  <w:abstractNum w:abstractNumId="2">
    <w:nsid w:val="1B751A88"/>
    <w:multiLevelType w:val="hybridMultilevel"/>
    <w:tmpl w:val="8384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D6D9F"/>
    <w:multiLevelType w:val="hybridMultilevel"/>
    <w:tmpl w:val="003423E8"/>
    <w:lvl w:ilvl="0" w:tplc="3342BAA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25E0A"/>
    <w:multiLevelType w:val="hybridMultilevel"/>
    <w:tmpl w:val="2110E730"/>
    <w:lvl w:ilvl="0" w:tplc="E5E2B3FA">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5">
    <w:nsid w:val="3A632411"/>
    <w:multiLevelType w:val="hybridMultilevel"/>
    <w:tmpl w:val="144C306A"/>
    <w:lvl w:ilvl="0" w:tplc="520E7814">
      <w:start w:val="1"/>
      <w:numFmt w:val="decimal"/>
      <w:lvlText w:val="%1)"/>
      <w:lvlJc w:val="left"/>
      <w:pPr>
        <w:tabs>
          <w:tab w:val="num" w:pos="1065"/>
        </w:tabs>
        <w:ind w:left="106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4A962FA7"/>
    <w:multiLevelType w:val="hybridMultilevel"/>
    <w:tmpl w:val="B982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FA6B7F"/>
    <w:multiLevelType w:val="hybridMultilevel"/>
    <w:tmpl w:val="522CF656"/>
    <w:lvl w:ilvl="0" w:tplc="398AE96E">
      <w:start w:val="825"/>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95478"/>
    <w:multiLevelType w:val="hybridMultilevel"/>
    <w:tmpl w:val="A096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A5B2B"/>
    <w:multiLevelType w:val="hybridMultilevel"/>
    <w:tmpl w:val="8FA05A32"/>
    <w:lvl w:ilvl="0" w:tplc="B91C051E">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0">
    <w:nsid w:val="50367415"/>
    <w:multiLevelType w:val="hybridMultilevel"/>
    <w:tmpl w:val="575CF802"/>
    <w:lvl w:ilvl="0" w:tplc="208CD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9B6191"/>
    <w:multiLevelType w:val="hybridMultilevel"/>
    <w:tmpl w:val="1C1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B66D8"/>
    <w:multiLevelType w:val="hybridMultilevel"/>
    <w:tmpl w:val="E3CC8594"/>
    <w:lvl w:ilvl="0" w:tplc="398AE96E">
      <w:start w:val="825"/>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12"/>
  </w:num>
  <w:num w:numId="6">
    <w:abstractNumId w:val="6"/>
  </w:num>
  <w:num w:numId="7">
    <w:abstractNumId w:val="7"/>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B2"/>
    <w:rsid w:val="00037A17"/>
    <w:rsid w:val="000E7108"/>
    <w:rsid w:val="001C0A31"/>
    <w:rsid w:val="001D23A4"/>
    <w:rsid w:val="0030186A"/>
    <w:rsid w:val="00340B9C"/>
    <w:rsid w:val="003C4054"/>
    <w:rsid w:val="00442B04"/>
    <w:rsid w:val="004868E6"/>
    <w:rsid w:val="004D0CB2"/>
    <w:rsid w:val="00512FAF"/>
    <w:rsid w:val="00562986"/>
    <w:rsid w:val="005F7CA6"/>
    <w:rsid w:val="006C7A70"/>
    <w:rsid w:val="006D43D7"/>
    <w:rsid w:val="00880DF1"/>
    <w:rsid w:val="008C77B2"/>
    <w:rsid w:val="00950F80"/>
    <w:rsid w:val="00A75BCD"/>
    <w:rsid w:val="00C62F88"/>
    <w:rsid w:val="00CD4E3B"/>
    <w:rsid w:val="00E2052A"/>
    <w:rsid w:val="00F91C79"/>
    <w:rsid w:val="00FC390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AE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FollowedHyperlink">
    <w:name w:val="FollowedHyperlink"/>
    <w:basedOn w:val="DefaultParagraphFont"/>
    <w:rsid w:val="00340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FollowedHyperlink">
    <w:name w:val="FollowedHyperlink"/>
    <w:basedOn w:val="DefaultParagraphFont"/>
    <w:rsid w:val="00340B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M.2012-0-201201-I/en"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tu.int/pub/R-REP-M.2039-2-2010" TargetMode="External"/><Relationship Id="rId17" Type="http://schemas.openxmlformats.org/officeDocument/2006/relationships/hyperlink" Target="mailto:sergio.buonomo@itu.int" TargetMode="External"/><Relationship Id="rId25" Type="http://schemas.openxmlformats.org/officeDocument/2006/relationships/hyperlink" Target="http://www.itu.int/md/R00-CA-CIR-0201/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pub/R-REP-M.2039-2-2010"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R-REP-M.2039-2-2010" TargetMode="External"/><Relationship Id="rId1" Type="http://schemas.openxmlformats.org/officeDocument/2006/relationships/hyperlink" Target="http://www.itu.int/rec/R-REC-F.1336-3-201203-I/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1" ma:contentTypeDescription="Create a new document." ma:contentTypeScope="" ma:versionID="6a8a9f995747ff93be159b97f09c6e7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AD3FB-7D0C-4BC7-9F24-1919CE37E3D2}">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4c6a61cb-1973-4fc6-92ae-f4d7a4471404"/>
    <ds:schemaRef ds:uri="http://www.w3.org/XML/1998/namespace"/>
  </ds:schemaRefs>
</ds:datastoreItem>
</file>

<file path=customXml/itemProps2.xml><?xml version="1.0" encoding="utf-8"?>
<ds:datastoreItem xmlns:ds="http://schemas.openxmlformats.org/officeDocument/2006/customXml" ds:itemID="{FADC11B1-15DE-4A52-B88A-EDABFA0A1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4446-E1DE-4150-B731-85B5ECA15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98</TotalTime>
  <Pages>12</Pages>
  <Words>2598</Words>
  <Characters>14486</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	Summary</vt:lpstr>
      <vt:lpstr>2	Introduction</vt:lpstr>
      <vt:lpstr>3	Information needed to support sharing studies under AIs 1.1 and 1.2</vt:lpstr>
      <vt:lpstr>4	Request to 3GPP and IEEE</vt:lpstr>
      <vt:lpstr>5	Administrative information</vt:lpstr>
      <vt:lpstr/>
      <vt:lpstr>6	Reference documents</vt:lpstr>
    </vt:vector>
  </TitlesOfParts>
  <Manager/>
  <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Fernandez Virginia</cp:lastModifiedBy>
  <cp:revision>4</cp:revision>
  <cp:lastPrinted>2012-07-27T08:12:00Z</cp:lastPrinted>
  <dcterms:created xsi:type="dcterms:W3CDTF">2012-07-27T07:55:00Z</dcterms:created>
  <dcterms:modified xsi:type="dcterms:W3CDTF">2012-07-27T09:38:00Z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0x010100C570B5F7808D304AAB7669FEC90DDD2D</vt:lpwstr>
  </property>
</Properties>
</file>