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928CC" w:rsidP="007928CC">
            <w:pPr>
              <w:shd w:val="solid" w:color="FFFFFF" w:fill="FFFFFF"/>
              <w:spacing w:before="0" w:line="240" w:lineRule="atLeast"/>
            </w:pPr>
            <w:bookmarkStart w:id="0" w:name="ditulogo"/>
            <w:bookmarkEnd w:id="0"/>
            <w:r>
              <w:rPr>
                <w:noProof/>
                <w:lang w:val="en-US" w:eastAsia="zh-CN"/>
              </w:rPr>
              <w:drawing>
                <wp:inline distT="0" distB="0" distL="0" distR="0" wp14:anchorId="04829F6B" wp14:editId="222A839F">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D43EE">
        <w:trPr>
          <w:cantSplit/>
        </w:trPr>
        <w:tc>
          <w:tcPr>
            <w:tcW w:w="6580" w:type="dxa"/>
            <w:vMerge w:val="restart"/>
          </w:tcPr>
          <w:p w:rsidR="007928CC" w:rsidRDefault="007928CC" w:rsidP="004D43EE">
            <w:pPr>
              <w:shd w:val="solid" w:color="FFFFFF" w:fill="FFFFFF"/>
              <w:tabs>
                <w:tab w:val="clear" w:pos="1134"/>
                <w:tab w:val="clear" w:pos="1871"/>
                <w:tab w:val="clear" w:pos="2268"/>
              </w:tabs>
              <w:spacing w:before="0" w:after="240"/>
              <w:ind w:left="1134" w:hanging="1134"/>
              <w:rPr>
                <w:rFonts w:ascii="Verdana" w:hAnsi="Verdana"/>
                <w:bCs/>
                <w:sz w:val="20"/>
                <w:lang w:val="fr-CH"/>
              </w:rPr>
            </w:pPr>
            <w:bookmarkStart w:id="1" w:name="recibido"/>
            <w:bookmarkStart w:id="2" w:name="dnum" w:colFirst="1" w:colLast="1"/>
            <w:bookmarkEnd w:id="1"/>
            <w:r w:rsidRPr="004D43EE">
              <w:rPr>
                <w:rFonts w:ascii="Verdana" w:hAnsi="Verdana"/>
                <w:sz w:val="20"/>
                <w:lang w:val="fr-CH"/>
              </w:rPr>
              <w:t>Source:</w:t>
            </w:r>
            <w:r w:rsidRPr="004D43EE">
              <w:rPr>
                <w:rFonts w:ascii="Verdana" w:hAnsi="Verdana"/>
                <w:sz w:val="20"/>
                <w:lang w:val="fr-CH"/>
              </w:rPr>
              <w:tab/>
            </w:r>
            <w:r w:rsidR="004D43EE" w:rsidRPr="004D43EE">
              <w:rPr>
                <w:rFonts w:ascii="Verdana" w:hAnsi="Verdana"/>
                <w:bCs/>
                <w:sz w:val="20"/>
                <w:lang w:val="fr-CH"/>
              </w:rPr>
              <w:t>ITU-T COM 15 – LS 340</w:t>
            </w:r>
          </w:p>
          <w:p w:rsidR="004D43EE" w:rsidRPr="004D43EE" w:rsidRDefault="004D43EE" w:rsidP="004D43EE">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bCs/>
                <w:sz w:val="20"/>
                <w:lang w:val="fr-CH"/>
              </w:rPr>
              <w:t>Subject:</w:t>
            </w:r>
            <w:r>
              <w:rPr>
                <w:rFonts w:ascii="Verdana" w:hAnsi="Verdana"/>
                <w:bCs/>
                <w:sz w:val="20"/>
                <w:lang w:val="fr-CH"/>
              </w:rPr>
              <w:tab/>
              <w:t>ITU-T Question(s): 1/15</w:t>
            </w:r>
          </w:p>
        </w:tc>
        <w:tc>
          <w:tcPr>
            <w:tcW w:w="3451" w:type="dxa"/>
          </w:tcPr>
          <w:p w:rsidR="000069D4" w:rsidRPr="004D43EE" w:rsidRDefault="007928CC" w:rsidP="00060527">
            <w:pPr>
              <w:shd w:val="solid" w:color="FFFFFF" w:fill="FFFFFF"/>
              <w:spacing w:before="0" w:line="240" w:lineRule="atLeast"/>
              <w:rPr>
                <w:rFonts w:ascii="Verdana" w:hAnsi="Verdana"/>
                <w:b/>
                <w:sz w:val="20"/>
                <w:lang w:val="es-ES_tradnl" w:eastAsia="zh-CN"/>
              </w:rPr>
            </w:pPr>
            <w:r w:rsidRPr="004D43EE">
              <w:rPr>
                <w:rFonts w:ascii="Verdana" w:hAnsi="Verdana"/>
                <w:b/>
                <w:sz w:val="20"/>
                <w:lang w:val="es-ES_tradnl" w:eastAsia="zh-CN"/>
              </w:rPr>
              <w:t>Document 4B/20</w:t>
            </w:r>
            <w:r w:rsidR="00060527" w:rsidRPr="004D43EE">
              <w:rPr>
                <w:rFonts w:ascii="Verdana" w:hAnsi="Verdana"/>
                <w:b/>
                <w:sz w:val="20"/>
                <w:lang w:val="es-ES_tradnl" w:eastAsia="zh-CN"/>
              </w:rPr>
              <w:t>5</w:t>
            </w:r>
            <w:r w:rsidRPr="004D43EE">
              <w:rPr>
                <w:rFonts w:ascii="Verdana" w:hAnsi="Verdana"/>
                <w:b/>
                <w:sz w:val="20"/>
                <w:lang w:val="es-ES_tradnl" w:eastAsia="zh-CN"/>
              </w:rPr>
              <w:t>-E</w:t>
            </w:r>
          </w:p>
          <w:p w:rsidR="007928CC" w:rsidRPr="004D43EE" w:rsidRDefault="007928CC" w:rsidP="004D43EE">
            <w:pPr>
              <w:shd w:val="solid" w:color="FFFFFF" w:fill="FFFFFF"/>
              <w:spacing w:before="0" w:line="240" w:lineRule="atLeast"/>
              <w:rPr>
                <w:rFonts w:ascii="Verdana" w:hAnsi="Verdana"/>
                <w:sz w:val="20"/>
                <w:lang w:val="es-ES_tradnl" w:eastAsia="zh-CN"/>
              </w:rPr>
            </w:pPr>
            <w:r w:rsidRPr="004D43EE">
              <w:rPr>
                <w:rFonts w:ascii="Verdana" w:hAnsi="Verdana"/>
                <w:b/>
                <w:sz w:val="20"/>
                <w:lang w:val="es-ES_tradnl" w:eastAsia="zh-CN"/>
              </w:rPr>
              <w:t>Document 5</w:t>
            </w:r>
            <w:r w:rsidR="004D43EE">
              <w:rPr>
                <w:rFonts w:ascii="Verdana" w:hAnsi="Verdana"/>
                <w:b/>
                <w:sz w:val="20"/>
                <w:lang w:val="es-ES_tradnl" w:eastAsia="zh-CN"/>
              </w:rPr>
              <w:t>D</w:t>
            </w:r>
            <w:r w:rsidRPr="004D43EE">
              <w:rPr>
                <w:rFonts w:ascii="Verdana" w:hAnsi="Verdana"/>
                <w:b/>
                <w:sz w:val="20"/>
                <w:lang w:val="es-ES_tradnl" w:eastAsia="zh-CN"/>
              </w:rPr>
              <w:t>/</w:t>
            </w:r>
            <w:r w:rsidR="004D43EE">
              <w:rPr>
                <w:rFonts w:ascii="Verdana" w:hAnsi="Verdana"/>
                <w:b/>
                <w:sz w:val="20"/>
                <w:lang w:val="es-ES_tradnl" w:eastAsia="zh-CN"/>
              </w:rPr>
              <w:t>1179</w:t>
            </w:r>
            <w:r w:rsidRPr="004D43EE">
              <w:rPr>
                <w:rFonts w:ascii="Verdana" w:hAnsi="Verdana"/>
                <w:b/>
                <w:sz w:val="20"/>
                <w:lang w:val="es-ES_tradnl" w:eastAsia="zh-CN"/>
              </w:rPr>
              <w:t>-E</w:t>
            </w:r>
          </w:p>
        </w:tc>
      </w:tr>
      <w:tr w:rsidR="000069D4">
        <w:trPr>
          <w:cantSplit/>
        </w:trPr>
        <w:tc>
          <w:tcPr>
            <w:tcW w:w="6580" w:type="dxa"/>
            <w:vMerge/>
          </w:tcPr>
          <w:p w:rsidR="000069D4" w:rsidRPr="004D43EE"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7928CC" w:rsidRDefault="00060527" w:rsidP="00A5173C">
            <w:pPr>
              <w:shd w:val="solid" w:color="FFFFFF" w:fill="FFFFFF"/>
              <w:spacing w:before="0" w:line="240" w:lineRule="atLeast"/>
              <w:rPr>
                <w:rFonts w:ascii="Verdana" w:hAnsi="Verdana"/>
                <w:sz w:val="20"/>
                <w:lang w:eastAsia="zh-CN"/>
              </w:rPr>
            </w:pPr>
            <w:r>
              <w:rPr>
                <w:rFonts w:ascii="Verdana" w:hAnsi="Verdana"/>
                <w:b/>
                <w:sz w:val="20"/>
                <w:lang w:eastAsia="zh-CN"/>
              </w:rPr>
              <w:t>3 January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7928CC"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4D43EE" w:rsidRDefault="004D43EE" w:rsidP="00A5173C">
            <w:pPr>
              <w:shd w:val="solid" w:color="FFFFFF" w:fill="FFFFFF"/>
              <w:spacing w:before="0" w:line="240" w:lineRule="atLeast"/>
              <w:rPr>
                <w:rFonts w:ascii="Verdana" w:eastAsia="SimSun" w:hAnsi="Verdana"/>
                <w:b/>
                <w:sz w:val="20"/>
                <w:lang w:eastAsia="zh-CN"/>
              </w:rPr>
            </w:pPr>
          </w:p>
          <w:p w:rsidR="004D43EE" w:rsidRPr="007928CC" w:rsidRDefault="004D43E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trPr>
          <w:cantSplit/>
        </w:trPr>
        <w:tc>
          <w:tcPr>
            <w:tcW w:w="10031" w:type="dxa"/>
            <w:gridSpan w:val="2"/>
          </w:tcPr>
          <w:p w:rsidR="000069D4" w:rsidRDefault="004D43EE" w:rsidP="007928CC">
            <w:pPr>
              <w:pStyle w:val="Source"/>
              <w:rPr>
                <w:lang w:eastAsia="zh-CN"/>
              </w:rPr>
            </w:pPr>
            <w:bookmarkStart w:id="5" w:name="dsource" w:colFirst="0" w:colLast="0"/>
            <w:bookmarkEnd w:id="4"/>
            <w:r w:rsidRPr="004B1B21">
              <w:rPr>
                <w:rFonts w:asciiTheme="majorBidi" w:hAnsiTheme="majorBidi" w:cstheme="majorBidi"/>
                <w:szCs w:val="24"/>
              </w:rPr>
              <w:t>ITU-T Study Group 15</w:t>
            </w:r>
          </w:p>
        </w:tc>
      </w:tr>
      <w:tr w:rsidR="000069D4">
        <w:trPr>
          <w:cantSplit/>
        </w:trPr>
        <w:tc>
          <w:tcPr>
            <w:tcW w:w="10031" w:type="dxa"/>
            <w:gridSpan w:val="2"/>
          </w:tcPr>
          <w:p w:rsidR="000069D4" w:rsidRDefault="004D43EE" w:rsidP="00A5173C">
            <w:pPr>
              <w:pStyle w:val="Title1"/>
              <w:rPr>
                <w:lang w:eastAsia="zh-CN"/>
              </w:rPr>
            </w:pPr>
            <w:bookmarkStart w:id="6" w:name="drec" w:colFirst="0" w:colLast="0"/>
            <w:bookmarkEnd w:id="5"/>
            <w:r>
              <w:t xml:space="preserve">Liaison statement - </w:t>
            </w:r>
            <w:r w:rsidRPr="004B1B21">
              <w:t>New versions</w:t>
            </w:r>
            <w:r w:rsidRPr="00D30651">
              <w:t xml:space="preserve"> of the Access Network Transport (ANT)</w:t>
            </w:r>
          </w:p>
        </w:tc>
      </w:tr>
      <w:tr w:rsidR="000069D4">
        <w:trPr>
          <w:cantSplit/>
        </w:trPr>
        <w:tc>
          <w:tcPr>
            <w:tcW w:w="10031" w:type="dxa"/>
            <w:gridSpan w:val="2"/>
          </w:tcPr>
          <w:p w:rsidR="000069D4" w:rsidRDefault="004D43EE" w:rsidP="00A5173C">
            <w:pPr>
              <w:pStyle w:val="Title1"/>
              <w:rPr>
                <w:lang w:eastAsia="zh-CN"/>
              </w:rPr>
            </w:pPr>
            <w:bookmarkStart w:id="7" w:name="dtitle1" w:colFirst="0" w:colLast="0"/>
            <w:bookmarkEnd w:id="6"/>
            <w:r w:rsidRPr="00D30651">
              <w:t>Standardization Plan and Work Plan</w:t>
            </w:r>
          </w:p>
        </w:tc>
      </w:tr>
    </w:tbl>
    <w:tbl>
      <w:tblPr>
        <w:tblW w:w="9923" w:type="dxa"/>
        <w:tblLayout w:type="fixed"/>
        <w:tblCellMar>
          <w:left w:w="57" w:type="dxa"/>
          <w:right w:w="57" w:type="dxa"/>
        </w:tblCellMar>
        <w:tblLook w:val="0000" w:firstRow="0" w:lastRow="0" w:firstColumn="0" w:lastColumn="0" w:noHBand="0" w:noVBand="0"/>
      </w:tblPr>
      <w:tblGrid>
        <w:gridCol w:w="2184"/>
        <w:gridCol w:w="7739"/>
      </w:tblGrid>
      <w:tr w:rsidR="00060527" w:rsidTr="002956AB">
        <w:trPr>
          <w:cantSplit/>
          <w:trHeight w:val="357"/>
        </w:trPr>
        <w:tc>
          <w:tcPr>
            <w:tcW w:w="2184" w:type="dxa"/>
          </w:tcPr>
          <w:p w:rsidR="00060527" w:rsidRPr="003869CD" w:rsidRDefault="00060527" w:rsidP="002956AB">
            <w:pPr>
              <w:rPr>
                <w:b/>
                <w:bCs/>
              </w:rPr>
            </w:pPr>
            <w:bookmarkStart w:id="8" w:name="dbreak"/>
            <w:bookmarkEnd w:id="7"/>
            <w:bookmarkEnd w:id="8"/>
            <w:r w:rsidRPr="003869CD">
              <w:rPr>
                <w:b/>
                <w:bCs/>
              </w:rPr>
              <w:t>For action to:</w:t>
            </w:r>
          </w:p>
        </w:tc>
        <w:tc>
          <w:tcPr>
            <w:tcW w:w="7739" w:type="dxa"/>
          </w:tcPr>
          <w:p w:rsidR="00060527" w:rsidRPr="00D30651" w:rsidRDefault="00060527" w:rsidP="002956AB">
            <w:pPr>
              <w:pStyle w:val="LSForAction"/>
              <w:rPr>
                <w:b w:val="0"/>
                <w:bCs w:val="0"/>
              </w:rPr>
            </w:pPr>
            <w:r w:rsidRPr="00D30651">
              <w:rPr>
                <w:b w:val="0"/>
                <w:bCs w:val="0"/>
                <w:szCs w:val="24"/>
                <w:lang w:eastAsia="ja-JP"/>
              </w:rPr>
              <w:t>ITU-T SG</w:t>
            </w:r>
            <w:r w:rsidR="002956AB">
              <w:rPr>
                <w:b w:val="0"/>
                <w:bCs w:val="0"/>
                <w:szCs w:val="24"/>
                <w:lang w:eastAsia="ja-JP"/>
              </w:rPr>
              <w:t xml:space="preserve"> </w:t>
            </w:r>
            <w:r w:rsidRPr="00D30651">
              <w:rPr>
                <w:b w:val="0"/>
                <w:bCs w:val="0"/>
                <w:szCs w:val="24"/>
                <w:lang w:eastAsia="ja-JP"/>
              </w:rPr>
              <w:t>2, SG</w:t>
            </w:r>
            <w:r w:rsidR="002956AB">
              <w:rPr>
                <w:b w:val="0"/>
                <w:bCs w:val="0"/>
                <w:szCs w:val="24"/>
                <w:lang w:eastAsia="ja-JP"/>
              </w:rPr>
              <w:t xml:space="preserve"> </w:t>
            </w:r>
            <w:r w:rsidRPr="00D30651">
              <w:rPr>
                <w:b w:val="0"/>
                <w:bCs w:val="0"/>
                <w:szCs w:val="24"/>
                <w:lang w:eastAsia="ja-JP"/>
              </w:rPr>
              <w:t>9, SG</w:t>
            </w:r>
            <w:r w:rsidR="002956AB">
              <w:rPr>
                <w:b w:val="0"/>
                <w:bCs w:val="0"/>
                <w:szCs w:val="24"/>
                <w:lang w:eastAsia="ja-JP"/>
              </w:rPr>
              <w:t xml:space="preserve"> </w:t>
            </w:r>
            <w:r w:rsidRPr="00D30651">
              <w:rPr>
                <w:b w:val="0"/>
                <w:bCs w:val="0"/>
                <w:szCs w:val="24"/>
                <w:lang w:eastAsia="ja-JP"/>
              </w:rPr>
              <w:t>12, SG</w:t>
            </w:r>
            <w:r w:rsidR="002956AB">
              <w:rPr>
                <w:b w:val="0"/>
                <w:bCs w:val="0"/>
                <w:szCs w:val="24"/>
                <w:lang w:eastAsia="ja-JP"/>
              </w:rPr>
              <w:t xml:space="preserve"> </w:t>
            </w:r>
            <w:r w:rsidRPr="00D30651">
              <w:rPr>
                <w:b w:val="0"/>
                <w:bCs w:val="0"/>
                <w:szCs w:val="24"/>
                <w:lang w:eastAsia="ja-JP"/>
              </w:rPr>
              <w:t>13, SG</w:t>
            </w:r>
            <w:r w:rsidR="002956AB">
              <w:rPr>
                <w:b w:val="0"/>
                <w:bCs w:val="0"/>
                <w:szCs w:val="24"/>
                <w:lang w:eastAsia="ja-JP"/>
              </w:rPr>
              <w:t xml:space="preserve"> </w:t>
            </w:r>
            <w:r w:rsidRPr="00D30651">
              <w:rPr>
                <w:b w:val="0"/>
                <w:bCs w:val="0"/>
                <w:szCs w:val="24"/>
                <w:lang w:eastAsia="ja-JP"/>
              </w:rPr>
              <w:t>16, SG</w:t>
            </w:r>
            <w:r w:rsidR="002956AB">
              <w:rPr>
                <w:b w:val="0"/>
                <w:bCs w:val="0"/>
                <w:szCs w:val="24"/>
                <w:lang w:eastAsia="ja-JP"/>
              </w:rPr>
              <w:t xml:space="preserve"> </w:t>
            </w:r>
            <w:r w:rsidRPr="00D30651">
              <w:rPr>
                <w:b w:val="0"/>
                <w:bCs w:val="0"/>
                <w:szCs w:val="24"/>
                <w:lang w:eastAsia="ja-JP"/>
              </w:rPr>
              <w:t>17, ITU-R SG</w:t>
            </w:r>
            <w:r w:rsidR="002956AB">
              <w:rPr>
                <w:b w:val="0"/>
                <w:bCs w:val="0"/>
                <w:szCs w:val="24"/>
                <w:lang w:eastAsia="ja-JP"/>
              </w:rPr>
              <w:t xml:space="preserve"> </w:t>
            </w:r>
            <w:r w:rsidRPr="00D30651">
              <w:rPr>
                <w:b w:val="0"/>
                <w:bCs w:val="0"/>
                <w:szCs w:val="24"/>
                <w:lang w:eastAsia="ja-JP"/>
              </w:rPr>
              <w:t>4, ETSI,</w:t>
            </w:r>
            <w:r w:rsidR="002956AB">
              <w:rPr>
                <w:b w:val="0"/>
                <w:bCs w:val="0"/>
                <w:szCs w:val="24"/>
                <w:lang w:eastAsia="ja-JP"/>
              </w:rPr>
              <w:br/>
            </w:r>
            <w:r w:rsidRPr="00D30651">
              <w:rPr>
                <w:b w:val="0"/>
                <w:bCs w:val="0"/>
                <w:szCs w:val="24"/>
                <w:lang w:eastAsia="ja-JP"/>
              </w:rPr>
              <w:t>IEC, IEEE</w:t>
            </w:r>
          </w:p>
        </w:tc>
      </w:tr>
      <w:tr w:rsidR="00060527" w:rsidTr="002956AB">
        <w:trPr>
          <w:cantSplit/>
          <w:trHeight w:val="357"/>
        </w:trPr>
        <w:tc>
          <w:tcPr>
            <w:tcW w:w="2184" w:type="dxa"/>
          </w:tcPr>
          <w:p w:rsidR="00060527" w:rsidRPr="003869CD" w:rsidRDefault="00060527" w:rsidP="002956AB">
            <w:pPr>
              <w:rPr>
                <w:b/>
                <w:bCs/>
              </w:rPr>
            </w:pPr>
            <w:r w:rsidRPr="003869CD">
              <w:rPr>
                <w:b/>
                <w:bCs/>
              </w:rPr>
              <w:t>For comment to:</w:t>
            </w:r>
          </w:p>
        </w:tc>
        <w:tc>
          <w:tcPr>
            <w:tcW w:w="7739" w:type="dxa"/>
          </w:tcPr>
          <w:p w:rsidR="00060527" w:rsidRPr="00D30651" w:rsidRDefault="00060527" w:rsidP="002956AB">
            <w:pPr>
              <w:pStyle w:val="LSForComment"/>
              <w:rPr>
                <w:b w:val="0"/>
                <w:bCs w:val="0"/>
                <w:lang w:eastAsia="ja-JP"/>
              </w:rPr>
            </w:pPr>
            <w:r>
              <w:rPr>
                <w:b w:val="0"/>
                <w:bCs w:val="0"/>
                <w:lang w:eastAsia="ja-JP"/>
              </w:rPr>
              <w:t>-</w:t>
            </w:r>
          </w:p>
        </w:tc>
      </w:tr>
      <w:tr w:rsidR="00060527" w:rsidTr="002956AB">
        <w:trPr>
          <w:cantSplit/>
          <w:trHeight w:val="357"/>
        </w:trPr>
        <w:tc>
          <w:tcPr>
            <w:tcW w:w="2184" w:type="dxa"/>
          </w:tcPr>
          <w:p w:rsidR="00060527" w:rsidRPr="003869CD" w:rsidRDefault="00060527" w:rsidP="002956AB">
            <w:pPr>
              <w:rPr>
                <w:b/>
                <w:bCs/>
              </w:rPr>
            </w:pPr>
            <w:r w:rsidRPr="003869CD">
              <w:rPr>
                <w:b/>
                <w:bCs/>
              </w:rPr>
              <w:t>For information to:</w:t>
            </w:r>
          </w:p>
        </w:tc>
        <w:tc>
          <w:tcPr>
            <w:tcW w:w="7739" w:type="dxa"/>
          </w:tcPr>
          <w:p w:rsidR="00060527" w:rsidRPr="00D30651" w:rsidRDefault="00060527" w:rsidP="002956AB">
            <w:pPr>
              <w:pStyle w:val="LSForInfo"/>
              <w:rPr>
                <w:b w:val="0"/>
                <w:bCs w:val="0"/>
              </w:rPr>
            </w:pPr>
            <w:r>
              <w:rPr>
                <w:b w:val="0"/>
                <w:bCs w:val="0"/>
              </w:rPr>
              <w:t>-</w:t>
            </w:r>
          </w:p>
        </w:tc>
      </w:tr>
      <w:tr w:rsidR="00060527" w:rsidTr="002956AB">
        <w:trPr>
          <w:cantSplit/>
          <w:trHeight w:val="357"/>
        </w:trPr>
        <w:tc>
          <w:tcPr>
            <w:tcW w:w="2184" w:type="dxa"/>
          </w:tcPr>
          <w:p w:rsidR="00060527" w:rsidRDefault="00060527" w:rsidP="002956AB">
            <w:pPr>
              <w:rPr>
                <w:b/>
                <w:bCs/>
              </w:rPr>
            </w:pPr>
            <w:r>
              <w:rPr>
                <w:b/>
                <w:bCs/>
              </w:rPr>
              <w:t>Approval:</w:t>
            </w:r>
          </w:p>
        </w:tc>
        <w:tc>
          <w:tcPr>
            <w:tcW w:w="7739" w:type="dxa"/>
          </w:tcPr>
          <w:p w:rsidR="00060527" w:rsidRPr="00D30651" w:rsidRDefault="00060527" w:rsidP="002956AB">
            <w:pPr>
              <w:rPr>
                <w:rFonts w:asciiTheme="majorBidi" w:hAnsiTheme="majorBidi" w:cstheme="majorBidi"/>
                <w:szCs w:val="24"/>
              </w:rPr>
            </w:pPr>
            <w:r w:rsidRPr="00F508CD">
              <w:rPr>
                <w:rFonts w:asciiTheme="majorBidi" w:hAnsiTheme="majorBidi" w:cstheme="majorBidi"/>
                <w:szCs w:val="24"/>
              </w:rPr>
              <w:t>Agreed to at Study Group 15 meeting (Geneva, 5-16 December 2011)</w:t>
            </w:r>
          </w:p>
        </w:tc>
      </w:tr>
      <w:tr w:rsidR="00060527" w:rsidTr="002956AB">
        <w:trPr>
          <w:cantSplit/>
          <w:trHeight w:val="357"/>
        </w:trPr>
        <w:tc>
          <w:tcPr>
            <w:tcW w:w="2184" w:type="dxa"/>
            <w:tcBorders>
              <w:bottom w:val="single" w:sz="12" w:space="0" w:color="auto"/>
            </w:tcBorders>
          </w:tcPr>
          <w:p w:rsidR="00060527" w:rsidRDefault="00060527" w:rsidP="002956AB">
            <w:pPr>
              <w:rPr>
                <w:b/>
                <w:bCs/>
              </w:rPr>
            </w:pPr>
            <w:r>
              <w:rPr>
                <w:b/>
                <w:bCs/>
              </w:rPr>
              <w:t>Deadline:</w:t>
            </w:r>
          </w:p>
        </w:tc>
        <w:tc>
          <w:tcPr>
            <w:tcW w:w="7739" w:type="dxa"/>
            <w:tcBorders>
              <w:bottom w:val="single" w:sz="12" w:space="0" w:color="auto"/>
            </w:tcBorders>
          </w:tcPr>
          <w:p w:rsidR="00060527" w:rsidRPr="00D30651" w:rsidRDefault="00060527" w:rsidP="002956AB">
            <w:pPr>
              <w:pStyle w:val="LSDeadline"/>
              <w:rPr>
                <w:b w:val="0"/>
                <w:bCs w:val="0"/>
              </w:rPr>
            </w:pPr>
            <w:r w:rsidRPr="00D30651">
              <w:rPr>
                <w:b w:val="0"/>
                <w:bCs w:val="0"/>
              </w:rPr>
              <w:t>1 September 2012</w:t>
            </w:r>
          </w:p>
        </w:tc>
      </w:tr>
      <w:tr w:rsidR="00060527" w:rsidTr="002956AB">
        <w:trPr>
          <w:cantSplit/>
          <w:trHeight w:val="204"/>
        </w:trPr>
        <w:tc>
          <w:tcPr>
            <w:tcW w:w="9923" w:type="dxa"/>
            <w:gridSpan w:val="2"/>
            <w:tcBorders>
              <w:top w:val="single" w:sz="12" w:space="0" w:color="auto"/>
            </w:tcBorders>
          </w:tcPr>
          <w:p w:rsidR="00060527" w:rsidRDefault="00060527" w:rsidP="002956AB">
            <w:pPr>
              <w:spacing w:before="0"/>
              <w:rPr>
                <w:sz w:val="18"/>
              </w:rPr>
            </w:pPr>
          </w:p>
        </w:tc>
      </w:tr>
    </w:tbl>
    <w:p w:rsidR="00060527" w:rsidRDefault="00060527" w:rsidP="00060527">
      <w:pPr>
        <w:rPr>
          <w:lang w:eastAsia="ja-JP"/>
        </w:rPr>
      </w:pPr>
    </w:p>
    <w:p w:rsidR="00060527" w:rsidRPr="00093287" w:rsidRDefault="00060527" w:rsidP="00060527">
      <w:pPr>
        <w:numPr>
          <w:ilvl w:val="12"/>
          <w:numId w:val="0"/>
        </w:numPr>
        <w:spacing w:after="120"/>
        <w:rPr>
          <w:szCs w:val="24"/>
        </w:rPr>
      </w:pPr>
      <w:r w:rsidRPr="00093287">
        <w:rPr>
          <w:szCs w:val="24"/>
        </w:rPr>
        <w:t xml:space="preserve">Study Group 15 entrusted WP 1/15, under Question 1/15, with the task to manage and carry out the Lead Study Group on Access Network Transport (ANT) activities. The outcome of the activities is twofold, consisting of the ANT Standards Overview, containing ANT scenarios and a list of Standards and Recommendations from ITU and various Standardization Bodies, as well as an ANT Work Plan, providing an overview of various Standardization Groups and ongoing ANT activities. These documents are used to identify gaps and overlaps of standards activities pertaining to access networks so as to help in the coordination of access standard activities.  Both documents were revised in the </w:t>
      </w:r>
      <w:r>
        <w:rPr>
          <w:szCs w:val="24"/>
        </w:rPr>
        <w:t xml:space="preserve">December 2011 </w:t>
      </w:r>
      <w:r w:rsidRPr="00093287">
        <w:rPr>
          <w:szCs w:val="24"/>
        </w:rPr>
        <w:t>meeting of SG</w:t>
      </w:r>
      <w:r w:rsidR="002956AB">
        <w:rPr>
          <w:szCs w:val="24"/>
        </w:rPr>
        <w:t xml:space="preserve"> </w:t>
      </w:r>
      <w:r w:rsidRPr="00093287">
        <w:rPr>
          <w:szCs w:val="24"/>
        </w:rPr>
        <w:t>15.  The documents will be updated shortly and can be found on:</w:t>
      </w:r>
    </w:p>
    <w:p w:rsidR="00060527" w:rsidRDefault="00060527" w:rsidP="00060527">
      <w:pPr>
        <w:spacing w:after="120"/>
        <w:outlineLvl w:val="0"/>
        <w:rPr>
          <w:szCs w:val="24"/>
        </w:rPr>
      </w:pPr>
      <w:hyperlink r:id="rId8" w:history="1">
        <w:r w:rsidRPr="009A4516">
          <w:rPr>
            <w:rStyle w:val="Hyperlink"/>
            <w:szCs w:val="24"/>
          </w:rPr>
          <w:t>http://www.itu.int/ITU-T/studygroups/com15/ant/</w:t>
        </w:r>
      </w:hyperlink>
    </w:p>
    <w:p w:rsidR="00060527" w:rsidRPr="00093287" w:rsidRDefault="00060527" w:rsidP="00060527">
      <w:pPr>
        <w:spacing w:after="120"/>
        <w:outlineLvl w:val="0"/>
        <w:rPr>
          <w:szCs w:val="24"/>
        </w:rPr>
      </w:pPr>
      <w:r w:rsidRPr="00093287">
        <w:rPr>
          <w:szCs w:val="24"/>
        </w:rPr>
        <w:t>Q1/15 wishes to express thanks for your kind previous cooperation.</w:t>
      </w:r>
    </w:p>
    <w:p w:rsidR="00060527" w:rsidRPr="00093287" w:rsidRDefault="00060527" w:rsidP="00060527">
      <w:pPr>
        <w:spacing w:after="120"/>
        <w:rPr>
          <w:szCs w:val="24"/>
        </w:rPr>
      </w:pPr>
      <w:r w:rsidRPr="00093287">
        <w:rPr>
          <w:szCs w:val="24"/>
        </w:rPr>
        <w:t>As usual after each revision, Q1/15 would again like to draw your attention to both documents and would appreciate any suggestions and comments.  Revisions of the status of the standards concerning your group that are collected in A</w:t>
      </w:r>
      <w:r w:rsidR="0015001B" w:rsidRPr="00093287">
        <w:rPr>
          <w:szCs w:val="24"/>
        </w:rPr>
        <w:t>nnex</w:t>
      </w:r>
      <w:r w:rsidRPr="00093287">
        <w:rPr>
          <w:szCs w:val="24"/>
        </w:rPr>
        <w:t xml:space="preserve"> 2 of the Standardization Plan are highly welcomed.</w:t>
      </w:r>
    </w:p>
    <w:p w:rsidR="0015001B" w:rsidRDefault="0015001B">
      <w:pPr>
        <w:tabs>
          <w:tab w:val="clear" w:pos="1134"/>
          <w:tab w:val="clear" w:pos="1871"/>
          <w:tab w:val="clear" w:pos="2268"/>
        </w:tabs>
        <w:overflowPunct/>
        <w:autoSpaceDE/>
        <w:autoSpaceDN/>
        <w:adjustRightInd/>
        <w:spacing w:before="0"/>
        <w:textAlignment w:val="auto"/>
        <w:rPr>
          <w:szCs w:val="24"/>
        </w:rPr>
      </w:pPr>
      <w:r>
        <w:rPr>
          <w:szCs w:val="24"/>
        </w:rPr>
        <w:br w:type="page"/>
      </w:r>
    </w:p>
    <w:p w:rsidR="00060527" w:rsidRPr="00093287" w:rsidRDefault="00060527" w:rsidP="00060527">
      <w:pPr>
        <w:spacing w:after="120"/>
        <w:rPr>
          <w:szCs w:val="24"/>
        </w:rPr>
      </w:pPr>
      <w:r w:rsidRPr="00093287">
        <w:rPr>
          <w:szCs w:val="24"/>
        </w:rPr>
        <w:lastRenderedPageBreak/>
        <w:t>Also, Q1</w:t>
      </w:r>
      <w:r>
        <w:rPr>
          <w:szCs w:val="24"/>
        </w:rPr>
        <w:t>/15</w:t>
      </w:r>
      <w:r w:rsidRPr="00093287">
        <w:rPr>
          <w:szCs w:val="24"/>
        </w:rPr>
        <w:t xml:space="preserve"> would refer you to Table 3.2 of the ANT Work Plan.  This table contains a list of standards organizations that may be engaged in developing access network standards and, where available, contact or liaison information.  Q1</w:t>
      </w:r>
      <w:r>
        <w:rPr>
          <w:szCs w:val="24"/>
        </w:rPr>
        <w:t>/15</w:t>
      </w:r>
      <w:r w:rsidRPr="00093287">
        <w:rPr>
          <w:szCs w:val="24"/>
        </w:rPr>
        <w:t xml:space="preserve"> welcomes your comments on this table, including any candidate standards organizations to add to the list, organizations that you believe could be removed as not pertinent to the ANT Standardization and Work Plan, and any suggestions about contact and liaison information.  Q1</w:t>
      </w:r>
      <w:r>
        <w:rPr>
          <w:szCs w:val="24"/>
        </w:rPr>
        <w:t>/15</w:t>
      </w:r>
      <w:r w:rsidRPr="00093287">
        <w:rPr>
          <w:szCs w:val="24"/>
        </w:rPr>
        <w:t xml:space="preserve"> will continue to update this list during the interim until its next meeting.</w:t>
      </w:r>
    </w:p>
    <w:p w:rsidR="00060527" w:rsidRPr="00093287" w:rsidRDefault="00060527" w:rsidP="00060527">
      <w:pPr>
        <w:spacing w:after="120"/>
        <w:rPr>
          <w:szCs w:val="24"/>
        </w:rPr>
      </w:pPr>
      <w:r w:rsidRPr="00093287">
        <w:rPr>
          <w:szCs w:val="24"/>
        </w:rPr>
        <w:t>Q1</w:t>
      </w:r>
      <w:r>
        <w:rPr>
          <w:szCs w:val="24"/>
        </w:rPr>
        <w:t>/15</w:t>
      </w:r>
      <w:r w:rsidRPr="00093287">
        <w:rPr>
          <w:szCs w:val="24"/>
        </w:rPr>
        <w:t xml:space="preserve"> would also refer you to Table 4.1 of the ANT Work Plan.  This table lists identified “issues” for access network standardization.  Input from other ITU-T study groups would be very valuable to this table as well.  Also, please note section 4.2 that reports on-going ANT standardization activities.</w:t>
      </w:r>
    </w:p>
    <w:p w:rsidR="00060527" w:rsidRDefault="00060527" w:rsidP="00060527">
      <w:pPr>
        <w:spacing w:after="120"/>
        <w:rPr>
          <w:szCs w:val="24"/>
        </w:rPr>
      </w:pPr>
      <w:r>
        <w:rPr>
          <w:szCs w:val="24"/>
        </w:rPr>
        <w:t>SG</w:t>
      </w:r>
      <w:r w:rsidR="0015001B">
        <w:rPr>
          <w:szCs w:val="24"/>
        </w:rPr>
        <w:t xml:space="preserve"> </w:t>
      </w:r>
      <w:r w:rsidRPr="00093287">
        <w:rPr>
          <w:szCs w:val="24"/>
        </w:rPr>
        <w:t>15 looks forward to future liaisons with all pertinent ITU-T and ITU-R Study Groups and Working Parties to keep the ANT Standards Overview and Work Plan current, relevant and effective.</w:t>
      </w:r>
    </w:p>
    <w:p w:rsidR="004D43EE" w:rsidRDefault="004D43EE" w:rsidP="00060527">
      <w:pPr>
        <w:spacing w:after="120"/>
        <w:rPr>
          <w:szCs w:val="24"/>
        </w:rPr>
      </w:pPr>
    </w:p>
    <w:p w:rsidR="004D43EE" w:rsidRDefault="004D43EE" w:rsidP="00060527">
      <w:pPr>
        <w:spacing w:after="120"/>
        <w:rPr>
          <w:szCs w:val="24"/>
        </w:rPr>
      </w:pPr>
    </w:p>
    <w:tbl>
      <w:tblPr>
        <w:tblW w:w="9923" w:type="dxa"/>
        <w:tblLayout w:type="fixed"/>
        <w:tblCellMar>
          <w:left w:w="57" w:type="dxa"/>
          <w:right w:w="57" w:type="dxa"/>
        </w:tblCellMar>
        <w:tblLook w:val="0000" w:firstRow="0" w:lastRow="0" w:firstColumn="0" w:lastColumn="0" w:noHBand="0" w:noVBand="0"/>
      </w:tblPr>
      <w:tblGrid>
        <w:gridCol w:w="1617"/>
        <w:gridCol w:w="2835"/>
        <w:gridCol w:w="5471"/>
      </w:tblGrid>
      <w:tr w:rsidR="00060527" w:rsidTr="002956AB">
        <w:trPr>
          <w:cantSplit/>
          <w:trHeight w:val="204"/>
        </w:trPr>
        <w:tc>
          <w:tcPr>
            <w:tcW w:w="1617" w:type="dxa"/>
          </w:tcPr>
          <w:p w:rsidR="00060527" w:rsidRDefault="00060527" w:rsidP="002956AB">
            <w:pPr>
              <w:rPr>
                <w:b/>
                <w:bCs/>
              </w:rPr>
            </w:pPr>
            <w:r>
              <w:rPr>
                <w:b/>
                <w:bCs/>
              </w:rPr>
              <w:t>Contact:</w:t>
            </w:r>
          </w:p>
        </w:tc>
        <w:tc>
          <w:tcPr>
            <w:tcW w:w="2835" w:type="dxa"/>
          </w:tcPr>
          <w:p w:rsidR="00060527" w:rsidRDefault="00060527" w:rsidP="002956AB">
            <w:pPr>
              <w:rPr>
                <w:lang w:eastAsia="ja-JP"/>
              </w:rPr>
            </w:pPr>
            <w:r>
              <w:rPr>
                <w:rFonts w:hint="eastAsia"/>
                <w:lang w:eastAsia="ja-JP"/>
              </w:rPr>
              <w:t>John A. Jay</w:t>
            </w:r>
          </w:p>
          <w:p w:rsidR="00060527" w:rsidRDefault="00060527" w:rsidP="002956AB">
            <w:pPr>
              <w:spacing w:before="0"/>
              <w:rPr>
                <w:lang w:eastAsia="ja-JP"/>
              </w:rPr>
            </w:pPr>
            <w:r>
              <w:rPr>
                <w:rFonts w:hint="eastAsia"/>
                <w:lang w:eastAsia="ja-JP"/>
              </w:rPr>
              <w:t>Corning, Inc.</w:t>
            </w:r>
          </w:p>
          <w:p w:rsidR="00060527" w:rsidRDefault="00060527" w:rsidP="002956AB">
            <w:pPr>
              <w:spacing w:before="0"/>
              <w:rPr>
                <w:lang w:eastAsia="ja-JP"/>
              </w:rPr>
            </w:pPr>
            <w:smartTag w:uri="urn:schemas-microsoft-com:office:smarttags" w:element="place">
              <w:smartTag w:uri="urn:schemas-microsoft-com:office:smarttags" w:element="country-region">
                <w:r>
                  <w:rPr>
                    <w:rFonts w:hint="eastAsia"/>
                    <w:lang w:eastAsia="ja-JP"/>
                  </w:rPr>
                  <w:t>USA</w:t>
                </w:r>
              </w:smartTag>
            </w:smartTag>
          </w:p>
        </w:tc>
        <w:tc>
          <w:tcPr>
            <w:tcW w:w="5471" w:type="dxa"/>
          </w:tcPr>
          <w:p w:rsidR="00060527" w:rsidRPr="00877F86" w:rsidRDefault="00060527" w:rsidP="002956AB">
            <w:pPr>
              <w:rPr>
                <w:lang w:eastAsia="ja-JP"/>
              </w:rPr>
            </w:pPr>
            <w:r>
              <w:t xml:space="preserve">Tel: </w:t>
            </w:r>
            <w:r>
              <w:rPr>
                <w:rFonts w:hint="eastAsia"/>
                <w:lang w:eastAsia="ja-JP"/>
              </w:rPr>
              <w:t>+1-</w:t>
            </w:r>
            <w:r>
              <w:rPr>
                <w:lang w:eastAsia="ja-JP"/>
              </w:rPr>
              <w:t>607</w:t>
            </w:r>
            <w:r>
              <w:rPr>
                <w:rFonts w:hint="eastAsia"/>
                <w:lang w:eastAsia="ja-JP"/>
              </w:rPr>
              <w:t>-</w:t>
            </w:r>
            <w:r>
              <w:rPr>
                <w:lang w:eastAsia="ja-JP"/>
              </w:rPr>
              <w:t>974</w:t>
            </w:r>
            <w:r>
              <w:rPr>
                <w:rFonts w:hint="eastAsia"/>
                <w:lang w:eastAsia="ja-JP"/>
              </w:rPr>
              <w:t>-</w:t>
            </w:r>
            <w:r w:rsidRPr="00877F86">
              <w:rPr>
                <w:lang w:eastAsia="ja-JP"/>
              </w:rPr>
              <w:t>4288</w:t>
            </w:r>
          </w:p>
          <w:p w:rsidR="00060527" w:rsidRPr="00877F86" w:rsidRDefault="00060527" w:rsidP="002956AB">
            <w:pPr>
              <w:spacing w:before="0"/>
              <w:rPr>
                <w:lang w:val="en-US"/>
              </w:rPr>
            </w:pPr>
            <w:r w:rsidRPr="00877F86">
              <w:rPr>
                <w:lang w:val="en-US"/>
              </w:rPr>
              <w:t>Fax:</w:t>
            </w:r>
            <w:r>
              <w:t xml:space="preserve"> </w:t>
            </w:r>
            <w:r w:rsidRPr="00877F86">
              <w:rPr>
                <w:lang w:val="en-US"/>
              </w:rPr>
              <w:t>+1</w:t>
            </w:r>
            <w:r w:rsidRPr="00877F86">
              <w:rPr>
                <w:rFonts w:hint="eastAsia"/>
                <w:lang w:val="en-US" w:eastAsia="ja-JP"/>
              </w:rPr>
              <w:t>-</w:t>
            </w:r>
            <w:r w:rsidRPr="00877F86">
              <w:rPr>
                <w:lang w:val="en-US"/>
              </w:rPr>
              <w:t>607</w:t>
            </w:r>
            <w:r w:rsidRPr="00877F86">
              <w:rPr>
                <w:rFonts w:hint="eastAsia"/>
                <w:lang w:val="en-US" w:eastAsia="ja-JP"/>
              </w:rPr>
              <w:t>-</w:t>
            </w:r>
            <w:r w:rsidRPr="00877F86">
              <w:rPr>
                <w:lang w:val="en-US"/>
              </w:rPr>
              <w:t>974</w:t>
            </w:r>
            <w:r w:rsidRPr="00877F86">
              <w:rPr>
                <w:rFonts w:hint="eastAsia"/>
                <w:lang w:val="en-US" w:eastAsia="ja-JP"/>
              </w:rPr>
              <w:t>-</w:t>
            </w:r>
            <w:r w:rsidRPr="00877F86">
              <w:rPr>
                <w:lang w:val="en-US"/>
              </w:rPr>
              <w:t>7648</w:t>
            </w:r>
          </w:p>
          <w:p w:rsidR="00060527" w:rsidRPr="00877F86" w:rsidRDefault="00060527" w:rsidP="002956AB">
            <w:pPr>
              <w:spacing w:before="0"/>
              <w:rPr>
                <w:lang w:val="en-US"/>
              </w:rPr>
            </w:pPr>
            <w:r w:rsidRPr="00877F86">
              <w:rPr>
                <w:lang w:val="en-US"/>
              </w:rPr>
              <w:t xml:space="preserve">Email: </w:t>
            </w:r>
            <w:hyperlink r:id="rId9" w:history="1">
              <w:r w:rsidRPr="00A12AC7">
                <w:rPr>
                  <w:rStyle w:val="Hyperlink"/>
                  <w:lang w:val="en-US"/>
                </w:rPr>
                <w:t>JayJA</w:t>
              </w:r>
              <w:r w:rsidRPr="00A12AC7">
                <w:rPr>
                  <w:rStyle w:val="Hyperlink"/>
                  <w:rFonts w:hint="eastAsia"/>
                  <w:lang w:val="en-US" w:eastAsia="ja-JP"/>
                </w:rPr>
                <w:t>@</w:t>
              </w:r>
              <w:r w:rsidRPr="00A12AC7">
                <w:rPr>
                  <w:rStyle w:val="Hyperlink"/>
                  <w:lang w:val="en-US"/>
                </w:rPr>
                <w:t>Corning.com</w:t>
              </w:r>
            </w:hyperlink>
            <w:r>
              <w:rPr>
                <w:lang w:val="en-US"/>
              </w:rPr>
              <w:t xml:space="preserve"> </w:t>
            </w:r>
          </w:p>
        </w:tc>
      </w:tr>
      <w:tr w:rsidR="00060527" w:rsidTr="002956AB">
        <w:trPr>
          <w:cantSplit/>
          <w:trHeight w:val="204"/>
        </w:trPr>
        <w:tc>
          <w:tcPr>
            <w:tcW w:w="1617" w:type="dxa"/>
          </w:tcPr>
          <w:p w:rsidR="00060527" w:rsidRDefault="00060527" w:rsidP="002956AB">
            <w:pPr>
              <w:rPr>
                <w:b/>
                <w:bCs/>
                <w:lang w:val="fr-CH"/>
              </w:rPr>
            </w:pPr>
            <w:r>
              <w:rPr>
                <w:b/>
                <w:bCs/>
                <w:lang w:val="fr-CH"/>
              </w:rPr>
              <w:t>Contact:</w:t>
            </w:r>
          </w:p>
        </w:tc>
        <w:tc>
          <w:tcPr>
            <w:tcW w:w="2835" w:type="dxa"/>
          </w:tcPr>
          <w:p w:rsidR="00060527" w:rsidRDefault="00060527" w:rsidP="002956AB">
            <w:pPr>
              <w:rPr>
                <w:lang w:eastAsia="ja-JP"/>
              </w:rPr>
            </w:pPr>
            <w:r w:rsidRPr="00093287">
              <w:rPr>
                <w:szCs w:val="24"/>
              </w:rPr>
              <w:t>Tetsuya Yokotani</w:t>
            </w:r>
            <w:r w:rsidRPr="00093287">
              <w:rPr>
                <w:szCs w:val="24"/>
              </w:rPr>
              <w:br/>
              <w:t>Mitsubishi Electric Corp.</w:t>
            </w:r>
            <w:r w:rsidRPr="00093287">
              <w:rPr>
                <w:szCs w:val="24"/>
              </w:rPr>
              <w:br/>
            </w:r>
            <w:smartTag w:uri="urn:schemas-microsoft-com:office:smarttags" w:element="country-region">
              <w:smartTag w:uri="urn:schemas-microsoft-com:office:smarttags" w:element="place">
                <w:r w:rsidRPr="00093287">
                  <w:rPr>
                    <w:szCs w:val="24"/>
                  </w:rPr>
                  <w:t>Japan</w:t>
                </w:r>
              </w:smartTag>
            </w:smartTag>
            <w:r w:rsidRPr="00093287">
              <w:rPr>
                <w:szCs w:val="24"/>
              </w:rPr>
              <w:t xml:space="preserve"> </w:t>
            </w:r>
          </w:p>
        </w:tc>
        <w:tc>
          <w:tcPr>
            <w:tcW w:w="5471" w:type="dxa"/>
          </w:tcPr>
          <w:p w:rsidR="00060527" w:rsidRDefault="00060527" w:rsidP="002956AB">
            <w:pPr>
              <w:rPr>
                <w:lang w:eastAsia="ja-JP"/>
              </w:rPr>
            </w:pPr>
            <w:r w:rsidRPr="00093287">
              <w:rPr>
                <w:szCs w:val="24"/>
              </w:rPr>
              <w:t>Tel: +81-467-41-2433</w:t>
            </w:r>
            <w:r w:rsidRPr="00093287">
              <w:rPr>
                <w:szCs w:val="24"/>
              </w:rPr>
              <w:br/>
              <w:t>Fax: +81-467-41-2419</w:t>
            </w:r>
            <w:r w:rsidRPr="00093287">
              <w:rPr>
                <w:szCs w:val="24"/>
              </w:rPr>
              <w:br/>
              <w:t>Email:</w:t>
            </w:r>
            <w:r>
              <w:rPr>
                <w:szCs w:val="24"/>
              </w:rPr>
              <w:t xml:space="preserve"> </w:t>
            </w:r>
            <w:hyperlink r:id="rId10" w:history="1">
              <w:r w:rsidRPr="00A12AC7">
                <w:rPr>
                  <w:rStyle w:val="Hyperlink"/>
                  <w:szCs w:val="24"/>
                </w:rPr>
                <w:t>Yokotani.Tetsuya@eb.MitsubishiElectric.co.jp</w:t>
              </w:r>
            </w:hyperlink>
            <w:r>
              <w:rPr>
                <w:szCs w:val="24"/>
              </w:rPr>
              <w:t xml:space="preserve">  </w:t>
            </w:r>
            <w:r w:rsidRPr="00093287">
              <w:rPr>
                <w:szCs w:val="24"/>
              </w:rPr>
              <w:t xml:space="preserve"> </w:t>
            </w:r>
          </w:p>
        </w:tc>
      </w:tr>
    </w:tbl>
    <w:p w:rsidR="00060527" w:rsidRDefault="00060527" w:rsidP="00060527">
      <w:pPr>
        <w:spacing w:after="120"/>
        <w:rPr>
          <w:szCs w:val="24"/>
        </w:rPr>
      </w:pPr>
    </w:p>
    <w:p w:rsidR="00AA51F5" w:rsidRDefault="00AA51F5" w:rsidP="00AA51F5">
      <w:pPr>
        <w:rPr>
          <w:lang w:val="en-US" w:eastAsia="zh-CN"/>
        </w:rPr>
      </w:pPr>
    </w:p>
    <w:p w:rsidR="0015001B" w:rsidRDefault="0015001B" w:rsidP="00AA51F5">
      <w:pPr>
        <w:rPr>
          <w:lang w:val="en-US" w:eastAsia="zh-CN"/>
        </w:rPr>
      </w:pPr>
      <w:bookmarkStart w:id="9" w:name="_GoBack"/>
      <w:bookmarkEnd w:id="9"/>
    </w:p>
    <w:p w:rsidR="00AA51F5" w:rsidRPr="003D240E" w:rsidRDefault="00AA51F5" w:rsidP="00AA51F5">
      <w:pPr>
        <w:jc w:val="center"/>
        <w:rPr>
          <w:lang w:val="en-US" w:eastAsia="zh-CN"/>
        </w:rPr>
      </w:pPr>
      <w:r>
        <w:rPr>
          <w:lang w:val="en-US" w:eastAsia="zh-CN"/>
        </w:rPr>
        <w:t>________________</w:t>
      </w:r>
    </w:p>
    <w:sectPr w:rsidR="00AA51F5" w:rsidRPr="003D240E"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AB" w:rsidRDefault="002956AB">
      <w:r>
        <w:separator/>
      </w:r>
    </w:p>
  </w:endnote>
  <w:endnote w:type="continuationSeparator" w:id="0">
    <w:p w:rsidR="002956AB" w:rsidRDefault="0029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AB" w:rsidRPr="00985530" w:rsidRDefault="002956AB">
    <w:pPr>
      <w:pStyle w:val="Footer"/>
      <w:rPr>
        <w:lang w:val="en-US"/>
      </w:rPr>
    </w:pPr>
    <w:fldSimple w:instr=" FILENAME  \p  \* MERGEFORMAT ">
      <w:r>
        <w:t>M:\BRSGD\TEXT2011\SG04\WP4B\200\205e.docx</w:t>
      </w:r>
    </w:fldSimple>
    <w:r w:rsidRPr="00985530">
      <w:rPr>
        <w:lang w:val="en-US"/>
      </w:rPr>
      <w:tab/>
    </w:r>
    <w:r>
      <w:fldChar w:fldCharType="begin"/>
    </w:r>
    <w:r>
      <w:instrText xml:space="preserve"> savedate \@ dd.MM.yy </w:instrText>
    </w:r>
    <w:r>
      <w:fldChar w:fldCharType="separate"/>
    </w:r>
    <w:r>
      <w:t>28.10.11</w:t>
    </w:r>
    <w:r>
      <w:fldChar w:fldCharType="end"/>
    </w:r>
    <w:r w:rsidRPr="00985530">
      <w:rPr>
        <w:lang w:val="en-US"/>
      </w:rPr>
      <w:tab/>
    </w:r>
    <w:r>
      <w:fldChar w:fldCharType="begin"/>
    </w:r>
    <w:r>
      <w:instrText xml:space="preserve"> printdate \@ dd.MM.yy </w:instrText>
    </w:r>
    <w:r>
      <w:fldChar w:fldCharType="separate"/>
    </w:r>
    <w:r>
      <w:t>28.10.11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AB" w:rsidRPr="00985530" w:rsidRDefault="002956AB" w:rsidP="00E6257C">
    <w:pPr>
      <w:pStyle w:val="Footer"/>
      <w:rPr>
        <w:lang w:val="en-US"/>
      </w:rPr>
    </w:pPr>
    <w:fldSimple w:instr=" FILENAME  \p  \* MERGEFORMAT ">
      <w:r>
        <w:t>M:\BRSGD\TEXT2011\SG04\WP4B\200\205e.docx</w:t>
      </w:r>
    </w:fldSimple>
    <w:r w:rsidRPr="00985530">
      <w:rPr>
        <w:lang w:val="en-US"/>
      </w:rPr>
      <w:tab/>
    </w:r>
    <w:r>
      <w:fldChar w:fldCharType="begin"/>
    </w:r>
    <w:r>
      <w:instrText xml:space="preserve"> savedate \@ dd.MM.yy </w:instrText>
    </w:r>
    <w:r>
      <w:fldChar w:fldCharType="separate"/>
    </w:r>
    <w:r>
      <w:t>28.10.11</w:t>
    </w:r>
    <w:r>
      <w:fldChar w:fldCharType="end"/>
    </w:r>
    <w:r w:rsidRPr="00985530">
      <w:rPr>
        <w:lang w:val="en-US"/>
      </w:rPr>
      <w:tab/>
    </w:r>
    <w:r>
      <w:fldChar w:fldCharType="begin"/>
    </w:r>
    <w:r>
      <w:instrText xml:space="preserve"> printdate \@ dd.MM.yy </w:instrText>
    </w:r>
    <w:r>
      <w:fldChar w:fldCharType="separate"/>
    </w:r>
    <w:r>
      <w:t>28.10.11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AB" w:rsidRDefault="002956AB">
      <w:r>
        <w:t>____________________</w:t>
      </w:r>
    </w:p>
  </w:footnote>
  <w:footnote w:type="continuationSeparator" w:id="0">
    <w:p w:rsidR="002956AB" w:rsidRDefault="0029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AB" w:rsidRDefault="002956A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5001B">
      <w:rPr>
        <w:rStyle w:val="PageNumber"/>
        <w:noProof/>
      </w:rPr>
      <w:t>2</w:t>
    </w:r>
    <w:r>
      <w:rPr>
        <w:rStyle w:val="PageNumber"/>
      </w:rPr>
      <w:fldChar w:fldCharType="end"/>
    </w:r>
    <w:r>
      <w:rPr>
        <w:rStyle w:val="PageNumber"/>
      </w:rPr>
      <w:t xml:space="preserve"> -</w:t>
    </w:r>
  </w:p>
  <w:p w:rsidR="002956AB" w:rsidRDefault="002956AB" w:rsidP="00060527">
    <w:pPr>
      <w:pStyle w:val="Header"/>
      <w:rPr>
        <w:lang w:val="en-US"/>
      </w:rPr>
    </w:pPr>
    <w:r>
      <w:rPr>
        <w:lang w:val="en-US"/>
      </w:rPr>
      <w:t>4B/205-E</w:t>
    </w:r>
  </w:p>
  <w:p w:rsidR="002956AB" w:rsidRDefault="002956AB">
    <w:pPr>
      <w:pStyle w:val="Header"/>
      <w:rPr>
        <w:lang w:val="en-US"/>
      </w:rPr>
    </w:pPr>
    <w:r>
      <w:rPr>
        <w:lang w:val="en-US"/>
      </w:rPr>
      <w:t>5D/1179-E</w:t>
    </w:r>
  </w:p>
  <w:p w:rsidR="002956AB" w:rsidRDefault="002956A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CC"/>
    <w:rsid w:val="000069D4"/>
    <w:rsid w:val="000174AD"/>
    <w:rsid w:val="00060527"/>
    <w:rsid w:val="000A7D55"/>
    <w:rsid w:val="000C0EE1"/>
    <w:rsid w:val="000C2E8E"/>
    <w:rsid w:val="000E0E7C"/>
    <w:rsid w:val="000F1B4B"/>
    <w:rsid w:val="0012744F"/>
    <w:rsid w:val="0015001B"/>
    <w:rsid w:val="00156F66"/>
    <w:rsid w:val="00182528"/>
    <w:rsid w:val="0018500B"/>
    <w:rsid w:val="00196A19"/>
    <w:rsid w:val="00202DC1"/>
    <w:rsid w:val="002116EE"/>
    <w:rsid w:val="002309D8"/>
    <w:rsid w:val="002956AB"/>
    <w:rsid w:val="002A7FE2"/>
    <w:rsid w:val="002E1B4F"/>
    <w:rsid w:val="002F2E67"/>
    <w:rsid w:val="00315546"/>
    <w:rsid w:val="00330567"/>
    <w:rsid w:val="00386A9D"/>
    <w:rsid w:val="00391081"/>
    <w:rsid w:val="003B2789"/>
    <w:rsid w:val="003C13CE"/>
    <w:rsid w:val="003D240E"/>
    <w:rsid w:val="003E2518"/>
    <w:rsid w:val="004B1EF7"/>
    <w:rsid w:val="004B3FAD"/>
    <w:rsid w:val="004D43EE"/>
    <w:rsid w:val="00501DCA"/>
    <w:rsid w:val="00513A47"/>
    <w:rsid w:val="005408DF"/>
    <w:rsid w:val="00573344"/>
    <w:rsid w:val="00583F9B"/>
    <w:rsid w:val="005E5C10"/>
    <w:rsid w:val="005F2C78"/>
    <w:rsid w:val="006144E4"/>
    <w:rsid w:val="00650299"/>
    <w:rsid w:val="00655FC5"/>
    <w:rsid w:val="007928CC"/>
    <w:rsid w:val="00822581"/>
    <w:rsid w:val="008309DD"/>
    <w:rsid w:val="0083227A"/>
    <w:rsid w:val="00866900"/>
    <w:rsid w:val="00881BA1"/>
    <w:rsid w:val="008C26B8"/>
    <w:rsid w:val="00982084"/>
    <w:rsid w:val="00985530"/>
    <w:rsid w:val="00995963"/>
    <w:rsid w:val="009B61EB"/>
    <w:rsid w:val="009C2064"/>
    <w:rsid w:val="009D1697"/>
    <w:rsid w:val="00A014F8"/>
    <w:rsid w:val="00A5173C"/>
    <w:rsid w:val="00A61AEF"/>
    <w:rsid w:val="00AA51F5"/>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AA51F5"/>
    <w:rPr>
      <w:color w:val="0000FF"/>
      <w:u w:val="single"/>
    </w:rPr>
  </w:style>
  <w:style w:type="paragraph" w:customStyle="1" w:styleId="LSDeadline">
    <w:name w:val="LSDeadline"/>
    <w:basedOn w:val="Normal"/>
    <w:rsid w:val="00060527"/>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Action">
    <w:name w:val="LSForAction"/>
    <w:basedOn w:val="Normal"/>
    <w:rsid w:val="00060527"/>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Info">
    <w:name w:val="LSForInfo"/>
    <w:basedOn w:val="LSForAction"/>
    <w:rsid w:val="00060527"/>
  </w:style>
  <w:style w:type="paragraph" w:customStyle="1" w:styleId="LSForComment">
    <w:name w:val="LSForComment"/>
    <w:basedOn w:val="LSForAction"/>
    <w:rsid w:val="00060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AA51F5"/>
    <w:rPr>
      <w:color w:val="0000FF"/>
      <w:u w:val="single"/>
    </w:rPr>
  </w:style>
  <w:style w:type="paragraph" w:customStyle="1" w:styleId="LSDeadline">
    <w:name w:val="LSDeadline"/>
    <w:basedOn w:val="Normal"/>
    <w:rsid w:val="00060527"/>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Action">
    <w:name w:val="LSForAction"/>
    <w:basedOn w:val="Normal"/>
    <w:rsid w:val="00060527"/>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Info">
    <w:name w:val="LSForInfo"/>
    <w:basedOn w:val="LSForAction"/>
    <w:rsid w:val="00060527"/>
  </w:style>
  <w:style w:type="paragraph" w:customStyle="1" w:styleId="LSForComment">
    <w:name w:val="LSForComment"/>
    <w:basedOn w:val="LSForAction"/>
    <w:rsid w:val="0006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studygroups/com15/a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okotani.Tetsuya@eb.MitsubishiElectric.co.jp" TargetMode="External"/><Relationship Id="rId4" Type="http://schemas.openxmlformats.org/officeDocument/2006/relationships/webSettings" Target="webSettings.xml"/><Relationship Id="rId9" Type="http://schemas.openxmlformats.org/officeDocument/2006/relationships/hyperlink" Target="mailto:JayJA@Corning.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188</TotalTime>
  <Pages>2</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http://www.itu.int/ITU-T/studygroups/com15/ant/</vt:lpstr>
      <vt:lpstr>Q1/15 wishes to express thanks for your kind previous cooperation.</vt:lpstr>
    </vt:vector>
  </TitlesOfParts>
  <Manager/>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Virginia</dc:creator>
  <cp:keywords/>
  <dc:description/>
  <cp:lastModifiedBy>Bonet, Frederique</cp:lastModifiedBy>
  <cp:revision>5</cp:revision>
  <cp:lastPrinted>2011-10-28T09:24:00Z</cp:lastPrinted>
  <dcterms:created xsi:type="dcterms:W3CDTF">2012-01-03T10:52:00Z</dcterms:created>
  <dcterms:modified xsi:type="dcterms:W3CDTF">2012-01-03T14:00:00Z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