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46A" w:rsidRPr="0087046A" w:rsidRDefault="0087046A" w:rsidP="0087046A">
      <w:pPr>
        <w:tabs>
          <w:tab w:val="left" w:pos="7560"/>
        </w:tabs>
        <w:ind w:right="-1267"/>
        <w:outlineLvl w:val="0"/>
        <w:rPr>
          <w:rFonts w:ascii="Helvetica" w:hAnsi="Helvetica"/>
          <w:b/>
          <w:sz w:val="28"/>
          <w:lang w:bidi="he-IL"/>
        </w:rPr>
      </w:pPr>
      <w:bookmarkStart w:id="0" w:name="_GoBack"/>
      <w:bookmarkEnd w:id="0"/>
      <w:r w:rsidRPr="0087046A">
        <w:rPr>
          <w:rFonts w:ascii="Helvetica" w:hAnsi="Helvetica"/>
          <w:b/>
          <w:sz w:val="28"/>
          <w:lang w:bidi="he-IL"/>
        </w:rPr>
        <w:t>IEEE 802</w:t>
      </w:r>
    </w:p>
    <w:p w:rsidR="0087046A" w:rsidRPr="0087046A" w:rsidRDefault="0087046A" w:rsidP="0087046A">
      <w:pPr>
        <w:ind w:right="1140"/>
        <w:outlineLvl w:val="0"/>
        <w:rPr>
          <w:rFonts w:ascii="Helvetica" w:hAnsi="Helvetica"/>
          <w:sz w:val="24"/>
          <w:lang w:bidi="he-IL"/>
        </w:rPr>
      </w:pPr>
      <w:r w:rsidRPr="0087046A">
        <w:rPr>
          <w:rFonts w:ascii="Helvetica" w:hAnsi="Helvetica"/>
          <w:sz w:val="24"/>
          <w:lang w:bidi="he-IL"/>
        </w:rPr>
        <w:t>Local and Metropolitan Area Network Standards Committee</w:t>
      </w:r>
    </w:p>
    <w:p w:rsidR="0087046A" w:rsidRDefault="0087046A" w:rsidP="0087046A">
      <w:pPr>
        <w:ind w:right="1140"/>
        <w:rPr>
          <w:rFonts w:ascii="Helvetica" w:hAnsi="Helvetica"/>
          <w:sz w:val="24"/>
          <w:lang w:bidi="he-IL"/>
        </w:rPr>
      </w:pPr>
      <w:r w:rsidRPr="0087046A">
        <w:rPr>
          <w:rFonts w:ascii="Helvetica" w:hAnsi="Helvetica"/>
          <w:sz w:val="24"/>
          <w:lang w:bidi="he-IL"/>
        </w:rPr>
        <w:t xml:space="preserve">Homepage at:  </w:t>
      </w:r>
      <w:hyperlink r:id="rId9" w:history="1">
        <w:r w:rsidRPr="00F431F6">
          <w:rPr>
            <w:rStyle w:val="Hyperlink"/>
            <w:sz w:val="24"/>
            <w:lang w:bidi="he-IL"/>
          </w:rPr>
          <w:t>http://ieee802.org/</w:t>
        </w:r>
      </w:hyperlink>
    </w:p>
    <w:p w:rsidR="0087046A" w:rsidRPr="0087046A" w:rsidRDefault="0087046A" w:rsidP="0087046A">
      <w:pPr>
        <w:ind w:right="1140"/>
        <w:rPr>
          <w:rFonts w:ascii="Helvetica" w:hAnsi="Helvetica"/>
          <w:sz w:val="24"/>
          <w:lang w:bidi="he-IL"/>
        </w:rPr>
      </w:pPr>
    </w:p>
    <w:p w:rsidR="00586447" w:rsidRPr="00CB219A" w:rsidRDefault="00C874A0" w:rsidP="00C874A0">
      <w:pPr>
        <w:spacing w:before="100" w:after="360"/>
        <w:rPr>
          <w:bCs/>
          <w:caps/>
          <w:sz w:val="24"/>
          <w:szCs w:val="24"/>
        </w:rPr>
      </w:pPr>
      <w:r w:rsidRPr="00C874A0">
        <w:rPr>
          <w:b/>
          <w:bCs/>
          <w:sz w:val="24"/>
          <w:szCs w:val="24"/>
        </w:rPr>
        <w:t>Via the ECFS</w:t>
      </w:r>
      <w:r w:rsidRPr="00C874A0">
        <w:rPr>
          <w:bCs/>
          <w:sz w:val="24"/>
          <w:szCs w:val="24"/>
        </w:rPr>
        <w:t xml:space="preserve"> </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00981307">
        <w:rPr>
          <w:bCs/>
          <w:sz w:val="24"/>
          <w:szCs w:val="24"/>
        </w:rPr>
        <w:t>09</w:t>
      </w:r>
      <w:r w:rsidR="00CB219A">
        <w:rPr>
          <w:bCs/>
          <w:sz w:val="24"/>
          <w:szCs w:val="24"/>
        </w:rPr>
        <w:t xml:space="preserve"> May 2012</w:t>
      </w:r>
    </w:p>
    <w:p w:rsidR="00DC12AA" w:rsidRPr="00DC12AA" w:rsidRDefault="00DC12AA" w:rsidP="00DC12AA">
      <w:pPr>
        <w:pStyle w:val="RecipientName"/>
        <w:rPr>
          <w:rFonts w:ascii="Times New Roman" w:hAnsi="Times New Roman"/>
          <w:szCs w:val="24"/>
        </w:rPr>
      </w:pPr>
      <w:r w:rsidRPr="00DC12AA">
        <w:rPr>
          <w:rFonts w:ascii="Times New Roman" w:hAnsi="Times New Roman"/>
          <w:szCs w:val="24"/>
        </w:rPr>
        <w:t>Mr. Julius Knapp</w:t>
      </w:r>
      <w:r w:rsidRPr="00DC12AA" w:rsidDel="007010CD">
        <w:rPr>
          <w:rFonts w:ascii="Times New Roman" w:hAnsi="Times New Roman"/>
          <w:szCs w:val="24"/>
        </w:rPr>
        <w:t xml:space="preserve"> </w:t>
      </w:r>
    </w:p>
    <w:p w:rsidR="00DC12AA" w:rsidRPr="00DC12AA" w:rsidRDefault="00D17653" w:rsidP="00DC12AA">
      <w:pPr>
        <w:rPr>
          <w:sz w:val="24"/>
          <w:szCs w:val="24"/>
        </w:rPr>
      </w:pPr>
      <w:r>
        <w:rPr>
          <w:sz w:val="24"/>
          <w:szCs w:val="24"/>
        </w:rPr>
        <w:t xml:space="preserve">Chief, </w:t>
      </w:r>
      <w:r w:rsidR="00DC12AA" w:rsidRPr="00DC12AA">
        <w:rPr>
          <w:sz w:val="24"/>
          <w:szCs w:val="24"/>
        </w:rPr>
        <w:t>Office of Engineering and Technology</w:t>
      </w:r>
    </w:p>
    <w:p w:rsidR="00DC12AA" w:rsidRPr="00DC12AA" w:rsidRDefault="00DC12AA" w:rsidP="00DC12AA">
      <w:pPr>
        <w:rPr>
          <w:sz w:val="24"/>
          <w:szCs w:val="24"/>
        </w:rPr>
      </w:pPr>
      <w:r w:rsidRPr="00DC12AA">
        <w:rPr>
          <w:sz w:val="24"/>
          <w:szCs w:val="24"/>
        </w:rPr>
        <w:t>Federal Communications Commission</w:t>
      </w:r>
    </w:p>
    <w:p w:rsidR="00DC12AA" w:rsidRPr="00DC12AA" w:rsidRDefault="00DC12AA" w:rsidP="00DC12AA">
      <w:pPr>
        <w:rPr>
          <w:sz w:val="24"/>
          <w:szCs w:val="24"/>
        </w:rPr>
      </w:pPr>
      <w:r w:rsidRPr="00DC12AA">
        <w:rPr>
          <w:sz w:val="24"/>
          <w:szCs w:val="24"/>
        </w:rPr>
        <w:t>445 Twelfth Street, S.W.</w:t>
      </w:r>
    </w:p>
    <w:p w:rsidR="00586447" w:rsidRDefault="00EB167D" w:rsidP="00DC12AA">
      <w:pPr>
        <w:rPr>
          <w:sz w:val="24"/>
          <w:szCs w:val="24"/>
        </w:rPr>
      </w:pPr>
      <w:r>
        <w:rPr>
          <w:sz w:val="24"/>
          <w:szCs w:val="24"/>
        </w:rPr>
        <w:t>Washington, D.C. 205</w:t>
      </w:r>
      <w:r w:rsidR="00DC12AA" w:rsidRPr="00DC12AA">
        <w:rPr>
          <w:sz w:val="24"/>
          <w:szCs w:val="24"/>
        </w:rPr>
        <w:t>54 USA</w:t>
      </w:r>
    </w:p>
    <w:p w:rsidR="00DC12AA" w:rsidRPr="00DC12AA" w:rsidRDefault="00DC12AA" w:rsidP="00DC12AA">
      <w:pPr>
        <w:rPr>
          <w:sz w:val="24"/>
          <w:szCs w:val="24"/>
        </w:rPr>
      </w:pPr>
    </w:p>
    <w:p w:rsidR="00067169" w:rsidRPr="00723BB7" w:rsidRDefault="00DC12AA" w:rsidP="00150075">
      <w:pPr>
        <w:spacing w:before="100" w:after="360"/>
        <w:rPr>
          <w:b/>
          <w:bCs/>
          <w:caps/>
          <w:sz w:val="24"/>
          <w:szCs w:val="24"/>
        </w:rPr>
      </w:pPr>
      <w:r>
        <w:rPr>
          <w:b/>
          <w:bCs/>
          <w:sz w:val="24"/>
          <w:szCs w:val="24"/>
        </w:rPr>
        <w:t xml:space="preserve">Subject: </w:t>
      </w:r>
      <w:r w:rsidRPr="00723BB7">
        <w:rPr>
          <w:b/>
          <w:bCs/>
          <w:sz w:val="24"/>
          <w:szCs w:val="24"/>
        </w:rPr>
        <w:t xml:space="preserve">IEEE </w:t>
      </w:r>
      <w:r w:rsidR="00067169" w:rsidRPr="00723BB7">
        <w:rPr>
          <w:b/>
          <w:bCs/>
          <w:caps/>
          <w:sz w:val="24"/>
          <w:szCs w:val="24"/>
        </w:rPr>
        <w:t xml:space="preserve">802 Lan/Man Standards Committee </w:t>
      </w:r>
      <w:r w:rsidR="000F6735">
        <w:rPr>
          <w:b/>
          <w:bCs/>
          <w:caps/>
          <w:sz w:val="24"/>
          <w:szCs w:val="24"/>
        </w:rPr>
        <w:t>Comments</w:t>
      </w:r>
      <w:r w:rsidR="00067169">
        <w:rPr>
          <w:b/>
          <w:bCs/>
          <w:caps/>
          <w:sz w:val="24"/>
          <w:szCs w:val="24"/>
        </w:rPr>
        <w:t xml:space="preserve"> </w:t>
      </w:r>
      <w:r w:rsidR="000F6735">
        <w:rPr>
          <w:b/>
          <w:bCs/>
          <w:caps/>
          <w:sz w:val="24"/>
          <w:szCs w:val="24"/>
        </w:rPr>
        <w:t>supporting</w:t>
      </w:r>
      <w:r w:rsidR="00067169">
        <w:rPr>
          <w:b/>
          <w:bCs/>
          <w:caps/>
          <w:sz w:val="24"/>
          <w:szCs w:val="24"/>
        </w:rPr>
        <w:t xml:space="preserve"> license-exempt usage of the television band white</w:t>
      </w:r>
      <w:r w:rsidR="00882823">
        <w:rPr>
          <w:b/>
          <w:bCs/>
          <w:caps/>
          <w:sz w:val="24"/>
          <w:szCs w:val="24"/>
        </w:rPr>
        <w:t xml:space="preserve"> </w:t>
      </w:r>
      <w:r w:rsidR="00067169">
        <w:rPr>
          <w:b/>
          <w:bCs/>
          <w:caps/>
          <w:sz w:val="24"/>
          <w:szCs w:val="24"/>
        </w:rPr>
        <w:t>spaces</w:t>
      </w:r>
      <w:r w:rsidR="00067169" w:rsidRPr="00723BB7">
        <w:rPr>
          <w:b/>
          <w:bCs/>
          <w:caps/>
          <w:sz w:val="24"/>
          <w:szCs w:val="24"/>
        </w:rPr>
        <w:t xml:space="preserve"> </w:t>
      </w:r>
    </w:p>
    <w:p w:rsidR="00067169" w:rsidRDefault="00067169" w:rsidP="00640FD6">
      <w:pPr>
        <w:numPr>
          <w:ilvl w:val="0"/>
          <w:numId w:val="1"/>
        </w:numPr>
        <w:spacing w:line="360" w:lineRule="auto"/>
        <w:rPr>
          <w:sz w:val="24"/>
          <w:szCs w:val="24"/>
        </w:rPr>
      </w:pPr>
      <w:r w:rsidRPr="0093735D">
        <w:rPr>
          <w:sz w:val="24"/>
          <w:szCs w:val="24"/>
        </w:rPr>
        <w:t>IEEE 802</w:t>
      </w:r>
      <w:r w:rsidR="00875CBF">
        <w:rPr>
          <w:rStyle w:val="FootnoteReference"/>
          <w:szCs w:val="24"/>
        </w:rPr>
        <w:footnoteReference w:id="1"/>
      </w:r>
      <w:r w:rsidRPr="0093735D">
        <w:rPr>
          <w:sz w:val="24"/>
          <w:szCs w:val="24"/>
        </w:rPr>
        <w:t xml:space="preserve"> respectfully submits </w:t>
      </w:r>
      <w:r>
        <w:rPr>
          <w:sz w:val="24"/>
          <w:szCs w:val="24"/>
        </w:rPr>
        <w:t xml:space="preserve">its </w:t>
      </w:r>
      <w:r w:rsidR="000F6735">
        <w:rPr>
          <w:sz w:val="24"/>
          <w:szCs w:val="24"/>
        </w:rPr>
        <w:t>comments</w:t>
      </w:r>
      <w:r>
        <w:rPr>
          <w:sz w:val="24"/>
          <w:szCs w:val="24"/>
        </w:rPr>
        <w:t xml:space="preserve"> </w:t>
      </w:r>
      <w:r w:rsidR="00C63AFF">
        <w:rPr>
          <w:sz w:val="24"/>
          <w:szCs w:val="24"/>
        </w:rPr>
        <w:t>supporting</w:t>
      </w:r>
      <w:r>
        <w:rPr>
          <w:sz w:val="24"/>
          <w:szCs w:val="24"/>
        </w:rPr>
        <w:t xml:space="preserve"> </w:t>
      </w:r>
      <w:r w:rsidRPr="00E757D9">
        <w:rPr>
          <w:b/>
          <w:i/>
          <w:sz w:val="24"/>
          <w:szCs w:val="24"/>
        </w:rPr>
        <w:t>license-exemp</w:t>
      </w:r>
      <w:r w:rsidR="001305DA">
        <w:rPr>
          <w:b/>
          <w:i/>
          <w:sz w:val="24"/>
          <w:szCs w:val="24"/>
        </w:rPr>
        <w:t>t</w:t>
      </w:r>
      <w:r w:rsidR="00596577">
        <w:rPr>
          <w:b/>
          <w:i/>
          <w:sz w:val="24"/>
          <w:szCs w:val="24"/>
        </w:rPr>
        <w:t xml:space="preserve"> </w:t>
      </w:r>
      <w:r w:rsidRPr="00E757D9">
        <w:rPr>
          <w:b/>
          <w:i/>
          <w:sz w:val="24"/>
          <w:szCs w:val="24"/>
        </w:rPr>
        <w:t xml:space="preserve">use </w:t>
      </w:r>
      <w:r>
        <w:rPr>
          <w:b/>
          <w:i/>
          <w:sz w:val="24"/>
          <w:szCs w:val="24"/>
        </w:rPr>
        <w:t>of</w:t>
      </w:r>
      <w:r w:rsidRPr="00E757D9">
        <w:rPr>
          <w:b/>
          <w:i/>
          <w:sz w:val="24"/>
          <w:szCs w:val="24"/>
        </w:rPr>
        <w:t xml:space="preserve"> the Television Band White Spaces </w:t>
      </w:r>
      <w:r>
        <w:rPr>
          <w:sz w:val="24"/>
          <w:szCs w:val="24"/>
        </w:rPr>
        <w:t>(“TVWS”).</w:t>
      </w:r>
      <w:r w:rsidRPr="0093735D">
        <w:rPr>
          <w:sz w:val="24"/>
          <w:szCs w:val="24"/>
        </w:rPr>
        <w:t xml:space="preserve"> </w:t>
      </w:r>
      <w:r w:rsidR="00136A99" w:rsidRPr="00136A99">
        <w:rPr>
          <w:sz w:val="24"/>
          <w:szCs w:val="24"/>
        </w:rPr>
        <w:t>This document represents the views of IEEE 802. It does not necessarily represent the views of the IEEE as a whole or the IEEE Standards Association as a whole.</w:t>
      </w:r>
    </w:p>
    <w:p w:rsidR="00067169" w:rsidRPr="00150075" w:rsidRDefault="00067169" w:rsidP="00640FD6">
      <w:pPr>
        <w:numPr>
          <w:ilvl w:val="0"/>
          <w:numId w:val="1"/>
        </w:numPr>
        <w:spacing w:line="360" w:lineRule="auto"/>
        <w:rPr>
          <w:sz w:val="24"/>
          <w:szCs w:val="24"/>
        </w:rPr>
      </w:pPr>
      <w:r w:rsidRPr="00281263">
        <w:rPr>
          <w:sz w:val="24"/>
          <w:szCs w:val="24"/>
        </w:rPr>
        <w:t xml:space="preserve">IEEE 802, as a leading consensus-based standards body, produces </w:t>
      </w:r>
      <w:r w:rsidR="00C57BC6">
        <w:rPr>
          <w:sz w:val="24"/>
          <w:szCs w:val="24"/>
        </w:rPr>
        <w:t xml:space="preserve">interoperability </w:t>
      </w:r>
      <w:r w:rsidRPr="00281263">
        <w:rPr>
          <w:sz w:val="24"/>
          <w:szCs w:val="24"/>
        </w:rPr>
        <w:t xml:space="preserve">standards for </w:t>
      </w:r>
      <w:r>
        <w:rPr>
          <w:sz w:val="24"/>
          <w:szCs w:val="24"/>
        </w:rPr>
        <w:t xml:space="preserve">wired and </w:t>
      </w:r>
      <w:r w:rsidRPr="00281263">
        <w:rPr>
          <w:sz w:val="24"/>
          <w:szCs w:val="24"/>
        </w:rPr>
        <w:t xml:space="preserve">wireless networking devices, including wireless local area networks </w:t>
      </w:r>
      <w:r>
        <w:rPr>
          <w:sz w:val="24"/>
          <w:szCs w:val="24"/>
        </w:rPr>
        <w:t>(</w:t>
      </w:r>
      <w:r w:rsidRPr="00281263">
        <w:rPr>
          <w:sz w:val="24"/>
          <w:szCs w:val="24"/>
        </w:rPr>
        <w:t>“WLANs”), wireless personal area networks (“WPANs”), wireless metropolitan area networks (“Wireless MANs”)</w:t>
      </w:r>
      <w:r>
        <w:rPr>
          <w:sz w:val="24"/>
          <w:szCs w:val="24"/>
        </w:rPr>
        <w:t>, and wireless regional area networks (“WRANs”)</w:t>
      </w:r>
      <w:r w:rsidRPr="00281263">
        <w:rPr>
          <w:sz w:val="24"/>
          <w:szCs w:val="24"/>
        </w:rPr>
        <w:t xml:space="preserve">. </w:t>
      </w:r>
      <w:r>
        <w:rPr>
          <w:sz w:val="24"/>
          <w:szCs w:val="24"/>
        </w:rPr>
        <w:t xml:space="preserve"> Included in our standards development activity is an emphasis on coexistence, which is the focus of our Wireless Coexistenc</w:t>
      </w:r>
      <w:r w:rsidR="00B32440">
        <w:rPr>
          <w:sz w:val="24"/>
          <w:szCs w:val="24"/>
        </w:rPr>
        <w:t>e Working G</w:t>
      </w:r>
      <w:r>
        <w:rPr>
          <w:sz w:val="24"/>
          <w:szCs w:val="24"/>
        </w:rPr>
        <w:t xml:space="preserve">roup. </w:t>
      </w:r>
    </w:p>
    <w:p w:rsidR="00067169" w:rsidRDefault="00067169" w:rsidP="0018623A">
      <w:pPr>
        <w:numPr>
          <w:ilvl w:val="0"/>
          <w:numId w:val="1"/>
        </w:numPr>
        <w:spacing w:line="360" w:lineRule="auto"/>
        <w:rPr>
          <w:sz w:val="24"/>
          <w:szCs w:val="24"/>
        </w:rPr>
      </w:pPr>
      <w:r>
        <w:rPr>
          <w:sz w:val="24"/>
          <w:szCs w:val="24"/>
        </w:rPr>
        <w:t xml:space="preserve">Regulators in many national administrations have recognized the importance of the Television </w:t>
      </w:r>
      <w:r w:rsidR="009B6CCD">
        <w:rPr>
          <w:sz w:val="24"/>
          <w:szCs w:val="24"/>
        </w:rPr>
        <w:t>B</w:t>
      </w:r>
      <w:r>
        <w:rPr>
          <w:sz w:val="24"/>
          <w:szCs w:val="24"/>
        </w:rPr>
        <w:t xml:space="preserve">and White Spaces (“TVWS”) spectrum. </w:t>
      </w:r>
      <w:r w:rsidRPr="00B6416C">
        <w:rPr>
          <w:sz w:val="24"/>
          <w:szCs w:val="24"/>
        </w:rPr>
        <w:t xml:space="preserve">There is an on-going </w:t>
      </w:r>
      <w:r>
        <w:rPr>
          <w:sz w:val="24"/>
          <w:szCs w:val="24"/>
        </w:rPr>
        <w:t>discussion</w:t>
      </w:r>
      <w:r w:rsidRPr="00B6416C">
        <w:rPr>
          <w:sz w:val="24"/>
          <w:szCs w:val="24"/>
        </w:rPr>
        <w:t xml:space="preserve"> about the most appropriate use of the </w:t>
      </w:r>
      <w:r>
        <w:rPr>
          <w:sz w:val="24"/>
          <w:szCs w:val="24"/>
        </w:rPr>
        <w:t>TVWS</w:t>
      </w:r>
      <w:r w:rsidRPr="00B6416C">
        <w:rPr>
          <w:sz w:val="24"/>
          <w:szCs w:val="24"/>
        </w:rPr>
        <w:t xml:space="preserve"> and the benefits of licensed versus the license</w:t>
      </w:r>
      <w:r>
        <w:rPr>
          <w:sz w:val="24"/>
          <w:szCs w:val="24"/>
        </w:rPr>
        <w:t>-</w:t>
      </w:r>
      <w:r w:rsidRPr="00B6416C">
        <w:rPr>
          <w:sz w:val="24"/>
          <w:szCs w:val="24"/>
        </w:rPr>
        <w:t>exempt usage</w:t>
      </w:r>
      <w:r>
        <w:rPr>
          <w:sz w:val="24"/>
          <w:szCs w:val="24"/>
        </w:rPr>
        <w:t xml:space="preserve"> as part of a conversation about the future use of the television bands generally</w:t>
      </w:r>
      <w:r w:rsidRPr="00B6416C">
        <w:rPr>
          <w:sz w:val="24"/>
          <w:szCs w:val="24"/>
        </w:rPr>
        <w:t>.</w:t>
      </w:r>
      <w:r>
        <w:rPr>
          <w:sz w:val="24"/>
          <w:szCs w:val="24"/>
        </w:rPr>
        <w:t xml:space="preserve"> </w:t>
      </w:r>
      <w:r w:rsidR="00F9526D">
        <w:rPr>
          <w:sz w:val="24"/>
          <w:szCs w:val="24"/>
        </w:rPr>
        <w:t xml:space="preserve">Currently in the Unites States the </w:t>
      </w:r>
      <w:r w:rsidR="004C3A70">
        <w:rPr>
          <w:sz w:val="24"/>
          <w:szCs w:val="24"/>
        </w:rPr>
        <w:t xml:space="preserve">TVWS frequency </w:t>
      </w:r>
      <w:r w:rsidR="00F9526D">
        <w:rPr>
          <w:sz w:val="24"/>
          <w:szCs w:val="24"/>
        </w:rPr>
        <w:t xml:space="preserve">band is identified for unlicensed use and the associated technical rules dictate how the devices in that </w:t>
      </w:r>
      <w:r w:rsidR="004C3A70">
        <w:rPr>
          <w:sz w:val="24"/>
          <w:szCs w:val="24"/>
        </w:rPr>
        <w:t xml:space="preserve">frequency </w:t>
      </w:r>
      <w:r w:rsidR="00F9526D">
        <w:rPr>
          <w:sz w:val="24"/>
          <w:szCs w:val="24"/>
        </w:rPr>
        <w:t>band are required to operate. IEEE 802 has</w:t>
      </w:r>
      <w:r w:rsidR="00363DA7">
        <w:rPr>
          <w:sz w:val="24"/>
          <w:szCs w:val="24"/>
        </w:rPr>
        <w:t xml:space="preserve"> developed and </w:t>
      </w:r>
      <w:r w:rsidR="00363DA7" w:rsidRPr="007C4ACF">
        <w:rPr>
          <w:sz w:val="24"/>
          <w:szCs w:val="24"/>
        </w:rPr>
        <w:t>continues to develop</w:t>
      </w:r>
      <w:r w:rsidR="006D6213">
        <w:rPr>
          <w:sz w:val="24"/>
          <w:szCs w:val="24"/>
        </w:rPr>
        <w:t xml:space="preserve"> </w:t>
      </w:r>
      <w:r w:rsidR="000B222F">
        <w:rPr>
          <w:sz w:val="24"/>
          <w:szCs w:val="24"/>
        </w:rPr>
        <w:t>standards for</w:t>
      </w:r>
      <w:r w:rsidR="00A42608">
        <w:rPr>
          <w:sz w:val="24"/>
          <w:szCs w:val="24"/>
        </w:rPr>
        <w:t xml:space="preserve"> a wide variety of applications including smart grid, regional and rural broadband access, local area networks and hotspots, healthcare </w:t>
      </w:r>
      <w:r w:rsidR="00F9526D">
        <w:rPr>
          <w:sz w:val="24"/>
          <w:szCs w:val="24"/>
        </w:rPr>
        <w:t>and others within the regulatory framework established by the FCC</w:t>
      </w:r>
      <w:r w:rsidR="006D6213">
        <w:rPr>
          <w:sz w:val="24"/>
          <w:szCs w:val="24"/>
        </w:rPr>
        <w:t xml:space="preserve"> </w:t>
      </w:r>
      <w:r w:rsidR="006D6213" w:rsidRPr="007C4ACF">
        <w:rPr>
          <w:sz w:val="24"/>
          <w:szCs w:val="24"/>
        </w:rPr>
        <w:t>including TVWS</w:t>
      </w:r>
      <w:r w:rsidR="00F9526D">
        <w:rPr>
          <w:sz w:val="24"/>
          <w:szCs w:val="24"/>
        </w:rPr>
        <w:t>.</w:t>
      </w:r>
      <w:r w:rsidR="00614B52">
        <w:rPr>
          <w:sz w:val="24"/>
          <w:szCs w:val="24"/>
        </w:rPr>
        <w:t xml:space="preserve"> </w:t>
      </w:r>
    </w:p>
    <w:p w:rsidR="00D20183" w:rsidRPr="001352F8" w:rsidRDefault="00067169" w:rsidP="003A4955">
      <w:pPr>
        <w:numPr>
          <w:ilvl w:val="0"/>
          <w:numId w:val="1"/>
        </w:numPr>
        <w:spacing w:line="360" w:lineRule="auto"/>
        <w:rPr>
          <w:sz w:val="24"/>
          <w:szCs w:val="24"/>
        </w:rPr>
      </w:pPr>
      <w:r w:rsidRPr="001352F8">
        <w:rPr>
          <w:sz w:val="24"/>
        </w:rPr>
        <w:t>IEEE 80</w:t>
      </w:r>
      <w:r w:rsidR="0076584D" w:rsidRPr="001352F8">
        <w:rPr>
          <w:sz w:val="24"/>
        </w:rPr>
        <w:t>2 supports the establishment of</w:t>
      </w:r>
      <w:r w:rsidRPr="001352F8">
        <w:rPr>
          <w:sz w:val="24"/>
        </w:rPr>
        <w:t xml:space="preserve"> </w:t>
      </w:r>
      <w:r w:rsidR="009973D4" w:rsidRPr="001352F8">
        <w:rPr>
          <w:sz w:val="24"/>
        </w:rPr>
        <w:t xml:space="preserve">a </w:t>
      </w:r>
      <w:r w:rsidRPr="001352F8">
        <w:rPr>
          <w:sz w:val="24"/>
        </w:rPr>
        <w:t xml:space="preserve">regulatory framework </w:t>
      </w:r>
      <w:r w:rsidR="009973D4" w:rsidRPr="001352F8">
        <w:rPr>
          <w:sz w:val="24"/>
        </w:rPr>
        <w:t xml:space="preserve">permitting the use of </w:t>
      </w:r>
      <w:r w:rsidRPr="001352F8">
        <w:rPr>
          <w:b/>
          <w:i/>
          <w:sz w:val="24"/>
        </w:rPr>
        <w:t>license-exempt</w:t>
      </w:r>
      <w:r w:rsidRPr="001352F8">
        <w:rPr>
          <w:sz w:val="24"/>
        </w:rPr>
        <w:t xml:space="preserve"> t</w:t>
      </w:r>
      <w:r w:rsidR="00E768AE" w:rsidRPr="001352F8">
        <w:rPr>
          <w:sz w:val="24"/>
        </w:rPr>
        <w:t>echnology in the TVWS</w:t>
      </w:r>
      <w:r w:rsidRPr="001352F8">
        <w:rPr>
          <w:sz w:val="24"/>
        </w:rPr>
        <w:t>.</w:t>
      </w:r>
      <w:r w:rsidR="009973D4" w:rsidRPr="001352F8">
        <w:rPr>
          <w:sz w:val="24"/>
        </w:rPr>
        <w:t xml:space="preserve"> </w:t>
      </w:r>
      <w:r w:rsidRPr="001352F8">
        <w:rPr>
          <w:sz w:val="24"/>
        </w:rPr>
        <w:t xml:space="preserve"> We believe that</w:t>
      </w:r>
      <w:r w:rsidR="0076584D" w:rsidRPr="001352F8">
        <w:rPr>
          <w:sz w:val="24"/>
        </w:rPr>
        <w:t xml:space="preserve"> opening up TVWS spectrum for license-exempt</w:t>
      </w:r>
      <w:r w:rsidR="00B710EB" w:rsidRPr="001352F8">
        <w:rPr>
          <w:sz w:val="24"/>
        </w:rPr>
        <w:t>, in addition to licensed use,</w:t>
      </w:r>
      <w:r w:rsidR="00BC0EF7" w:rsidRPr="001352F8">
        <w:rPr>
          <w:sz w:val="24"/>
        </w:rPr>
        <w:t xml:space="preserve"> </w:t>
      </w:r>
      <w:r w:rsidR="0076584D" w:rsidRPr="001352F8">
        <w:rPr>
          <w:sz w:val="24"/>
        </w:rPr>
        <w:t>will</w:t>
      </w:r>
      <w:r w:rsidRPr="001352F8">
        <w:rPr>
          <w:sz w:val="24"/>
        </w:rPr>
        <w:t xml:space="preserve"> spur</w:t>
      </w:r>
      <w:r w:rsidR="00B710EB" w:rsidRPr="001352F8">
        <w:rPr>
          <w:sz w:val="24"/>
        </w:rPr>
        <w:t xml:space="preserve"> unique</w:t>
      </w:r>
      <w:r w:rsidRPr="001352F8">
        <w:rPr>
          <w:sz w:val="24"/>
        </w:rPr>
        <w:t xml:space="preserve"> innovation</w:t>
      </w:r>
      <w:r w:rsidR="00B710EB" w:rsidRPr="001352F8">
        <w:rPr>
          <w:sz w:val="24"/>
        </w:rPr>
        <w:t>s</w:t>
      </w:r>
      <w:r w:rsidRPr="001352F8">
        <w:rPr>
          <w:sz w:val="24"/>
        </w:rPr>
        <w:t xml:space="preserve"> to address</w:t>
      </w:r>
      <w:r w:rsidR="00467639" w:rsidRPr="001352F8">
        <w:rPr>
          <w:sz w:val="24"/>
        </w:rPr>
        <w:t xml:space="preserve"> the</w:t>
      </w:r>
      <w:r w:rsidRPr="001352F8">
        <w:rPr>
          <w:sz w:val="24"/>
        </w:rPr>
        <w:t xml:space="preserve"> meaningful communications needs of consumers, businesses and government</w:t>
      </w:r>
      <w:r w:rsidR="009973D4" w:rsidRPr="001352F8">
        <w:rPr>
          <w:sz w:val="24"/>
        </w:rPr>
        <w:t xml:space="preserve"> agencies</w:t>
      </w:r>
      <w:r w:rsidRPr="001352F8">
        <w:rPr>
          <w:sz w:val="24"/>
        </w:rPr>
        <w:t xml:space="preserve">. </w:t>
      </w:r>
      <w:r w:rsidR="00E82A6C" w:rsidRPr="001352F8">
        <w:rPr>
          <w:sz w:val="24"/>
        </w:rPr>
        <w:t>Spectrum should not remain unused if</w:t>
      </w:r>
      <w:r w:rsidR="00AE4BC1" w:rsidRPr="00AE4BC1">
        <w:rPr>
          <w:sz w:val="20"/>
        </w:rPr>
        <w:tab/>
      </w:r>
      <w:r w:rsidR="003A4955" w:rsidRPr="003A4955">
        <w:rPr>
          <w:sz w:val="20"/>
        </w:rPr>
        <w:t xml:space="preserve">  </w:t>
      </w:r>
    </w:p>
    <w:p w:rsidR="00067169" w:rsidRPr="00890C85" w:rsidRDefault="00E82A6C" w:rsidP="001352F8">
      <w:pPr>
        <w:widowControl w:val="0"/>
        <w:autoSpaceDE w:val="0"/>
        <w:autoSpaceDN w:val="0"/>
        <w:adjustRightInd w:val="0"/>
        <w:spacing w:line="360" w:lineRule="auto"/>
        <w:ind w:left="360"/>
        <w:rPr>
          <w:sz w:val="24"/>
          <w:szCs w:val="24"/>
        </w:rPr>
      </w:pPr>
      <w:r>
        <w:rPr>
          <w:sz w:val="24"/>
        </w:rPr>
        <w:lastRenderedPageBreak/>
        <w:t xml:space="preserve">there are radio technologies that can make use of the spectrum while preserving the established regulatory framework for the use of the TVWS frequency bands. </w:t>
      </w:r>
    </w:p>
    <w:p w:rsidR="00614B52" w:rsidRPr="00614B52" w:rsidRDefault="006723FE" w:rsidP="00640FD6">
      <w:pPr>
        <w:numPr>
          <w:ilvl w:val="0"/>
          <w:numId w:val="1"/>
        </w:numPr>
        <w:spacing w:line="360" w:lineRule="auto"/>
        <w:rPr>
          <w:sz w:val="24"/>
          <w:szCs w:val="24"/>
        </w:rPr>
      </w:pPr>
      <w:r>
        <w:rPr>
          <w:sz w:val="24"/>
          <w:szCs w:val="24"/>
        </w:rPr>
        <w:t>I</w:t>
      </w:r>
      <w:r w:rsidR="00067169" w:rsidRPr="008E5372">
        <w:rPr>
          <w:sz w:val="24"/>
          <w:szCs w:val="24"/>
        </w:rPr>
        <w:t>t is worth noting tha</w:t>
      </w:r>
      <w:r w:rsidR="0068030A">
        <w:rPr>
          <w:sz w:val="24"/>
          <w:szCs w:val="24"/>
        </w:rPr>
        <w:t>t significant innovations in our</w:t>
      </w:r>
      <w:r w:rsidR="00067169" w:rsidRPr="008E5372">
        <w:rPr>
          <w:sz w:val="24"/>
          <w:szCs w:val="24"/>
        </w:rPr>
        <w:t xml:space="preserve"> wireless communications </w:t>
      </w:r>
      <w:r w:rsidR="0068030A">
        <w:rPr>
          <w:sz w:val="24"/>
          <w:szCs w:val="24"/>
        </w:rPr>
        <w:t xml:space="preserve">standards </w:t>
      </w:r>
      <w:r w:rsidR="00067169" w:rsidRPr="008E5372">
        <w:rPr>
          <w:sz w:val="24"/>
          <w:szCs w:val="24"/>
        </w:rPr>
        <w:t>such as IEEE 802.11 (Wi-Fi</w:t>
      </w:r>
      <w:r w:rsidR="00663A92" w:rsidRPr="00663A92">
        <w:rPr>
          <w:sz w:val="24"/>
          <w:szCs w:val="24"/>
        </w:rPr>
        <w:t>™</w:t>
      </w:r>
      <w:r w:rsidR="00067169" w:rsidRPr="008E5372">
        <w:rPr>
          <w:sz w:val="24"/>
          <w:szCs w:val="24"/>
        </w:rPr>
        <w:t>), and IEEE 802.15.1 (Bluetooth</w:t>
      </w:r>
      <w:r w:rsidR="00663A92" w:rsidRPr="00663A92">
        <w:rPr>
          <w:sz w:val="24"/>
          <w:szCs w:val="24"/>
        </w:rPr>
        <w:t>™</w:t>
      </w:r>
      <w:r w:rsidR="00067169" w:rsidRPr="008E5372">
        <w:rPr>
          <w:sz w:val="24"/>
          <w:szCs w:val="24"/>
        </w:rPr>
        <w:t>) were born in the spectrum bands with no exclusive license. It should be noted that wireless cellular service providers use other wireless networks such as Wi-Fi that operate in license-exempt spectrum. This reduces the congestion, provides network redundancy,</w:t>
      </w:r>
      <w:r w:rsidR="00AD6B68">
        <w:rPr>
          <w:sz w:val="24"/>
          <w:szCs w:val="24"/>
        </w:rPr>
        <w:t xml:space="preserve"> and high data rates to ensure service quality</w:t>
      </w:r>
      <w:r w:rsidR="00067169" w:rsidRPr="008E5372">
        <w:rPr>
          <w:sz w:val="24"/>
          <w:szCs w:val="24"/>
        </w:rPr>
        <w:t xml:space="preserve"> in a cost-effective manner. </w:t>
      </w:r>
      <w:r>
        <w:rPr>
          <w:sz w:val="24"/>
          <w:szCs w:val="24"/>
        </w:rPr>
        <w:t>IEEE 802 has contributed significantly to the use of unlicensed spectrum and will continue to do so. Provision of more license-exempt spectrum will allow further useful developments.</w:t>
      </w:r>
    </w:p>
    <w:p w:rsidR="00067169" w:rsidRDefault="00591F76" w:rsidP="00067169">
      <w:pPr>
        <w:widowControl w:val="0"/>
        <w:numPr>
          <w:ilvl w:val="0"/>
          <w:numId w:val="1"/>
        </w:numPr>
        <w:autoSpaceDE w:val="0"/>
        <w:autoSpaceDN w:val="0"/>
        <w:adjustRightInd w:val="0"/>
        <w:spacing w:line="360" w:lineRule="auto"/>
        <w:rPr>
          <w:sz w:val="24"/>
          <w:szCs w:val="24"/>
        </w:rPr>
      </w:pPr>
      <w:r>
        <w:rPr>
          <w:sz w:val="24"/>
          <w:szCs w:val="24"/>
        </w:rPr>
        <w:t>Across industries</w:t>
      </w:r>
      <w:r w:rsidR="00067169" w:rsidRPr="008E5372">
        <w:rPr>
          <w:sz w:val="24"/>
          <w:szCs w:val="24"/>
        </w:rPr>
        <w:t xml:space="preserve"> the use of the TVWS spectrum is vital, given its </w:t>
      </w:r>
      <w:r w:rsidR="009016DE">
        <w:rPr>
          <w:sz w:val="24"/>
          <w:szCs w:val="24"/>
        </w:rPr>
        <w:t>propa</w:t>
      </w:r>
      <w:r w:rsidR="00067169">
        <w:rPr>
          <w:sz w:val="24"/>
          <w:szCs w:val="24"/>
        </w:rPr>
        <w:t>gation characteristics</w:t>
      </w:r>
      <w:r w:rsidR="00D0580C">
        <w:rPr>
          <w:sz w:val="24"/>
          <w:szCs w:val="24"/>
        </w:rPr>
        <w:t>,</w:t>
      </w:r>
      <w:r w:rsidR="00067169">
        <w:rPr>
          <w:sz w:val="24"/>
          <w:szCs w:val="24"/>
        </w:rPr>
        <w:t xml:space="preserve"> </w:t>
      </w:r>
      <w:r w:rsidR="00990739">
        <w:rPr>
          <w:sz w:val="24"/>
          <w:szCs w:val="24"/>
        </w:rPr>
        <w:t>improved</w:t>
      </w:r>
      <w:r w:rsidR="00067169" w:rsidRPr="008E5372">
        <w:rPr>
          <w:sz w:val="24"/>
          <w:szCs w:val="24"/>
        </w:rPr>
        <w:t xml:space="preserve"> building</w:t>
      </w:r>
      <w:r w:rsidR="00990739">
        <w:rPr>
          <w:sz w:val="24"/>
          <w:szCs w:val="24"/>
        </w:rPr>
        <w:t xml:space="preserve"> penetration</w:t>
      </w:r>
      <w:r w:rsidR="00067169">
        <w:rPr>
          <w:sz w:val="24"/>
          <w:szCs w:val="24"/>
        </w:rPr>
        <w:t xml:space="preserve"> and </w:t>
      </w:r>
      <w:r w:rsidR="00067169" w:rsidRPr="008E5372">
        <w:rPr>
          <w:sz w:val="24"/>
          <w:szCs w:val="24"/>
        </w:rPr>
        <w:t>enhance</w:t>
      </w:r>
      <w:r w:rsidR="00990739">
        <w:rPr>
          <w:sz w:val="24"/>
          <w:szCs w:val="24"/>
        </w:rPr>
        <w:t>d</w:t>
      </w:r>
      <w:r w:rsidR="00BF5271">
        <w:rPr>
          <w:sz w:val="24"/>
          <w:szCs w:val="24"/>
        </w:rPr>
        <w:t xml:space="preserve"> regional and</w:t>
      </w:r>
      <w:r w:rsidR="00067169" w:rsidRPr="008E5372">
        <w:rPr>
          <w:sz w:val="24"/>
          <w:szCs w:val="24"/>
        </w:rPr>
        <w:t xml:space="preserve"> rural coverage</w:t>
      </w:r>
      <w:r w:rsidR="00623676">
        <w:rPr>
          <w:sz w:val="24"/>
          <w:szCs w:val="24"/>
        </w:rPr>
        <w:t>.</w:t>
      </w:r>
    </w:p>
    <w:p w:rsidR="00FE449F" w:rsidRPr="00FE449F" w:rsidRDefault="00FE449F" w:rsidP="00FE449F">
      <w:pPr>
        <w:numPr>
          <w:ilvl w:val="0"/>
          <w:numId w:val="1"/>
        </w:numPr>
        <w:spacing w:line="360" w:lineRule="auto"/>
        <w:rPr>
          <w:sz w:val="24"/>
          <w:szCs w:val="24"/>
        </w:rPr>
      </w:pPr>
      <w:r w:rsidRPr="00FE449F">
        <w:rPr>
          <w:sz w:val="24"/>
          <w:szCs w:val="24"/>
        </w:rPr>
        <w:t xml:space="preserve">In apportioning the frequency band between licensed and license-exempt uses it is important to make certain that a substantial amount of spectrum is kept available for license-exempt use. </w:t>
      </w:r>
    </w:p>
    <w:p w:rsidR="008F634F" w:rsidRDefault="00067169" w:rsidP="00067169">
      <w:pPr>
        <w:numPr>
          <w:ilvl w:val="0"/>
          <w:numId w:val="1"/>
        </w:numPr>
        <w:spacing w:line="360" w:lineRule="auto"/>
        <w:rPr>
          <w:sz w:val="24"/>
          <w:szCs w:val="24"/>
        </w:rPr>
      </w:pPr>
      <w:r w:rsidRPr="00C05ECC">
        <w:rPr>
          <w:sz w:val="24"/>
          <w:szCs w:val="24"/>
        </w:rPr>
        <w:t>License-exempt us</w:t>
      </w:r>
      <w:r w:rsidR="00334B0A">
        <w:rPr>
          <w:sz w:val="24"/>
          <w:szCs w:val="24"/>
        </w:rPr>
        <w:t>e of TVWS spectrum could support</w:t>
      </w:r>
      <w:r w:rsidRPr="00C05ECC">
        <w:rPr>
          <w:sz w:val="24"/>
          <w:szCs w:val="24"/>
        </w:rPr>
        <w:t xml:space="preserve"> applications in healthcare, education, smart </w:t>
      </w:r>
      <w:r w:rsidR="004F61BC">
        <w:rPr>
          <w:sz w:val="24"/>
          <w:szCs w:val="24"/>
        </w:rPr>
        <w:t>utility network</w:t>
      </w:r>
      <w:r w:rsidR="00600B72">
        <w:rPr>
          <w:sz w:val="24"/>
          <w:szCs w:val="24"/>
        </w:rPr>
        <w:t>s</w:t>
      </w:r>
      <w:r w:rsidRPr="00217F3E">
        <w:rPr>
          <w:sz w:val="24"/>
          <w:szCs w:val="24"/>
        </w:rPr>
        <w:t xml:space="preserve">, </w:t>
      </w:r>
      <w:r>
        <w:rPr>
          <w:sz w:val="24"/>
          <w:szCs w:val="24"/>
        </w:rPr>
        <w:t>disaster recovery, environment monitoring, critical infrastructure monitoring,</w:t>
      </w:r>
      <w:r w:rsidR="0013360E">
        <w:rPr>
          <w:sz w:val="24"/>
          <w:szCs w:val="24"/>
        </w:rPr>
        <w:t xml:space="preserve"> border protection, </w:t>
      </w:r>
      <w:r>
        <w:rPr>
          <w:sz w:val="24"/>
          <w:szCs w:val="24"/>
        </w:rPr>
        <w:t>homeland security</w:t>
      </w:r>
      <w:r w:rsidR="00600B72">
        <w:rPr>
          <w:sz w:val="24"/>
          <w:szCs w:val="24"/>
        </w:rPr>
        <w:t>, high speed internet,</w:t>
      </w:r>
      <w:r>
        <w:rPr>
          <w:sz w:val="24"/>
          <w:szCs w:val="24"/>
        </w:rPr>
        <w:t xml:space="preserve"> </w:t>
      </w:r>
      <w:r w:rsidRPr="00217F3E">
        <w:rPr>
          <w:sz w:val="24"/>
          <w:szCs w:val="24"/>
        </w:rPr>
        <w:t xml:space="preserve">and other </w:t>
      </w:r>
      <w:r>
        <w:rPr>
          <w:sz w:val="24"/>
          <w:szCs w:val="24"/>
        </w:rPr>
        <w:t>countless innovative areas</w:t>
      </w:r>
    </w:p>
    <w:p w:rsidR="00067169" w:rsidRPr="00FA6A44" w:rsidRDefault="00067169" w:rsidP="00067169">
      <w:pPr>
        <w:widowControl w:val="0"/>
        <w:numPr>
          <w:ilvl w:val="0"/>
          <w:numId w:val="1"/>
        </w:numPr>
        <w:autoSpaceDE w:val="0"/>
        <w:autoSpaceDN w:val="0"/>
        <w:adjustRightInd w:val="0"/>
        <w:spacing w:line="360" w:lineRule="auto"/>
        <w:rPr>
          <w:sz w:val="24"/>
          <w:szCs w:val="24"/>
        </w:rPr>
      </w:pPr>
      <w:r w:rsidRPr="006A599D">
        <w:rPr>
          <w:sz w:val="24"/>
          <w:szCs w:val="24"/>
        </w:rPr>
        <w:t>IEEE 802 has and continues to develop a number of standards and amendments to stan</w:t>
      </w:r>
      <w:r w:rsidR="00B07D61">
        <w:rPr>
          <w:sz w:val="24"/>
          <w:szCs w:val="24"/>
        </w:rPr>
        <w:t>dards that provide</w:t>
      </w:r>
      <w:r w:rsidRPr="006A599D">
        <w:rPr>
          <w:sz w:val="24"/>
          <w:szCs w:val="24"/>
        </w:rPr>
        <w:t xml:space="preserve"> wireless communications services in </w:t>
      </w:r>
      <w:r w:rsidR="00B07D61">
        <w:rPr>
          <w:sz w:val="24"/>
          <w:szCs w:val="24"/>
        </w:rPr>
        <w:t xml:space="preserve">the </w:t>
      </w:r>
      <w:r w:rsidR="00897C5C">
        <w:rPr>
          <w:sz w:val="24"/>
          <w:szCs w:val="24"/>
        </w:rPr>
        <w:t xml:space="preserve">TVWS. </w:t>
      </w:r>
    </w:p>
    <w:p w:rsidR="0067250E" w:rsidRPr="00C96949" w:rsidRDefault="00067169" w:rsidP="00C96949">
      <w:pPr>
        <w:numPr>
          <w:ilvl w:val="0"/>
          <w:numId w:val="1"/>
        </w:numPr>
        <w:spacing w:line="360" w:lineRule="auto"/>
        <w:rPr>
          <w:color w:val="010101"/>
          <w:sz w:val="24"/>
          <w:lang w:eastAsia="ja-JP"/>
        </w:rPr>
      </w:pPr>
      <w:r w:rsidRPr="00DA3E11">
        <w:rPr>
          <w:sz w:val="24"/>
          <w:szCs w:val="24"/>
        </w:rPr>
        <w:t xml:space="preserve">IEEE 802 respectfully submits its position endorsing </w:t>
      </w:r>
      <w:r w:rsidRPr="00BD3B66">
        <w:rPr>
          <w:b/>
          <w:i/>
          <w:sz w:val="24"/>
          <w:szCs w:val="24"/>
        </w:rPr>
        <w:t>license-exempt use of the Television band White Spaces</w:t>
      </w:r>
      <w:r w:rsidRPr="003E0626">
        <w:rPr>
          <w:sz w:val="24"/>
          <w:szCs w:val="24"/>
        </w:rPr>
        <w:t xml:space="preserve">. </w:t>
      </w:r>
      <w:r w:rsidRPr="003E0626">
        <w:rPr>
          <w:sz w:val="24"/>
        </w:rPr>
        <w:t>We believe that opening up TVWS spectrum to cognitive radio sharing techn</w:t>
      </w:r>
      <w:r w:rsidRPr="00AC7961">
        <w:rPr>
          <w:sz w:val="24"/>
        </w:rPr>
        <w:t xml:space="preserve">ology can spur innovation to address meaningful communications needs of consumers, businesses and governments. </w:t>
      </w:r>
      <w:r w:rsidR="001E3ADB" w:rsidRPr="00600B72">
        <w:rPr>
          <w:sz w:val="24"/>
        </w:rPr>
        <w:t>IEEE 802</w:t>
      </w:r>
      <w:r w:rsidR="0098277C">
        <w:rPr>
          <w:sz w:val="24"/>
        </w:rPr>
        <w:t xml:space="preserve"> </w:t>
      </w:r>
      <w:r w:rsidR="001E3ADB" w:rsidRPr="00B000C6">
        <w:rPr>
          <w:sz w:val="24"/>
        </w:rPr>
        <w:t>r</w:t>
      </w:r>
      <w:r w:rsidR="0098277C">
        <w:rPr>
          <w:sz w:val="24"/>
        </w:rPr>
        <w:t>e</w:t>
      </w:r>
      <w:r w:rsidR="001E3ADB" w:rsidRPr="00B000C6">
        <w:rPr>
          <w:sz w:val="24"/>
        </w:rPr>
        <w:t xml:space="preserve">quests that </w:t>
      </w:r>
      <w:r w:rsidR="001E3ADB" w:rsidRPr="0016443B">
        <w:rPr>
          <w:sz w:val="24"/>
        </w:rPr>
        <w:t xml:space="preserve">in any </w:t>
      </w:r>
      <w:r w:rsidR="00E82A6C" w:rsidRPr="0016443B">
        <w:rPr>
          <w:sz w:val="24"/>
        </w:rPr>
        <w:t>on-going</w:t>
      </w:r>
      <w:r w:rsidR="001E3ADB" w:rsidRPr="0016443B">
        <w:rPr>
          <w:sz w:val="24"/>
        </w:rPr>
        <w:t xml:space="preserve"> </w:t>
      </w:r>
      <w:r w:rsidR="008D20B1" w:rsidRPr="0016443B">
        <w:rPr>
          <w:sz w:val="24"/>
        </w:rPr>
        <w:t xml:space="preserve">allocations </w:t>
      </w:r>
      <w:r w:rsidR="008D20B1" w:rsidRPr="00762D1E">
        <w:rPr>
          <w:sz w:val="24"/>
        </w:rPr>
        <w:t xml:space="preserve">proceedings </w:t>
      </w:r>
      <w:r w:rsidR="008D20B1" w:rsidRPr="00A27E85">
        <w:rPr>
          <w:sz w:val="24"/>
        </w:rPr>
        <w:t xml:space="preserve">substantial </w:t>
      </w:r>
      <w:r w:rsidR="001E3ADB" w:rsidRPr="00A27E85">
        <w:rPr>
          <w:sz w:val="24"/>
        </w:rPr>
        <w:t>license-exempt devices</w:t>
      </w:r>
      <w:r w:rsidR="008D20B1" w:rsidRPr="00FA20FB">
        <w:rPr>
          <w:sz w:val="24"/>
        </w:rPr>
        <w:t xml:space="preserve"> </w:t>
      </w:r>
      <w:r w:rsidR="008D20B1" w:rsidRPr="0065339E">
        <w:rPr>
          <w:sz w:val="24"/>
        </w:rPr>
        <w:t>spectrum</w:t>
      </w:r>
      <w:r w:rsidR="001E3ADB" w:rsidRPr="0065339E">
        <w:rPr>
          <w:sz w:val="24"/>
        </w:rPr>
        <w:t xml:space="preserve"> is preserved across the full TVWS spectrum</w:t>
      </w:r>
      <w:r w:rsidR="00DA3E11">
        <w:rPr>
          <w:sz w:val="24"/>
        </w:rPr>
        <w:t>.</w:t>
      </w:r>
      <w:r w:rsidR="00C96949">
        <w:rPr>
          <w:color w:val="010101"/>
          <w:sz w:val="24"/>
          <w:lang w:eastAsia="ja-JP"/>
        </w:rPr>
        <w:t xml:space="preserve"> </w:t>
      </w:r>
      <w:r w:rsidR="0067250E" w:rsidRPr="00C96949">
        <w:rPr>
          <w:color w:val="010101"/>
          <w:sz w:val="24"/>
          <w:lang w:eastAsia="ja-JP"/>
        </w:rPr>
        <w:t>IEEE</w:t>
      </w:r>
      <w:r w:rsidR="005C78B2">
        <w:rPr>
          <w:color w:val="010101"/>
          <w:sz w:val="24"/>
          <w:lang w:eastAsia="ja-JP"/>
        </w:rPr>
        <w:t xml:space="preserve"> </w:t>
      </w:r>
      <w:r w:rsidR="0067250E" w:rsidRPr="00C96949">
        <w:rPr>
          <w:color w:val="010101"/>
          <w:sz w:val="24"/>
          <w:lang w:eastAsia="ja-JP"/>
        </w:rPr>
        <w:t>802 commends the FCC for maintaining a global leadership role in supporting unlicensed bands and enabling the evolution of such services as Wi</w:t>
      </w:r>
      <w:r w:rsidR="007C0A5A">
        <w:rPr>
          <w:color w:val="010101"/>
          <w:sz w:val="24"/>
          <w:lang w:eastAsia="ja-JP"/>
        </w:rPr>
        <w:t>-</w:t>
      </w:r>
      <w:r w:rsidR="0067250E" w:rsidRPr="00C96949">
        <w:rPr>
          <w:color w:val="010101"/>
          <w:sz w:val="24"/>
          <w:lang w:eastAsia="ja-JP"/>
        </w:rPr>
        <w:t>Fi, smart grid, RFID,</w:t>
      </w:r>
      <w:r w:rsidR="00CE5C85">
        <w:rPr>
          <w:color w:val="010101"/>
          <w:sz w:val="24"/>
          <w:lang w:eastAsia="ja-JP"/>
        </w:rPr>
        <w:t xml:space="preserve"> WRAN</w:t>
      </w:r>
      <w:r w:rsidR="0067250E" w:rsidRPr="00C96949">
        <w:rPr>
          <w:color w:val="010101"/>
          <w:sz w:val="24"/>
          <w:lang w:eastAsia="ja-JP"/>
        </w:rPr>
        <w:t xml:space="preserve"> and others. We hope the FCC will continue to play that l</w:t>
      </w:r>
      <w:r w:rsidR="0082552E">
        <w:rPr>
          <w:color w:val="010101"/>
          <w:sz w:val="24"/>
          <w:lang w:eastAsia="ja-JP"/>
        </w:rPr>
        <w:t xml:space="preserve">eadership role </w:t>
      </w:r>
      <w:r w:rsidR="0067250E" w:rsidRPr="00C96949">
        <w:rPr>
          <w:color w:val="010101"/>
          <w:sz w:val="24"/>
          <w:lang w:eastAsia="ja-JP"/>
        </w:rPr>
        <w:t>support</w:t>
      </w:r>
      <w:r w:rsidR="0082552E">
        <w:rPr>
          <w:color w:val="010101"/>
          <w:sz w:val="24"/>
          <w:lang w:eastAsia="ja-JP"/>
        </w:rPr>
        <w:t>ing</w:t>
      </w:r>
      <w:r w:rsidR="0067250E" w:rsidRPr="00C96949">
        <w:rPr>
          <w:color w:val="010101"/>
          <w:sz w:val="24"/>
          <w:lang w:eastAsia="ja-JP"/>
        </w:rPr>
        <w:t xml:space="preserve"> both new innovations and expansion of current services. IEEE802 looks forward to developing the required standards to support innovative co</w:t>
      </w:r>
      <w:r w:rsidR="00467356">
        <w:rPr>
          <w:color w:val="010101"/>
          <w:sz w:val="24"/>
          <w:lang w:eastAsia="ja-JP"/>
        </w:rPr>
        <w:t>mmunication services</w:t>
      </w:r>
      <w:r w:rsidR="0067250E" w:rsidRPr="00C96949">
        <w:rPr>
          <w:color w:val="010101"/>
          <w:sz w:val="24"/>
          <w:lang w:eastAsia="ja-JP"/>
        </w:rPr>
        <w:t>.</w:t>
      </w:r>
    </w:p>
    <w:p w:rsidR="00067169" w:rsidRDefault="00067169" w:rsidP="00067169">
      <w:pPr>
        <w:ind w:left="630" w:hanging="630"/>
      </w:pPr>
    </w:p>
    <w:p w:rsidR="00067169" w:rsidRDefault="001437D3" w:rsidP="00067169">
      <w:pPr>
        <w:ind w:left="630" w:hanging="630"/>
        <w:rPr>
          <w:sz w:val="24"/>
          <w:szCs w:val="24"/>
        </w:rPr>
      </w:pPr>
      <w:r>
        <w:rPr>
          <w:sz w:val="24"/>
          <w:szCs w:val="24"/>
        </w:rPr>
        <w:t>Respectfully submitted,</w:t>
      </w:r>
    </w:p>
    <w:p w:rsidR="001437D3" w:rsidRDefault="001437D3" w:rsidP="00067169">
      <w:pPr>
        <w:ind w:left="630" w:hanging="630"/>
        <w:rPr>
          <w:sz w:val="24"/>
          <w:szCs w:val="24"/>
        </w:rPr>
      </w:pPr>
    </w:p>
    <w:tbl>
      <w:tblPr>
        <w:tblW w:w="9198" w:type="dxa"/>
        <w:tblLook w:val="0000" w:firstRow="0" w:lastRow="0" w:firstColumn="0" w:lastColumn="0" w:noHBand="0" w:noVBand="0"/>
      </w:tblPr>
      <w:tblGrid>
        <w:gridCol w:w="4428"/>
        <w:gridCol w:w="4770"/>
      </w:tblGrid>
      <w:tr w:rsidR="00E26F26" w:rsidRPr="00E26F26" w:rsidTr="001270D4">
        <w:tc>
          <w:tcPr>
            <w:tcW w:w="4428" w:type="dxa"/>
          </w:tcPr>
          <w:p w:rsidR="00E26F26" w:rsidRPr="00E26F26" w:rsidRDefault="00E26F26" w:rsidP="00E26F26">
            <w:pPr>
              <w:rPr>
                <w:sz w:val="24"/>
                <w:szCs w:val="24"/>
              </w:rPr>
            </w:pPr>
            <w:r w:rsidRPr="00E26F26">
              <w:rPr>
                <w:sz w:val="24"/>
                <w:szCs w:val="24"/>
              </w:rPr>
              <w:t>/s/</w:t>
            </w:r>
          </w:p>
        </w:tc>
        <w:tc>
          <w:tcPr>
            <w:tcW w:w="4770" w:type="dxa"/>
          </w:tcPr>
          <w:p w:rsidR="00E26F26" w:rsidRPr="00E26F26" w:rsidRDefault="00E26F26" w:rsidP="00E26F26">
            <w:pPr>
              <w:rPr>
                <w:sz w:val="24"/>
                <w:szCs w:val="24"/>
              </w:rPr>
            </w:pPr>
            <w:r w:rsidRPr="00E26F26">
              <w:rPr>
                <w:sz w:val="24"/>
                <w:szCs w:val="24"/>
              </w:rPr>
              <w:t>/s/</w:t>
            </w:r>
          </w:p>
        </w:tc>
      </w:tr>
      <w:tr w:rsidR="00E26F26" w:rsidRPr="00E26F26" w:rsidTr="001270D4">
        <w:tc>
          <w:tcPr>
            <w:tcW w:w="4428" w:type="dxa"/>
          </w:tcPr>
          <w:p w:rsidR="00E26F26" w:rsidRPr="00E26F26" w:rsidRDefault="00E26F26" w:rsidP="00E26F26">
            <w:pPr>
              <w:rPr>
                <w:sz w:val="24"/>
                <w:szCs w:val="24"/>
              </w:rPr>
            </w:pPr>
            <w:r w:rsidRPr="00E26F26">
              <w:rPr>
                <w:sz w:val="24"/>
                <w:szCs w:val="24"/>
              </w:rPr>
              <w:t>Paul Nikolich</w:t>
            </w:r>
          </w:p>
        </w:tc>
        <w:tc>
          <w:tcPr>
            <w:tcW w:w="4770" w:type="dxa"/>
          </w:tcPr>
          <w:p w:rsidR="00E26F26" w:rsidRPr="00E26F26" w:rsidRDefault="00E26F26" w:rsidP="00E26F26">
            <w:pPr>
              <w:rPr>
                <w:sz w:val="24"/>
                <w:szCs w:val="24"/>
              </w:rPr>
            </w:pPr>
            <w:r w:rsidRPr="00E26F26">
              <w:rPr>
                <w:sz w:val="24"/>
                <w:szCs w:val="24"/>
              </w:rPr>
              <w:t>Michael J. Lynch</w:t>
            </w:r>
          </w:p>
        </w:tc>
      </w:tr>
      <w:tr w:rsidR="00E26F26" w:rsidRPr="00E26F26" w:rsidTr="001270D4">
        <w:tc>
          <w:tcPr>
            <w:tcW w:w="4428" w:type="dxa"/>
          </w:tcPr>
          <w:p w:rsidR="00E26F26" w:rsidRPr="00E26F26" w:rsidRDefault="00E26F26" w:rsidP="00E26F26">
            <w:pPr>
              <w:rPr>
                <w:sz w:val="24"/>
                <w:szCs w:val="24"/>
              </w:rPr>
            </w:pPr>
            <w:r w:rsidRPr="00E26F26">
              <w:rPr>
                <w:sz w:val="24"/>
                <w:szCs w:val="24"/>
              </w:rPr>
              <w:t>Chair, IEEE 802</w:t>
            </w:r>
          </w:p>
        </w:tc>
        <w:tc>
          <w:tcPr>
            <w:tcW w:w="4770" w:type="dxa"/>
          </w:tcPr>
          <w:p w:rsidR="00E26F26" w:rsidRPr="00E26F26" w:rsidRDefault="00E26F26" w:rsidP="00E26F26">
            <w:pPr>
              <w:rPr>
                <w:sz w:val="24"/>
                <w:szCs w:val="24"/>
              </w:rPr>
            </w:pPr>
            <w:r w:rsidRPr="00E26F26">
              <w:rPr>
                <w:sz w:val="24"/>
                <w:szCs w:val="24"/>
              </w:rPr>
              <w:t>Chair, IEEE 802.18 Radio Regulatory TAG</w:t>
            </w:r>
          </w:p>
        </w:tc>
      </w:tr>
      <w:tr w:rsidR="00E26F26" w:rsidRPr="00E26F26" w:rsidTr="001270D4">
        <w:tc>
          <w:tcPr>
            <w:tcW w:w="4428" w:type="dxa"/>
          </w:tcPr>
          <w:p w:rsidR="00E26F26" w:rsidRPr="00E26F26" w:rsidRDefault="00942BDA" w:rsidP="00942BDA">
            <w:pPr>
              <w:rPr>
                <w:sz w:val="24"/>
                <w:szCs w:val="24"/>
              </w:rPr>
            </w:pPr>
            <w:r>
              <w:rPr>
                <w:sz w:val="24"/>
                <w:szCs w:val="24"/>
              </w:rPr>
              <w:t>4</w:t>
            </w:r>
            <w:r w:rsidR="00E26F26" w:rsidRPr="00E26F26">
              <w:rPr>
                <w:sz w:val="24"/>
                <w:szCs w:val="24"/>
              </w:rPr>
              <w:t xml:space="preserve">8 </w:t>
            </w:r>
            <w:r w:rsidR="00486436">
              <w:rPr>
                <w:sz w:val="24"/>
                <w:szCs w:val="24"/>
              </w:rPr>
              <w:t>South</w:t>
            </w:r>
            <w:r>
              <w:rPr>
                <w:sz w:val="24"/>
                <w:szCs w:val="24"/>
              </w:rPr>
              <w:t xml:space="preserve"> Park St. #208</w:t>
            </w:r>
          </w:p>
        </w:tc>
        <w:tc>
          <w:tcPr>
            <w:tcW w:w="4770" w:type="dxa"/>
          </w:tcPr>
          <w:p w:rsidR="00E26F26" w:rsidRPr="00E26F26" w:rsidRDefault="00E26F26" w:rsidP="00E26F26">
            <w:pPr>
              <w:rPr>
                <w:sz w:val="24"/>
                <w:szCs w:val="24"/>
              </w:rPr>
            </w:pPr>
            <w:r w:rsidRPr="00E26F26">
              <w:rPr>
                <w:sz w:val="24"/>
                <w:szCs w:val="24"/>
              </w:rPr>
              <w:t>108 Brentwood Court</w:t>
            </w:r>
          </w:p>
        </w:tc>
      </w:tr>
      <w:tr w:rsidR="00E26F26" w:rsidRPr="00E26F26" w:rsidTr="001270D4">
        <w:tc>
          <w:tcPr>
            <w:tcW w:w="4428" w:type="dxa"/>
          </w:tcPr>
          <w:p w:rsidR="00E26F26" w:rsidRPr="00E26F26" w:rsidRDefault="00942BDA" w:rsidP="00E26F26">
            <w:pPr>
              <w:rPr>
                <w:sz w:val="24"/>
                <w:szCs w:val="24"/>
              </w:rPr>
            </w:pPr>
            <w:r>
              <w:rPr>
                <w:sz w:val="24"/>
                <w:szCs w:val="24"/>
              </w:rPr>
              <w:lastRenderedPageBreak/>
              <w:t>Montclair NJ 07042</w:t>
            </w:r>
          </w:p>
        </w:tc>
        <w:tc>
          <w:tcPr>
            <w:tcW w:w="4770" w:type="dxa"/>
          </w:tcPr>
          <w:p w:rsidR="00E26F26" w:rsidRPr="00E26F26" w:rsidRDefault="00E26F26" w:rsidP="00E26F26">
            <w:pPr>
              <w:rPr>
                <w:sz w:val="24"/>
                <w:szCs w:val="24"/>
              </w:rPr>
            </w:pPr>
            <w:r w:rsidRPr="00E26F26">
              <w:rPr>
                <w:sz w:val="24"/>
                <w:szCs w:val="24"/>
              </w:rPr>
              <w:t>Allen, TX 75013</w:t>
            </w:r>
          </w:p>
        </w:tc>
      </w:tr>
      <w:tr w:rsidR="00E26F26" w:rsidRPr="00E26F26" w:rsidTr="001270D4">
        <w:tc>
          <w:tcPr>
            <w:tcW w:w="4428" w:type="dxa"/>
          </w:tcPr>
          <w:p w:rsidR="00E26F26" w:rsidRPr="00E26F26" w:rsidRDefault="00E26F26" w:rsidP="00E26F26">
            <w:pPr>
              <w:rPr>
                <w:sz w:val="24"/>
                <w:szCs w:val="24"/>
              </w:rPr>
            </w:pPr>
            <w:r w:rsidRPr="00E26F26">
              <w:rPr>
                <w:sz w:val="24"/>
                <w:szCs w:val="24"/>
              </w:rPr>
              <w:t>(857) 205-0050</w:t>
            </w:r>
          </w:p>
        </w:tc>
        <w:tc>
          <w:tcPr>
            <w:tcW w:w="4770" w:type="dxa"/>
          </w:tcPr>
          <w:p w:rsidR="00E26F26" w:rsidRPr="00E26F26" w:rsidRDefault="00E26F26" w:rsidP="00E26F26">
            <w:pPr>
              <w:rPr>
                <w:sz w:val="24"/>
                <w:szCs w:val="24"/>
              </w:rPr>
            </w:pPr>
            <w:r w:rsidRPr="00E26F26">
              <w:rPr>
                <w:sz w:val="24"/>
                <w:szCs w:val="24"/>
              </w:rPr>
              <w:t>(972) 814-4901</w:t>
            </w:r>
          </w:p>
        </w:tc>
      </w:tr>
      <w:tr w:rsidR="00E26F26" w:rsidRPr="00E26F26" w:rsidTr="001270D4">
        <w:tc>
          <w:tcPr>
            <w:tcW w:w="4428" w:type="dxa"/>
          </w:tcPr>
          <w:p w:rsidR="00E26F26" w:rsidRPr="00E26F26" w:rsidRDefault="00E26F26" w:rsidP="00E26F26">
            <w:pPr>
              <w:rPr>
                <w:sz w:val="24"/>
                <w:szCs w:val="24"/>
              </w:rPr>
            </w:pPr>
            <w:r w:rsidRPr="00E26F26">
              <w:rPr>
                <w:sz w:val="24"/>
                <w:szCs w:val="24"/>
              </w:rPr>
              <w:t>p.nikolich@ieee.org</w:t>
            </w:r>
          </w:p>
        </w:tc>
        <w:tc>
          <w:tcPr>
            <w:tcW w:w="4770" w:type="dxa"/>
          </w:tcPr>
          <w:p w:rsidR="00E26F26" w:rsidRDefault="00715818" w:rsidP="00E26F26">
            <w:pPr>
              <w:rPr>
                <w:sz w:val="24"/>
                <w:szCs w:val="24"/>
              </w:rPr>
            </w:pPr>
            <w:hyperlink r:id="rId10" w:history="1">
              <w:r w:rsidR="00D17653" w:rsidRPr="00B822F0">
                <w:rPr>
                  <w:rStyle w:val="Hyperlink"/>
                  <w:sz w:val="24"/>
                  <w:szCs w:val="24"/>
                </w:rPr>
                <w:t>freqmgr@ieee.org</w:t>
              </w:r>
            </w:hyperlink>
          </w:p>
          <w:p w:rsidR="00D17653" w:rsidRPr="00E26F26" w:rsidRDefault="00D17653" w:rsidP="00E26F26">
            <w:pPr>
              <w:rPr>
                <w:sz w:val="24"/>
                <w:szCs w:val="24"/>
              </w:rPr>
            </w:pPr>
          </w:p>
        </w:tc>
      </w:tr>
    </w:tbl>
    <w:p w:rsidR="001437D3" w:rsidRDefault="00752AFA" w:rsidP="00CD6FA6">
      <w:pPr>
        <w:rPr>
          <w:sz w:val="24"/>
          <w:szCs w:val="24"/>
        </w:rPr>
      </w:pPr>
      <w:r>
        <w:rPr>
          <w:sz w:val="24"/>
          <w:szCs w:val="24"/>
        </w:rPr>
        <w:t>cc: Ms. Marlen</w:t>
      </w:r>
      <w:r w:rsidR="00B64C30">
        <w:rPr>
          <w:sz w:val="24"/>
          <w:szCs w:val="24"/>
        </w:rPr>
        <w:t>e S. Dortch</w:t>
      </w:r>
    </w:p>
    <w:p w:rsidR="00B64C30" w:rsidRDefault="00B64C30" w:rsidP="00CD6FA6">
      <w:pPr>
        <w:rPr>
          <w:sz w:val="24"/>
          <w:szCs w:val="24"/>
        </w:rPr>
      </w:pPr>
      <w:r>
        <w:rPr>
          <w:sz w:val="24"/>
          <w:szCs w:val="24"/>
        </w:rPr>
        <w:t xml:space="preserve">      Secretary</w:t>
      </w:r>
    </w:p>
    <w:p w:rsidR="00B64C30" w:rsidRDefault="00B64C30" w:rsidP="00CD6FA6">
      <w:pPr>
        <w:rPr>
          <w:sz w:val="24"/>
          <w:szCs w:val="24"/>
        </w:rPr>
      </w:pPr>
      <w:r>
        <w:rPr>
          <w:sz w:val="24"/>
          <w:szCs w:val="24"/>
        </w:rPr>
        <w:t xml:space="preserve">      Federal Communications Commission</w:t>
      </w:r>
    </w:p>
    <w:p w:rsidR="00B64C30" w:rsidRDefault="00B64C30" w:rsidP="00CD6FA6">
      <w:pPr>
        <w:rPr>
          <w:sz w:val="24"/>
          <w:szCs w:val="24"/>
        </w:rPr>
      </w:pPr>
      <w:r>
        <w:rPr>
          <w:sz w:val="24"/>
          <w:szCs w:val="24"/>
        </w:rPr>
        <w:t xml:space="preserve">      445 12</w:t>
      </w:r>
      <w:r w:rsidRPr="00B64C30">
        <w:rPr>
          <w:sz w:val="24"/>
          <w:szCs w:val="24"/>
          <w:vertAlign w:val="superscript"/>
        </w:rPr>
        <w:t>th</w:t>
      </w:r>
      <w:r>
        <w:rPr>
          <w:sz w:val="24"/>
          <w:szCs w:val="24"/>
        </w:rPr>
        <w:t xml:space="preserve"> Street, S.W.</w:t>
      </w:r>
    </w:p>
    <w:p w:rsidR="00B64C30" w:rsidRPr="001437D3" w:rsidRDefault="00B64C30" w:rsidP="00CD6FA6">
      <w:pPr>
        <w:rPr>
          <w:sz w:val="24"/>
          <w:szCs w:val="24"/>
        </w:rPr>
      </w:pPr>
      <w:r>
        <w:rPr>
          <w:sz w:val="24"/>
          <w:szCs w:val="24"/>
        </w:rPr>
        <w:t xml:space="preserve">      Washington, D.C. 20554</w:t>
      </w:r>
    </w:p>
    <w:sectPr w:rsidR="00B64C30" w:rsidRPr="001437D3" w:rsidSect="00067169">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818" w:rsidRDefault="00715818">
      <w:r>
        <w:separator/>
      </w:r>
    </w:p>
  </w:endnote>
  <w:endnote w:type="continuationSeparator" w:id="0">
    <w:p w:rsidR="00715818" w:rsidRDefault="0071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69" w:rsidRDefault="00067169">
    <w:pPr>
      <w:pStyle w:val="Footer"/>
      <w:tabs>
        <w:tab w:val="clear" w:pos="6480"/>
        <w:tab w:val="center" w:pos="4680"/>
        <w:tab w:val="right" w:pos="9360"/>
      </w:tabs>
    </w:pPr>
    <w:r>
      <w:tab/>
    </w:r>
    <w:r w:rsidR="00E82A6C">
      <w:t>Page</w:t>
    </w:r>
    <w:r>
      <w:t xml:space="preserve"> </w:t>
    </w:r>
    <w:r w:rsidR="00602425">
      <w:fldChar w:fldCharType="begin"/>
    </w:r>
    <w:r w:rsidR="00602425">
      <w:instrText xml:space="preserve">page </w:instrText>
    </w:r>
    <w:r w:rsidR="00602425">
      <w:fldChar w:fldCharType="separate"/>
    </w:r>
    <w:r w:rsidR="00CD0A93">
      <w:rPr>
        <w:noProof/>
      </w:rPr>
      <w:t>1</w:t>
    </w:r>
    <w:r w:rsidR="00602425">
      <w:rPr>
        <w:noProof/>
      </w:rPr>
      <w:fldChar w:fldCharType="end"/>
    </w:r>
  </w:p>
  <w:p w:rsidR="00067169" w:rsidRDefault="000671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818" w:rsidRDefault="00715818">
      <w:r>
        <w:separator/>
      </w:r>
    </w:p>
  </w:footnote>
  <w:footnote w:type="continuationSeparator" w:id="0">
    <w:p w:rsidR="00715818" w:rsidRDefault="00715818">
      <w:r>
        <w:continuationSeparator/>
      </w:r>
    </w:p>
  </w:footnote>
  <w:footnote w:id="1">
    <w:p w:rsidR="00875CBF" w:rsidRPr="00875CBF" w:rsidRDefault="00875CBF" w:rsidP="00875CBF">
      <w:pPr>
        <w:pStyle w:val="FootnoteText"/>
        <w:ind w:left="180" w:hanging="180"/>
      </w:pPr>
      <w:r>
        <w:rPr>
          <w:rStyle w:val="FootnoteReference"/>
        </w:rPr>
        <w:footnoteRef/>
      </w:r>
      <w:r>
        <w:t xml:space="preserve"> </w:t>
      </w:r>
      <w:r>
        <w:tab/>
        <w:t>The IEEE Local and Metropolitan Area Networks Standards Committee (“IEEE 802” or the “LMSC”), www.ieee802.org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D91" w:rsidRDefault="00715818">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7D27"/>
    <w:multiLevelType w:val="hybridMultilevel"/>
    <w:tmpl w:val="72720106"/>
    <w:lvl w:ilvl="0" w:tplc="AA24BCDA">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BC83337"/>
    <w:multiLevelType w:val="hybridMultilevel"/>
    <w:tmpl w:val="13C6EBC6"/>
    <w:lvl w:ilvl="0" w:tplc="AA24BCDA">
      <w:start w:val="1"/>
      <w:numFmt w:val="decimal"/>
      <w:lvlText w:val="%1."/>
      <w:lvlJc w:val="left"/>
      <w:pPr>
        <w:tabs>
          <w:tab w:val="num" w:pos="450"/>
        </w:tabs>
        <w:ind w:left="450" w:hanging="360"/>
      </w:pPr>
      <w:rPr>
        <w:rFonts w:hint="default"/>
        <w:b w:val="0"/>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nsid w:val="4E5F472F"/>
    <w:multiLevelType w:val="hybridMultilevel"/>
    <w:tmpl w:val="53568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allowincell="f"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D03"/>
    <w:rsid w:val="000217AA"/>
    <w:rsid w:val="00026FD4"/>
    <w:rsid w:val="00067169"/>
    <w:rsid w:val="000B222F"/>
    <w:rsid w:val="000C7C9C"/>
    <w:rsid w:val="000F0287"/>
    <w:rsid w:val="000F6735"/>
    <w:rsid w:val="00103B56"/>
    <w:rsid w:val="00106775"/>
    <w:rsid w:val="00113CB9"/>
    <w:rsid w:val="00125F01"/>
    <w:rsid w:val="001270D4"/>
    <w:rsid w:val="001305DA"/>
    <w:rsid w:val="0013360E"/>
    <w:rsid w:val="001352F8"/>
    <w:rsid w:val="00136A99"/>
    <w:rsid w:val="001437D3"/>
    <w:rsid w:val="00147D88"/>
    <w:rsid w:val="00150075"/>
    <w:rsid w:val="00157D03"/>
    <w:rsid w:val="0016443B"/>
    <w:rsid w:val="00165E0A"/>
    <w:rsid w:val="0017313F"/>
    <w:rsid w:val="0018623A"/>
    <w:rsid w:val="00195131"/>
    <w:rsid w:val="001B0F78"/>
    <w:rsid w:val="001D0F26"/>
    <w:rsid w:val="001E1A34"/>
    <w:rsid w:val="001E3ADB"/>
    <w:rsid w:val="00237584"/>
    <w:rsid w:val="00246FC0"/>
    <w:rsid w:val="00251A48"/>
    <w:rsid w:val="002567DE"/>
    <w:rsid w:val="00297A7D"/>
    <w:rsid w:val="00334B0A"/>
    <w:rsid w:val="00336604"/>
    <w:rsid w:val="00357779"/>
    <w:rsid w:val="00363DA7"/>
    <w:rsid w:val="00394934"/>
    <w:rsid w:val="003A4955"/>
    <w:rsid w:val="003B5E70"/>
    <w:rsid w:val="003C4DAD"/>
    <w:rsid w:val="003E0626"/>
    <w:rsid w:val="00404FE9"/>
    <w:rsid w:val="004174A3"/>
    <w:rsid w:val="00435C22"/>
    <w:rsid w:val="00467356"/>
    <w:rsid w:val="00467639"/>
    <w:rsid w:val="00473BF3"/>
    <w:rsid w:val="00485B04"/>
    <w:rsid w:val="00486436"/>
    <w:rsid w:val="004A1C82"/>
    <w:rsid w:val="004B1446"/>
    <w:rsid w:val="004B7DF5"/>
    <w:rsid w:val="004C3A70"/>
    <w:rsid w:val="004D767E"/>
    <w:rsid w:val="004E2454"/>
    <w:rsid w:val="004F61BC"/>
    <w:rsid w:val="00514F4B"/>
    <w:rsid w:val="00586447"/>
    <w:rsid w:val="00591F76"/>
    <w:rsid w:val="00593EDB"/>
    <w:rsid w:val="00596577"/>
    <w:rsid w:val="00597117"/>
    <w:rsid w:val="005B34B8"/>
    <w:rsid w:val="005C011F"/>
    <w:rsid w:val="005C78B2"/>
    <w:rsid w:val="005D0D3D"/>
    <w:rsid w:val="005F1FC6"/>
    <w:rsid w:val="005F6877"/>
    <w:rsid w:val="00600B72"/>
    <w:rsid w:val="00602425"/>
    <w:rsid w:val="00612F8F"/>
    <w:rsid w:val="00614B52"/>
    <w:rsid w:val="0061629D"/>
    <w:rsid w:val="00617238"/>
    <w:rsid w:val="00623676"/>
    <w:rsid w:val="00640FD6"/>
    <w:rsid w:val="0065339E"/>
    <w:rsid w:val="00654AEF"/>
    <w:rsid w:val="00663A92"/>
    <w:rsid w:val="006668AE"/>
    <w:rsid w:val="00670EF1"/>
    <w:rsid w:val="006723FE"/>
    <w:rsid w:val="0067250E"/>
    <w:rsid w:val="0068030A"/>
    <w:rsid w:val="00690F64"/>
    <w:rsid w:val="006C23B0"/>
    <w:rsid w:val="006C6143"/>
    <w:rsid w:val="006D0695"/>
    <w:rsid w:val="006D09CB"/>
    <w:rsid w:val="006D6213"/>
    <w:rsid w:val="006F3D32"/>
    <w:rsid w:val="00711C19"/>
    <w:rsid w:val="00715818"/>
    <w:rsid w:val="00715F85"/>
    <w:rsid w:val="0071774B"/>
    <w:rsid w:val="00720124"/>
    <w:rsid w:val="007206E8"/>
    <w:rsid w:val="00722A75"/>
    <w:rsid w:val="00752AFA"/>
    <w:rsid w:val="00754EAB"/>
    <w:rsid w:val="00762D1E"/>
    <w:rsid w:val="0076584D"/>
    <w:rsid w:val="00783EBE"/>
    <w:rsid w:val="007C0A5A"/>
    <w:rsid w:val="007C4ACF"/>
    <w:rsid w:val="007D6F0C"/>
    <w:rsid w:val="0082552E"/>
    <w:rsid w:val="00836EA7"/>
    <w:rsid w:val="00857F86"/>
    <w:rsid w:val="0087046A"/>
    <w:rsid w:val="00875CBF"/>
    <w:rsid w:val="00881E08"/>
    <w:rsid w:val="00882823"/>
    <w:rsid w:val="00897C5C"/>
    <w:rsid w:val="008D20B1"/>
    <w:rsid w:val="008D4363"/>
    <w:rsid w:val="008F634F"/>
    <w:rsid w:val="009016DE"/>
    <w:rsid w:val="00901A22"/>
    <w:rsid w:val="0091590A"/>
    <w:rsid w:val="00916972"/>
    <w:rsid w:val="00942BDA"/>
    <w:rsid w:val="00951C03"/>
    <w:rsid w:val="00972147"/>
    <w:rsid w:val="009754BF"/>
    <w:rsid w:val="00981307"/>
    <w:rsid w:val="0098277C"/>
    <w:rsid w:val="00985A15"/>
    <w:rsid w:val="00990739"/>
    <w:rsid w:val="00990C84"/>
    <w:rsid w:val="009973D4"/>
    <w:rsid w:val="009B6CCD"/>
    <w:rsid w:val="00A01D84"/>
    <w:rsid w:val="00A02C23"/>
    <w:rsid w:val="00A27E85"/>
    <w:rsid w:val="00A42608"/>
    <w:rsid w:val="00A95071"/>
    <w:rsid w:val="00AA1FD6"/>
    <w:rsid w:val="00AC6893"/>
    <w:rsid w:val="00AC7961"/>
    <w:rsid w:val="00AD6B68"/>
    <w:rsid w:val="00AE4BC1"/>
    <w:rsid w:val="00AE53A9"/>
    <w:rsid w:val="00AF6D91"/>
    <w:rsid w:val="00AF7716"/>
    <w:rsid w:val="00B000C6"/>
    <w:rsid w:val="00B07D61"/>
    <w:rsid w:val="00B32440"/>
    <w:rsid w:val="00B43FF2"/>
    <w:rsid w:val="00B63C9A"/>
    <w:rsid w:val="00B64C30"/>
    <w:rsid w:val="00B64CFB"/>
    <w:rsid w:val="00B668AE"/>
    <w:rsid w:val="00B710EB"/>
    <w:rsid w:val="00B75595"/>
    <w:rsid w:val="00BB7831"/>
    <w:rsid w:val="00BC0B4E"/>
    <w:rsid w:val="00BC0EF7"/>
    <w:rsid w:val="00BD3B66"/>
    <w:rsid w:val="00BE0D74"/>
    <w:rsid w:val="00BF5271"/>
    <w:rsid w:val="00C11F9E"/>
    <w:rsid w:val="00C2793B"/>
    <w:rsid w:val="00C43F71"/>
    <w:rsid w:val="00C558D6"/>
    <w:rsid w:val="00C57BC6"/>
    <w:rsid w:val="00C63AFF"/>
    <w:rsid w:val="00C874A0"/>
    <w:rsid w:val="00C96949"/>
    <w:rsid w:val="00CB0C75"/>
    <w:rsid w:val="00CB219A"/>
    <w:rsid w:val="00CB6703"/>
    <w:rsid w:val="00CD0A93"/>
    <w:rsid w:val="00CD6FA6"/>
    <w:rsid w:val="00CE5C85"/>
    <w:rsid w:val="00CF2EE7"/>
    <w:rsid w:val="00D0580C"/>
    <w:rsid w:val="00D17653"/>
    <w:rsid w:val="00D20183"/>
    <w:rsid w:val="00D25456"/>
    <w:rsid w:val="00D269C9"/>
    <w:rsid w:val="00D462BA"/>
    <w:rsid w:val="00D54B44"/>
    <w:rsid w:val="00DA3E11"/>
    <w:rsid w:val="00DC12AA"/>
    <w:rsid w:val="00DD19B1"/>
    <w:rsid w:val="00DE3750"/>
    <w:rsid w:val="00DF5C78"/>
    <w:rsid w:val="00E159CE"/>
    <w:rsid w:val="00E26F26"/>
    <w:rsid w:val="00E30CAA"/>
    <w:rsid w:val="00E3407F"/>
    <w:rsid w:val="00E54273"/>
    <w:rsid w:val="00E62DA7"/>
    <w:rsid w:val="00E768AE"/>
    <w:rsid w:val="00E82A6C"/>
    <w:rsid w:val="00EB167D"/>
    <w:rsid w:val="00EC6436"/>
    <w:rsid w:val="00F42192"/>
    <w:rsid w:val="00F4463E"/>
    <w:rsid w:val="00F6251F"/>
    <w:rsid w:val="00F82EE5"/>
    <w:rsid w:val="00F9526D"/>
    <w:rsid w:val="00F96FF7"/>
    <w:rsid w:val="00FA20FB"/>
    <w:rsid w:val="00FA4351"/>
    <w:rsid w:val="00FA6A44"/>
    <w:rsid w:val="00FC0130"/>
    <w:rsid w:val="00FC32F5"/>
    <w:rsid w:val="00FC63FD"/>
    <w:rsid w:val="00FD4891"/>
    <w:rsid w:val="00FE41B8"/>
    <w:rsid w:val="00FE4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llowedHyperlink">
    <w:name w:val="FollowedHyperlink"/>
    <w:rsid w:val="006C7574"/>
    <w:rPr>
      <w:color w:val="800080"/>
      <w:u w:val="single"/>
    </w:rPr>
  </w:style>
  <w:style w:type="paragraph" w:styleId="BalloonText">
    <w:name w:val="Balloon Text"/>
    <w:basedOn w:val="Normal"/>
    <w:semiHidden/>
    <w:rsid w:val="00E615BB"/>
    <w:rPr>
      <w:rFonts w:ascii="Tahoma" w:hAnsi="Tahoma" w:cs="Tahoma"/>
      <w:sz w:val="16"/>
      <w:szCs w:val="16"/>
    </w:rPr>
  </w:style>
  <w:style w:type="character" w:styleId="FootnoteReference">
    <w:name w:val="footnote reference"/>
    <w:aliases w:val="Appel note de bas de p"/>
    <w:semiHidden/>
    <w:rsid w:val="00217598"/>
    <w:rPr>
      <w:position w:val="6"/>
      <w:sz w:val="20"/>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2"/>
    <w:uiPriority w:val="99"/>
    <w:rsid w:val="00217598"/>
    <w:rPr>
      <w:sz w:val="20"/>
    </w:rPr>
  </w:style>
  <w:style w:type="character" w:customStyle="1" w:styleId="FootnoteTextChar">
    <w:name w:val="Footnote Text Char"/>
    <w:uiPriority w:val="99"/>
    <w:semiHidden/>
    <w:rsid w:val="00217598"/>
    <w:rPr>
      <w:lang w:val="en-GB"/>
    </w:rPr>
  </w:style>
  <w:style w:type="character" w:customStyle="1" w:styleId="FootnoteTextChar2">
    <w:name w:val="Footnote Text Char2"/>
    <w:aliases w:val="Footnote Text Char1 Char2 Char,Footnote Text Char Char2 Char Char,Footnote Text Char1 Char2 Char Char Char,Footnote Text Char Char2 Char Char Char Char,Footnote Text Char1 Char2 Char Char Char Char Char,footnote text Char"/>
    <w:link w:val="FootnoteText"/>
    <w:uiPriority w:val="99"/>
    <w:locked/>
    <w:rsid w:val="00217598"/>
    <w:rPr>
      <w:color w:val="000000"/>
    </w:rPr>
  </w:style>
  <w:style w:type="paragraph" w:customStyle="1" w:styleId="RecipientName">
    <w:name w:val="RecipientName"/>
    <w:basedOn w:val="Normal"/>
    <w:next w:val="Normal"/>
    <w:rsid w:val="00DC12AA"/>
    <w:rPr>
      <w:rFonts w:ascii="Book Antiqua" w:hAnsi="Book Antiqua"/>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llowedHyperlink">
    <w:name w:val="FollowedHyperlink"/>
    <w:rsid w:val="006C7574"/>
    <w:rPr>
      <w:color w:val="800080"/>
      <w:u w:val="single"/>
    </w:rPr>
  </w:style>
  <w:style w:type="paragraph" w:styleId="BalloonText">
    <w:name w:val="Balloon Text"/>
    <w:basedOn w:val="Normal"/>
    <w:semiHidden/>
    <w:rsid w:val="00E615BB"/>
    <w:rPr>
      <w:rFonts w:ascii="Tahoma" w:hAnsi="Tahoma" w:cs="Tahoma"/>
      <w:sz w:val="16"/>
      <w:szCs w:val="16"/>
    </w:rPr>
  </w:style>
  <w:style w:type="character" w:styleId="FootnoteReference">
    <w:name w:val="footnote reference"/>
    <w:aliases w:val="Appel note de bas de p"/>
    <w:semiHidden/>
    <w:rsid w:val="00217598"/>
    <w:rPr>
      <w:position w:val="6"/>
      <w:sz w:val="20"/>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2"/>
    <w:uiPriority w:val="99"/>
    <w:rsid w:val="00217598"/>
    <w:rPr>
      <w:sz w:val="20"/>
    </w:rPr>
  </w:style>
  <w:style w:type="character" w:customStyle="1" w:styleId="FootnoteTextChar">
    <w:name w:val="Footnote Text Char"/>
    <w:uiPriority w:val="99"/>
    <w:semiHidden/>
    <w:rsid w:val="00217598"/>
    <w:rPr>
      <w:lang w:val="en-GB"/>
    </w:rPr>
  </w:style>
  <w:style w:type="character" w:customStyle="1" w:styleId="FootnoteTextChar2">
    <w:name w:val="Footnote Text Char2"/>
    <w:aliases w:val="Footnote Text Char1 Char2 Char,Footnote Text Char Char2 Char Char,Footnote Text Char1 Char2 Char Char Char,Footnote Text Char Char2 Char Char Char Char,Footnote Text Char1 Char2 Char Char Char Char Char,footnote text Char"/>
    <w:link w:val="FootnoteText"/>
    <w:uiPriority w:val="99"/>
    <w:locked/>
    <w:rsid w:val="00217598"/>
    <w:rPr>
      <w:color w:val="000000"/>
    </w:rPr>
  </w:style>
  <w:style w:type="paragraph" w:customStyle="1" w:styleId="RecipientName">
    <w:name w:val="RecipientName"/>
    <w:basedOn w:val="Normal"/>
    <w:next w:val="Normal"/>
    <w:rsid w:val="00DC12AA"/>
    <w:rPr>
      <w:rFonts w:ascii="Book Antiqua" w:hAnsi="Book Antiqua"/>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4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freqmgr@ieee.org" TargetMode="External"/><Relationship Id="rId4" Type="http://schemas.microsoft.com/office/2007/relationships/stylesWithEffects" Target="stylesWithEffects.xml"/><Relationship Id="rId9" Type="http://schemas.openxmlformats.org/officeDocument/2006/relationships/hyperlink" Target="http://ieee802.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nstonc\My%20Documents\Work\802\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31F71-3FCB-416C-8D66-B1C5BD4D1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1</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Letter to Julius Knapp</vt:lpstr>
    </vt:vector>
  </TitlesOfParts>
  <Manager>Michael Lynch</Manager>
  <Company>MJ Lynch &amp; Associates LLC</Company>
  <LinksUpToDate>false</LinksUpToDate>
  <CharactersWithSpaces>5322</CharactersWithSpaces>
  <SharedDoc>false</SharedDoc>
  <HLinks>
    <vt:vector size="6" baseType="variant">
      <vt:variant>
        <vt:i4>3014657</vt:i4>
      </vt:variant>
      <vt:variant>
        <vt:i4>0</vt:i4>
      </vt:variant>
      <vt:variant>
        <vt:i4>0</vt:i4>
      </vt:variant>
      <vt:variant>
        <vt:i4>5</vt:i4>
      </vt:variant>
      <vt:variant>
        <vt:lpwstr>mailto:freqmgr@ieee.org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Julius Knapp</dc:title>
  <dc:subject>IEEE 802 LMSC COMMENTS</dc:subject>
  <dc:creator>Michael Lynch</dc:creator>
  <cp:keywords>April 2012</cp:keywords>
  <cp:lastModifiedBy>MJ Lynch</cp:lastModifiedBy>
  <cp:revision>3</cp:revision>
  <cp:lastPrinted>2012-04-28T16:01:00Z</cp:lastPrinted>
  <dcterms:created xsi:type="dcterms:W3CDTF">2012-05-08T19:49:00Z</dcterms:created>
  <dcterms:modified xsi:type="dcterms:W3CDTF">2012-05-08T19:51:00Z</dcterms:modified>
</cp:coreProperties>
</file>