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emf" ContentType="image/x-emf"/>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E8A" w:rsidRDefault="00C16E8A" w:rsidP="00C16E8A">
      <w:pPr>
        <w:jc w:val="right"/>
        <w:rPr>
          <w:b/>
        </w:rPr>
      </w:pPr>
    </w:p>
    <w:p w:rsidR="00C16E8A" w:rsidRDefault="00C16E8A" w:rsidP="00C16E8A">
      <w:pPr>
        <w:jc w:val="right"/>
        <w:rPr>
          <w:b/>
        </w:rPr>
      </w:pPr>
    </w:p>
    <w:p w:rsidR="00C16E8A" w:rsidRDefault="00452966" w:rsidP="00452966">
      <w:pPr>
        <w:ind w:left="5400"/>
        <w:rPr>
          <w:b/>
        </w:rPr>
      </w:pPr>
      <w:r>
        <w:rPr>
          <w:b/>
        </w:rPr>
        <w:t xml:space="preserve">  </w:t>
      </w:r>
      <w:r w:rsidR="00C16E8A" w:rsidRPr="00F850C8">
        <w:rPr>
          <w:b/>
        </w:rPr>
        <w:t xml:space="preserve">Document </w:t>
      </w:r>
      <w:r w:rsidR="00C16E8A">
        <w:rPr>
          <w:b/>
        </w:rPr>
        <w:t>IEEE-SA</w:t>
      </w:r>
      <w:r>
        <w:rPr>
          <w:b/>
        </w:rPr>
        <w:t xml:space="preserve"> </w:t>
      </w:r>
      <w:r w:rsidR="00C16E8A">
        <w:rPr>
          <w:b/>
        </w:rPr>
        <w:t>WP1B/xx</w:t>
      </w:r>
    </w:p>
    <w:p w:rsidR="00C16E8A" w:rsidRDefault="00C16E8A" w:rsidP="00452966">
      <w:pPr>
        <w:ind w:left="5400"/>
        <w:jc w:val="right"/>
        <w:rPr>
          <w:b/>
        </w:rPr>
      </w:pPr>
      <w:r>
        <w:rPr>
          <w:b/>
        </w:rPr>
        <w:t>IEEE-SA WP5A/xy</w:t>
      </w:r>
    </w:p>
    <w:p w:rsidR="00C16E8A" w:rsidRPr="00F850C8" w:rsidRDefault="00C16E8A" w:rsidP="00452966">
      <w:pPr>
        <w:ind w:left="5400"/>
        <w:jc w:val="right"/>
        <w:rPr>
          <w:b/>
        </w:rPr>
      </w:pPr>
      <w:r>
        <w:rPr>
          <w:b/>
        </w:rPr>
        <w:t>IEEE-SA WP6A/yy</w:t>
      </w:r>
    </w:p>
    <w:p w:rsidR="00C16E8A" w:rsidRPr="00F850C8" w:rsidRDefault="00C16E8A" w:rsidP="00452966">
      <w:pPr>
        <w:ind w:left="5400"/>
        <w:jc w:val="right"/>
        <w:rPr>
          <w:b/>
        </w:rPr>
      </w:pPr>
      <w:r>
        <w:rPr>
          <w:b/>
        </w:rPr>
        <w:t>11 May</w:t>
      </w:r>
      <w:r w:rsidRPr="00F850C8">
        <w:rPr>
          <w:b/>
        </w:rPr>
        <w:t xml:space="preserve"> 2011</w:t>
      </w:r>
    </w:p>
    <w:p w:rsidR="00C16E8A" w:rsidRPr="00F850C8" w:rsidRDefault="00C16E8A" w:rsidP="00452966">
      <w:pPr>
        <w:ind w:left="5400"/>
        <w:jc w:val="right"/>
        <w:rPr>
          <w:b/>
        </w:rPr>
      </w:pPr>
      <w:r>
        <w:rPr>
          <w:b/>
        </w:rPr>
        <w:t>English o</w:t>
      </w:r>
      <w:r w:rsidRPr="00F850C8">
        <w:rPr>
          <w:b/>
        </w:rPr>
        <w:t>nly</w:t>
      </w:r>
    </w:p>
    <w:p w:rsidR="00C16E8A" w:rsidRDefault="00C16E8A" w:rsidP="00C16E8A">
      <w:pPr>
        <w:jc w:val="right"/>
      </w:pPr>
    </w:p>
    <w:p w:rsidR="00C16E8A" w:rsidRPr="008A6493" w:rsidRDefault="00C16E8A" w:rsidP="00C16E8A">
      <w:pPr>
        <w:jc w:val="right"/>
        <w:rPr>
          <w:sz w:val="28"/>
          <w:szCs w:val="28"/>
        </w:rPr>
      </w:pPr>
    </w:p>
    <w:p w:rsidR="009116AD" w:rsidRDefault="009116AD" w:rsidP="002E3E5A">
      <w:pPr>
        <w:jc w:val="center"/>
        <w:rPr>
          <w:b/>
          <w:sz w:val="28"/>
          <w:szCs w:val="28"/>
        </w:rPr>
      </w:pPr>
      <w:r>
        <w:rPr>
          <w:b/>
          <w:sz w:val="28"/>
          <w:szCs w:val="28"/>
        </w:rPr>
        <w:t>Institute of Electrical and Electronics Engineers</w:t>
      </w:r>
    </w:p>
    <w:p w:rsidR="009116AD" w:rsidRDefault="009116AD" w:rsidP="002E3E5A">
      <w:pPr>
        <w:jc w:val="center"/>
        <w:rPr>
          <w:b/>
          <w:sz w:val="28"/>
          <w:szCs w:val="28"/>
        </w:rPr>
      </w:pPr>
    </w:p>
    <w:p w:rsidR="002E3E5A" w:rsidRDefault="002E3E5A" w:rsidP="002E3E5A">
      <w:pPr>
        <w:jc w:val="center"/>
        <w:rPr>
          <w:b/>
          <w:sz w:val="28"/>
          <w:szCs w:val="28"/>
        </w:rPr>
      </w:pPr>
      <w:r>
        <w:rPr>
          <w:b/>
          <w:sz w:val="28"/>
          <w:szCs w:val="28"/>
        </w:rPr>
        <w:t>Wireless</w:t>
      </w:r>
      <w:r w:rsidR="00C16E8A" w:rsidRPr="008A6493">
        <w:rPr>
          <w:b/>
          <w:sz w:val="28"/>
          <w:szCs w:val="28"/>
        </w:rPr>
        <w:t xml:space="preserve"> telecommunication standards </w:t>
      </w:r>
      <w:r>
        <w:rPr>
          <w:b/>
          <w:sz w:val="28"/>
          <w:szCs w:val="28"/>
        </w:rPr>
        <w:t>under development by</w:t>
      </w:r>
      <w:r w:rsidR="00C16E8A" w:rsidRPr="008A6493">
        <w:rPr>
          <w:b/>
          <w:sz w:val="28"/>
          <w:szCs w:val="28"/>
        </w:rPr>
        <w:t xml:space="preserve"> IEEE</w:t>
      </w:r>
      <w:r w:rsidR="00C16E8A">
        <w:rPr>
          <w:b/>
          <w:sz w:val="28"/>
          <w:szCs w:val="28"/>
        </w:rPr>
        <w:t xml:space="preserve"> 802 </w:t>
      </w:r>
      <w:r w:rsidR="00C16E8A" w:rsidRPr="008A6493">
        <w:rPr>
          <w:b/>
          <w:sz w:val="28"/>
          <w:szCs w:val="28"/>
        </w:rPr>
        <w:t xml:space="preserve">containing cognitive radio capabilities for operation in the </w:t>
      </w:r>
    </w:p>
    <w:p w:rsidR="00C16E8A" w:rsidRPr="008A6493" w:rsidRDefault="00C16E8A" w:rsidP="002E3E5A">
      <w:pPr>
        <w:jc w:val="center"/>
        <w:rPr>
          <w:b/>
          <w:sz w:val="28"/>
          <w:szCs w:val="28"/>
        </w:rPr>
      </w:pPr>
      <w:r w:rsidRPr="008A6493">
        <w:rPr>
          <w:b/>
          <w:sz w:val="28"/>
          <w:szCs w:val="28"/>
        </w:rPr>
        <w:t>TV White Space</w:t>
      </w:r>
    </w:p>
    <w:p w:rsidR="00C16E8A" w:rsidRDefault="00C16E8A" w:rsidP="00C16E8A">
      <w:pPr>
        <w:jc w:val="center"/>
        <w:rPr>
          <w:b/>
          <w:u w:val="single"/>
        </w:rPr>
      </w:pPr>
    </w:p>
    <w:p w:rsidR="00C16E8A" w:rsidRPr="006F11A1" w:rsidRDefault="00C16E8A" w:rsidP="00C16E8A">
      <w:pPr>
        <w:jc w:val="center"/>
        <w:rPr>
          <w:b/>
          <w:u w:val="single"/>
        </w:rPr>
      </w:pPr>
    </w:p>
    <w:p w:rsidR="00C16E8A" w:rsidRPr="00F3760C" w:rsidRDefault="00C16E8A" w:rsidP="00C16E8A">
      <w:pPr>
        <w:pStyle w:val="ListParagraph"/>
        <w:numPr>
          <w:ilvl w:val="0"/>
          <w:numId w:val="1"/>
          <w:numberingChange w:id="0" w:author="John H Notor" w:date="2011-05-12T11:29:00Z" w:original="%1:1:0:."/>
        </w:numPr>
        <w:rPr>
          <w:b/>
          <w:sz w:val="28"/>
          <w:szCs w:val="28"/>
        </w:rPr>
      </w:pPr>
      <w:r w:rsidRPr="00F3760C">
        <w:rPr>
          <w:b/>
          <w:sz w:val="28"/>
          <w:szCs w:val="28"/>
        </w:rPr>
        <w:t>Introduction</w:t>
      </w:r>
    </w:p>
    <w:p w:rsidR="00C16E8A" w:rsidRDefault="00C16E8A" w:rsidP="00C16E8A"/>
    <w:p w:rsidR="006632B2" w:rsidRDefault="00C16E8A" w:rsidP="00C16E8A">
      <w:pPr>
        <w:ind w:firstLine="720"/>
      </w:pPr>
      <w:r>
        <w:t xml:space="preserve">This document describes the </w:t>
      </w:r>
      <w:r w:rsidR="006632B2">
        <w:t xml:space="preserve">activities </w:t>
      </w:r>
      <w:r>
        <w:t>of various Working Groups</w:t>
      </w:r>
      <w:r w:rsidR="00593E24">
        <w:t xml:space="preserve"> (WG)</w:t>
      </w:r>
      <w:r>
        <w:t xml:space="preserve">, under IEEE 802, that are developing standards aimed at operating in an opportunistic manner in the TV White Space.  </w:t>
      </w:r>
    </w:p>
    <w:p w:rsidR="006632B2" w:rsidRDefault="006632B2" w:rsidP="00C16E8A">
      <w:pPr>
        <w:ind w:firstLine="720"/>
      </w:pPr>
    </w:p>
    <w:p w:rsidR="006632B2" w:rsidRDefault="006632B2" w:rsidP="00C16E8A">
      <w:pPr>
        <w:ind w:firstLine="720"/>
      </w:pPr>
      <w:r>
        <w:t xml:space="preserve">For the purposes of this document, the term TV White Space (TVWS) refers to unoccupied TV channels available under a suitable regulatory regime </w:t>
      </w:r>
      <w:r w:rsidR="00125611">
        <w:t>used for services</w:t>
      </w:r>
      <w:r>
        <w:t xml:space="preserve"> other than TV broadcast or related services.</w:t>
      </w:r>
      <w:r w:rsidR="003B307E">
        <w:t xml:space="preserve"> In addition, the term TV Band Device (TVBD) is used to mean a device operating under rules established for TVWS spectrum.</w:t>
      </w:r>
    </w:p>
    <w:p w:rsidR="006632B2" w:rsidRDefault="006632B2" w:rsidP="00C16E8A">
      <w:pPr>
        <w:ind w:firstLine="720"/>
      </w:pPr>
    </w:p>
    <w:p w:rsidR="00C16E8A" w:rsidRDefault="006632B2" w:rsidP="00C16E8A">
      <w:pPr>
        <w:ind w:firstLine="720"/>
      </w:pPr>
      <w:r>
        <w:t>A</w:t>
      </w:r>
      <w:r w:rsidR="00C16E8A">
        <w:t xml:space="preserve"> number of cognitive radio techniques are included </w:t>
      </w:r>
      <w:r>
        <w:t xml:space="preserve">in these standards </w:t>
      </w:r>
      <w:r w:rsidR="00C16E8A">
        <w:t xml:space="preserve">to </w:t>
      </w:r>
      <w:r>
        <w:t xml:space="preserve">enable </w:t>
      </w:r>
      <w:r w:rsidR="00C16E8A">
        <w:t xml:space="preserve">operation </w:t>
      </w:r>
      <w:r>
        <w:t>in compliance with the</w:t>
      </w:r>
      <w:r w:rsidR="00C16E8A">
        <w:t xml:space="preserve"> various regulatory rules that have been or will be established by different Administrations </w:t>
      </w:r>
      <w:r w:rsidR="00CF02B9">
        <w:t xml:space="preserve">for </w:t>
      </w:r>
      <w:r w:rsidR="00F97EC6">
        <w:t xml:space="preserve">their respective unoccupied </w:t>
      </w:r>
      <w:r w:rsidR="00CF02B9">
        <w:t xml:space="preserve">TV </w:t>
      </w:r>
      <w:r w:rsidR="00F97EC6">
        <w:t>spectrum</w:t>
      </w:r>
      <w:r w:rsidR="00C16E8A">
        <w:t>.</w:t>
      </w:r>
    </w:p>
    <w:p w:rsidR="00EC55D8" w:rsidRDefault="00EC55D8" w:rsidP="00C16E8A">
      <w:pPr>
        <w:ind w:firstLine="720"/>
      </w:pPr>
    </w:p>
    <w:p w:rsidR="00C16E8A" w:rsidRDefault="00C16E8A" w:rsidP="00C16E8A"/>
    <w:p w:rsidR="00C16E8A" w:rsidRDefault="00707B9A" w:rsidP="00C16E8A">
      <w:pPr>
        <w:pStyle w:val="ListParagraph"/>
        <w:numPr>
          <w:ilvl w:val="0"/>
          <w:numId w:val="1"/>
          <w:numberingChange w:id="1" w:author="John H Notor" w:date="2011-05-12T11:29:00Z" w:original="%1:2:0:."/>
        </w:numPr>
        <w:rPr>
          <w:b/>
          <w:sz w:val="28"/>
          <w:szCs w:val="28"/>
        </w:rPr>
      </w:pPr>
      <w:r>
        <w:rPr>
          <w:b/>
          <w:sz w:val="28"/>
          <w:szCs w:val="28"/>
        </w:rPr>
        <w:t>IEEE P</w:t>
      </w:r>
      <w:r w:rsidR="00C16E8A">
        <w:rPr>
          <w:b/>
          <w:sz w:val="28"/>
          <w:szCs w:val="28"/>
        </w:rPr>
        <w:t>802.22 Wireless Regional Area Networks (WRAN)</w:t>
      </w:r>
    </w:p>
    <w:p w:rsidR="00C16E8A" w:rsidRDefault="00C16E8A" w:rsidP="00C16E8A">
      <w:pPr>
        <w:pStyle w:val="ListParagraph"/>
        <w:rPr>
          <w:b/>
          <w:sz w:val="28"/>
          <w:szCs w:val="28"/>
        </w:rPr>
      </w:pPr>
    </w:p>
    <w:p w:rsidR="00C16E8A" w:rsidRDefault="00C16E8A" w:rsidP="00C16E8A">
      <w:pPr>
        <w:ind w:firstLine="720"/>
      </w:pPr>
      <w:r>
        <w:t xml:space="preserve">The </w:t>
      </w:r>
      <w:r w:rsidR="00707B9A">
        <w:t>IEEE P</w:t>
      </w:r>
      <w:r>
        <w:t xml:space="preserve">802.22 </w:t>
      </w:r>
      <w:proofErr w:type="gramStart"/>
      <w:r>
        <w:t>standard</w:t>
      </w:r>
      <w:r w:rsidR="00593E24">
        <w:rPr>
          <w:vertAlign w:val="superscript"/>
        </w:rPr>
        <w:t>(</w:t>
      </w:r>
      <w:proofErr w:type="gramEnd"/>
      <w:r w:rsidRPr="00EC1A4F">
        <w:rPr>
          <w:vertAlign w:val="superscript"/>
        </w:rPr>
        <w:t>1</w:t>
      </w:r>
      <w:r w:rsidR="00593E24">
        <w:rPr>
          <w:vertAlign w:val="superscript"/>
        </w:rPr>
        <w:t>)</w:t>
      </w:r>
      <w:r>
        <w:t xml:space="preserve"> is likely to be published as an official IEEE Standard by July 2011.   It incorporates cognitive radio capabilities such as dynamic spectrum access (DSA), access to the incumbent database, accurate </w:t>
      </w:r>
      <w:proofErr w:type="spellStart"/>
      <w:r>
        <w:t>geolocation</w:t>
      </w:r>
      <w:proofErr w:type="spellEnd"/>
      <w:r>
        <w:t xml:space="preserve"> techniques, spectrum sensing, primary user protection beacon, regulatory domain dependent policies, spectrum etiquette and coexistence. It provides broadband access while protecting the incumbent users and using the spectrum efficiently.</w:t>
      </w:r>
    </w:p>
    <w:p w:rsidR="00C16E8A" w:rsidRDefault="00C16E8A" w:rsidP="00C16E8A">
      <w:pPr>
        <w:ind w:firstLine="720"/>
      </w:pPr>
    </w:p>
    <w:p w:rsidR="00C16E8A" w:rsidRDefault="00C16E8A" w:rsidP="00C16E8A">
      <w:pPr>
        <w:ind w:firstLine="720"/>
      </w:pPr>
      <w:r w:rsidRPr="00495469">
        <w:t xml:space="preserve">The </w:t>
      </w:r>
      <w:r w:rsidR="00707B9A">
        <w:t>P</w:t>
      </w:r>
      <w:r w:rsidRPr="00495469">
        <w:t xml:space="preserve">802.22 Working Group started its work in </w:t>
      </w:r>
      <w:r>
        <w:t xml:space="preserve">January </w:t>
      </w:r>
      <w:r w:rsidRPr="00495469">
        <w:t xml:space="preserve">2005 following the Notice of </w:t>
      </w:r>
      <w:r>
        <w:t>I</w:t>
      </w:r>
      <w:r w:rsidRPr="00495469">
        <w:t>nquiry issue</w:t>
      </w:r>
      <w:r>
        <w:t>d</w:t>
      </w:r>
      <w:r w:rsidRPr="00495469">
        <w:t xml:space="preserve"> by the </w:t>
      </w:r>
      <w:r>
        <w:t>United States Federal Communications Commission (FCC)</w:t>
      </w:r>
      <w:r w:rsidR="00593E24">
        <w:rPr>
          <w:vertAlign w:val="superscript"/>
        </w:rPr>
        <w:t>(</w:t>
      </w:r>
      <w:r>
        <w:rPr>
          <w:vertAlign w:val="superscript"/>
        </w:rPr>
        <w:t>2</w:t>
      </w:r>
      <w:r w:rsidR="00593E24">
        <w:rPr>
          <w:vertAlign w:val="superscript"/>
        </w:rPr>
        <w:t>)</w:t>
      </w:r>
      <w:r w:rsidRPr="003C64B9">
        <w:t xml:space="preserve"> and the first </w:t>
      </w:r>
      <w:r w:rsidR="00B5093F">
        <w:t xml:space="preserve">Notice of Proposed Rule </w:t>
      </w:r>
      <w:proofErr w:type="gramStart"/>
      <w:r w:rsidR="00B5093F">
        <w:t>Making</w:t>
      </w:r>
      <w:r w:rsidR="00593E24">
        <w:rPr>
          <w:vertAlign w:val="superscript"/>
        </w:rPr>
        <w:t>(</w:t>
      </w:r>
      <w:proofErr w:type="gramEnd"/>
      <w:r>
        <w:rPr>
          <w:vertAlign w:val="superscript"/>
        </w:rPr>
        <w:t>3</w:t>
      </w:r>
      <w:r w:rsidR="00593E24">
        <w:rPr>
          <w:vertAlign w:val="superscript"/>
        </w:rPr>
        <w:t>)</w:t>
      </w:r>
      <w:r>
        <w:t xml:space="preserve"> on unlicensed’ operation  in the TV broadcast bands.</w:t>
      </w:r>
    </w:p>
    <w:p w:rsidR="00C16E8A" w:rsidRDefault="00C16E8A" w:rsidP="00C16E8A">
      <w:pPr>
        <w:ind w:firstLine="720"/>
      </w:pPr>
    </w:p>
    <w:p w:rsidR="00C16E8A" w:rsidRDefault="00C16E8A" w:rsidP="00C16E8A">
      <w:pPr>
        <w:ind w:firstLine="720"/>
      </w:pPr>
      <w:r>
        <w:t xml:space="preserve">IEEE </w:t>
      </w:r>
      <w:r w:rsidR="00707B9A">
        <w:t>P</w:t>
      </w:r>
      <w:r>
        <w:t xml:space="preserve">802.22 WG has developed a point-to-multipoint wireless broadband air interface standard optimized for operation in the VHF and UHF TV bands, </w:t>
      </w:r>
      <w:r w:rsidRPr="00401821">
        <w:t>in the frequency range between 54 MHz and 862 MHz</w:t>
      </w:r>
      <w:r>
        <w:t xml:space="preserve">.  The standard is </w:t>
      </w:r>
      <w:r w:rsidR="00CA3042">
        <w:t>aimed</w:t>
      </w:r>
      <w:r w:rsidR="00EC55D8">
        <w:t xml:space="preserve"> at but not limited to</w:t>
      </w:r>
      <w:r>
        <w:t xml:space="preserve"> serving less densely populated areas (e.g., rural areas) where most empty TV channels can be found and where population is mostly </w:t>
      </w:r>
      <w:proofErr w:type="spellStart"/>
      <w:r>
        <w:t>unserved</w:t>
      </w:r>
      <w:proofErr w:type="spellEnd"/>
      <w:r>
        <w:t xml:space="preserve"> or underserved by Internet broadband access services.  </w:t>
      </w:r>
      <w:proofErr w:type="gramStart"/>
      <w:r>
        <w:t>The base station (BS) can be accessed by fixed customer premise equipment (CPE) as well as portable devices as per local regulatory requirements</w:t>
      </w:r>
      <w:proofErr w:type="gramEnd"/>
      <w:r>
        <w:t>.</w:t>
      </w:r>
    </w:p>
    <w:p w:rsidR="00C16E8A" w:rsidRDefault="00C16E8A" w:rsidP="00C16E8A">
      <w:pPr>
        <w:ind w:firstLine="720"/>
      </w:pPr>
    </w:p>
    <w:p w:rsidR="00C16E8A" w:rsidRDefault="00C16E8A" w:rsidP="00C16E8A">
      <w:pPr>
        <w:ind w:firstLine="720"/>
      </w:pPr>
      <w:r>
        <w:t>A messaging interface for the purpose of accessing an incumbent database service is included in the standard to accommodate new US regulatory requirements. It should be noted that since the BS controls the DSA in this point-to-multipoint operation, the base station is used as the central point for querying the database service.  This is done by acquiring the location of each CPE and portable terminal early in the process of association, querying the database service on behalf of these terminals and locally managing the responses from the database service to decide on the next DSA action for the specific CPE or the entire network</w:t>
      </w:r>
      <w:r w:rsidR="005E5D31">
        <w:t>.</w:t>
      </w:r>
    </w:p>
    <w:p w:rsidR="00C16E8A" w:rsidRDefault="00C16E8A" w:rsidP="00C16E8A">
      <w:pPr>
        <w:ind w:firstLine="720"/>
      </w:pPr>
    </w:p>
    <w:p w:rsidR="00C16E8A" w:rsidRDefault="00C16E8A" w:rsidP="00C16E8A">
      <w:pPr>
        <w:ind w:firstLine="720"/>
      </w:pPr>
      <w:r>
        <w:t>The standard contains mechanisms for the BS to control sensing operation</w:t>
      </w:r>
      <w:r w:rsidR="00B050E0">
        <w:t>s</w:t>
      </w:r>
      <w:r>
        <w:t xml:space="preserve"> taking place at the </w:t>
      </w:r>
      <w:proofErr w:type="spellStart"/>
      <w:r>
        <w:t>CPEs</w:t>
      </w:r>
      <w:proofErr w:type="spellEnd"/>
      <w:r>
        <w:t xml:space="preserve"> and portable devices, and to report sensing results to the BS. Furthermore, regulatory dependent policies used at the BS to control the DSA behavior under various conditions are embedded in the standard. Satellite and terrestrial </w:t>
      </w:r>
      <w:proofErr w:type="spellStart"/>
      <w:r>
        <w:t>geolocation</w:t>
      </w:r>
      <w:proofErr w:type="spellEnd"/>
      <w:r>
        <w:t xml:space="preserve"> techniques have been incorporated into the standard.  </w:t>
      </w:r>
      <w:r w:rsidR="00B050E0">
        <w:t>S</w:t>
      </w:r>
      <w:r>
        <w:t xml:space="preserve">ecurity features </w:t>
      </w:r>
      <w:r w:rsidR="00670AFC">
        <w:t>have been embedded</w:t>
      </w:r>
      <w:r>
        <w:t xml:space="preserve"> </w:t>
      </w:r>
      <w:r w:rsidR="00670AFC">
        <w:t>for cognitive functions as well as</w:t>
      </w:r>
      <w:r>
        <w:t xml:space="preserve"> the data, control and management functions. Based on the regulatory requirements, certain features, (e.g., sensing) can be disabled if they are not required.</w:t>
      </w:r>
    </w:p>
    <w:p w:rsidR="00C16E8A" w:rsidRDefault="00C16E8A" w:rsidP="00C16E8A">
      <w:pPr>
        <w:ind w:firstLine="720"/>
      </w:pPr>
    </w:p>
    <w:p w:rsidR="00C16E8A" w:rsidRDefault="00C16E8A" w:rsidP="00C16E8A">
      <w:pPr>
        <w:ind w:firstLine="720"/>
      </w:pPr>
      <w:r>
        <w:t xml:space="preserve">Recognizing the difficulty of reliably sensing wireless microphone operations in the TV bands, a parallel standardization activity was undertaken under the </w:t>
      </w:r>
      <w:r w:rsidR="00707B9A">
        <w:t>P</w:t>
      </w:r>
      <w:r>
        <w:t xml:space="preserve">802.22.1 Task Group to develop a related standard for an RF beacon to signal the presence of wireless microphone operation in a more reliable manner. This has resulted in the publication of the IEEE </w:t>
      </w:r>
      <w:proofErr w:type="gramStart"/>
      <w:r w:rsidRPr="007D2DFD">
        <w:t>Std</w:t>
      </w:r>
      <w:proofErr w:type="gramEnd"/>
      <w:r w:rsidRPr="007D2DFD">
        <w:t xml:space="preserve"> 802.22.1™-2010 </w:t>
      </w:r>
      <w:r>
        <w:t>in November 2010</w:t>
      </w:r>
      <w:r w:rsidR="00E438E8">
        <w:rPr>
          <w:vertAlign w:val="superscript"/>
        </w:rPr>
        <w:t>(</w:t>
      </w:r>
      <w:r>
        <w:rPr>
          <w:vertAlign w:val="superscript"/>
        </w:rPr>
        <w:t>4</w:t>
      </w:r>
      <w:r w:rsidR="00E438E8">
        <w:rPr>
          <w:vertAlign w:val="superscript"/>
        </w:rPr>
        <w:t>)</w:t>
      </w:r>
      <w:r>
        <w:t>.</w:t>
      </w:r>
    </w:p>
    <w:p w:rsidR="00C16E8A" w:rsidRDefault="00C16E8A" w:rsidP="00C16E8A">
      <w:pPr>
        <w:ind w:firstLine="720"/>
      </w:pPr>
    </w:p>
    <w:p w:rsidR="00C16E8A" w:rsidRDefault="00C16E8A" w:rsidP="00C16E8A">
      <w:pPr>
        <w:ind w:firstLine="720"/>
      </w:pPr>
      <w:r>
        <w:t xml:space="preserve">Besides being able to detect broadcast incumbents to avoid interference, a spectrum efficient mechanism is included to detect other </w:t>
      </w:r>
      <w:r w:rsidR="00707B9A">
        <w:t>IEEE P</w:t>
      </w:r>
      <w:r>
        <w:t xml:space="preserve">802.22 WRAN operations to implement self-coexistence. This is achieved by having the available channels properly distributed among </w:t>
      </w:r>
      <w:proofErr w:type="spellStart"/>
      <w:r>
        <w:t>WRAN’s</w:t>
      </w:r>
      <w:proofErr w:type="spellEnd"/>
      <w:r>
        <w:t xml:space="preserve"> operating in the same area and, if needed, distributing frame capacity amongst co-channel operating </w:t>
      </w:r>
      <w:r w:rsidR="00D3157A">
        <w:t>WRAN</w:t>
      </w:r>
      <w:r>
        <w:t xml:space="preserve"> systems for more efficient use of the spectrum.</w:t>
      </w:r>
    </w:p>
    <w:p w:rsidR="00C16E8A" w:rsidRDefault="00C16E8A" w:rsidP="00C16E8A">
      <w:pPr>
        <w:ind w:firstLine="720"/>
      </w:pPr>
    </w:p>
    <w:p w:rsidR="00C16E8A" w:rsidRDefault="00C16E8A" w:rsidP="00C16E8A">
      <w:pPr>
        <w:ind w:firstLine="720"/>
        <w:rPr>
          <w:b/>
          <w:sz w:val="28"/>
          <w:szCs w:val="28"/>
        </w:rPr>
      </w:pPr>
      <w:r>
        <w:t xml:space="preserve">IEEE </w:t>
      </w:r>
      <w:r w:rsidR="00707B9A">
        <w:t>P</w:t>
      </w:r>
      <w:r>
        <w:t xml:space="preserve">802.22 cognitive radio-based systems have a potential to provide broadband access to wide regional areas around the world to bring information and communication technologies to </w:t>
      </w:r>
      <w:proofErr w:type="spellStart"/>
      <w:r>
        <w:t>unserved</w:t>
      </w:r>
      <w:proofErr w:type="spellEnd"/>
      <w:r>
        <w:t xml:space="preserve"> and under-served communities.</w:t>
      </w:r>
    </w:p>
    <w:p w:rsidR="00C16E8A" w:rsidRDefault="00C16E8A" w:rsidP="00C16E8A">
      <w:pPr>
        <w:pStyle w:val="ListParagraph"/>
        <w:rPr>
          <w:b/>
          <w:sz w:val="28"/>
          <w:szCs w:val="28"/>
        </w:rPr>
      </w:pPr>
    </w:p>
    <w:p w:rsidR="00B050E0" w:rsidRDefault="00B050E0">
      <w:pPr>
        <w:pStyle w:val="ListParagraph"/>
        <w:ind w:left="360"/>
        <w:rPr>
          <w:b/>
          <w:sz w:val="28"/>
          <w:szCs w:val="28"/>
        </w:rPr>
      </w:pPr>
    </w:p>
    <w:p w:rsidR="00C16E8A" w:rsidRDefault="00707B9A" w:rsidP="00C16E8A">
      <w:pPr>
        <w:pStyle w:val="ListParagraph"/>
        <w:numPr>
          <w:ilvl w:val="0"/>
          <w:numId w:val="1"/>
          <w:numberingChange w:id="2" w:author="John H Notor" w:date="2011-05-12T11:29:00Z" w:original="%1:3:0:."/>
        </w:numPr>
        <w:rPr>
          <w:b/>
          <w:sz w:val="28"/>
          <w:szCs w:val="28"/>
        </w:rPr>
      </w:pPr>
      <w:r>
        <w:rPr>
          <w:b/>
          <w:sz w:val="28"/>
          <w:szCs w:val="28"/>
        </w:rPr>
        <w:t>IEEE P</w:t>
      </w:r>
      <w:r w:rsidR="00C16E8A">
        <w:rPr>
          <w:b/>
          <w:sz w:val="28"/>
          <w:szCs w:val="28"/>
        </w:rPr>
        <w:t>802.19</w:t>
      </w:r>
      <w:r w:rsidR="00BA2A4E">
        <w:rPr>
          <w:b/>
          <w:sz w:val="28"/>
          <w:szCs w:val="28"/>
        </w:rPr>
        <w:t xml:space="preserve"> </w:t>
      </w:r>
      <w:r w:rsidR="00BA2A4E" w:rsidRPr="00BA2A4E">
        <w:rPr>
          <w:b/>
        </w:rPr>
        <w:t>Wireless Coexistence</w:t>
      </w:r>
    </w:p>
    <w:p w:rsidR="0057224E" w:rsidRDefault="0057224E" w:rsidP="0057224E">
      <w:pPr>
        <w:ind w:firstLine="720"/>
        <w:jc w:val="both"/>
      </w:pPr>
    </w:p>
    <w:p w:rsidR="0057224E" w:rsidRPr="0057224E" w:rsidRDefault="0057224E" w:rsidP="0057224E">
      <w:pPr>
        <w:ind w:firstLine="720"/>
        <w:jc w:val="both"/>
      </w:pPr>
      <w:r w:rsidRPr="0057224E">
        <w:t xml:space="preserve">There are several standards projects for wireless networks in the </w:t>
      </w:r>
      <w:r w:rsidRPr="0057224E">
        <w:rPr>
          <w:rFonts w:eastAsia="MS Mincho" w:hint="eastAsia"/>
          <w:lang w:eastAsia="ja-JP"/>
        </w:rPr>
        <w:t xml:space="preserve">limited </w:t>
      </w:r>
      <w:r w:rsidRPr="0057224E">
        <w:t xml:space="preserve">TV </w:t>
      </w:r>
      <w:r w:rsidR="00FF3AAD">
        <w:t>White Space</w:t>
      </w:r>
      <w:r w:rsidRPr="0057224E">
        <w:t>.  In 2009</w:t>
      </w:r>
      <w:r w:rsidR="00517927">
        <w:t>,</w:t>
      </w:r>
      <w:r w:rsidRPr="0057224E">
        <w:t xml:space="preserve"> the IEEE identified</w:t>
      </w:r>
      <w:r w:rsidRPr="0057224E">
        <w:rPr>
          <w:rFonts w:eastAsia="MS Mincho" w:hint="eastAsia"/>
          <w:lang w:eastAsia="ja-JP"/>
        </w:rPr>
        <w:t xml:space="preserve"> </w:t>
      </w:r>
      <w:r w:rsidRPr="0057224E">
        <w:rPr>
          <w:rFonts w:eastAsia="MS Mincho"/>
          <w:lang w:eastAsia="ja-JP"/>
        </w:rPr>
        <w:t>potential</w:t>
      </w:r>
      <w:r w:rsidRPr="0057224E">
        <w:rPr>
          <w:rFonts w:eastAsia="MS Mincho" w:hint="eastAsia"/>
          <w:lang w:eastAsia="ja-JP"/>
        </w:rPr>
        <w:t xml:space="preserve"> </w:t>
      </w:r>
      <w:r w:rsidRPr="0057224E">
        <w:rPr>
          <w:rFonts w:eastAsia="MS Mincho"/>
          <w:lang w:eastAsia="ja-JP"/>
        </w:rPr>
        <w:t>coexistence</w:t>
      </w:r>
      <w:r w:rsidRPr="0057224E">
        <w:t xml:space="preserve"> issue</w:t>
      </w:r>
      <w:r w:rsidRPr="0057224E">
        <w:rPr>
          <w:rFonts w:eastAsia="MS Mincho" w:hint="eastAsia"/>
          <w:lang w:eastAsia="ja-JP"/>
        </w:rPr>
        <w:t>s</w:t>
      </w:r>
      <w:r w:rsidRPr="0057224E">
        <w:t xml:space="preserve"> and as a result initiated a standards project for coexistence of wireless networks in the TV </w:t>
      </w:r>
      <w:r w:rsidR="00FF3AAD">
        <w:t>White Space</w:t>
      </w:r>
      <w:r w:rsidRPr="0057224E">
        <w:t xml:space="preserve">. The IEEE </w:t>
      </w:r>
      <w:proofErr w:type="gramStart"/>
      <w:r w:rsidR="00707B9A">
        <w:t>P</w:t>
      </w:r>
      <w:r w:rsidRPr="0057224E">
        <w:t>802.19.1 standards project on “TV White Space Coexistence Methods” was approved by the IEEE standards board</w:t>
      </w:r>
      <w:proofErr w:type="gramEnd"/>
      <w:r w:rsidRPr="0057224E">
        <w:t xml:space="preserve"> in December 2009.</w:t>
      </w:r>
    </w:p>
    <w:p w:rsidR="0057224E" w:rsidRPr="0057224E" w:rsidRDefault="0057224E" w:rsidP="0057224E">
      <w:pPr>
        <w:ind w:firstLine="720"/>
        <w:jc w:val="both"/>
      </w:pPr>
    </w:p>
    <w:p w:rsidR="0057224E" w:rsidRPr="0057224E" w:rsidRDefault="0057224E" w:rsidP="0057224E">
      <w:pPr>
        <w:ind w:firstLine="720"/>
        <w:jc w:val="both"/>
      </w:pPr>
      <w:r w:rsidRPr="0057224E">
        <w:t>The scope and purpose of the project</w:t>
      </w:r>
      <w:r w:rsidRPr="0057224E">
        <w:rPr>
          <w:rFonts w:hint="eastAsia"/>
        </w:rPr>
        <w:t xml:space="preserve"> </w:t>
      </w:r>
      <w:r w:rsidRPr="0057224E">
        <w:t>are provided</w:t>
      </w:r>
      <w:r w:rsidRPr="0057224E">
        <w:rPr>
          <w:rFonts w:hint="eastAsia"/>
        </w:rPr>
        <w:t xml:space="preserve"> </w:t>
      </w:r>
      <w:r w:rsidRPr="0057224E">
        <w:t>below:</w:t>
      </w:r>
    </w:p>
    <w:p w:rsidR="0057224E" w:rsidRPr="0057224E" w:rsidRDefault="0057224E" w:rsidP="0057224E">
      <w:pPr>
        <w:autoSpaceDE w:val="0"/>
        <w:autoSpaceDN w:val="0"/>
        <w:adjustRightInd w:val="0"/>
        <w:rPr>
          <w:szCs w:val="23"/>
        </w:rPr>
      </w:pPr>
    </w:p>
    <w:p w:rsidR="0057224E" w:rsidRPr="0057224E" w:rsidRDefault="0057224E" w:rsidP="0057224E">
      <w:pPr>
        <w:autoSpaceDE w:val="0"/>
        <w:autoSpaceDN w:val="0"/>
        <w:adjustRightInd w:val="0"/>
        <w:jc w:val="both"/>
        <w:rPr>
          <w:i/>
          <w:iCs/>
          <w:szCs w:val="23"/>
        </w:rPr>
      </w:pPr>
      <w:r w:rsidRPr="0057224E">
        <w:rPr>
          <w:rFonts w:eastAsia="MS Mincho" w:hint="eastAsia"/>
          <w:b/>
          <w:bCs/>
          <w:szCs w:val="23"/>
          <w:lang w:eastAsia="ja-JP"/>
        </w:rPr>
        <w:t xml:space="preserve">Project </w:t>
      </w:r>
      <w:r w:rsidRPr="0057224E">
        <w:rPr>
          <w:b/>
          <w:bCs/>
          <w:szCs w:val="23"/>
        </w:rPr>
        <w:t xml:space="preserve">Scope: </w:t>
      </w:r>
      <w:r w:rsidRPr="0057224E">
        <w:rPr>
          <w:i/>
          <w:iCs/>
          <w:szCs w:val="23"/>
        </w:rPr>
        <w:t>The standard specifies radio technology independent methods for coexistence</w:t>
      </w:r>
      <w:r w:rsidRPr="0057224E">
        <w:rPr>
          <w:rFonts w:hint="eastAsia"/>
          <w:i/>
          <w:iCs/>
          <w:szCs w:val="23"/>
        </w:rPr>
        <w:t xml:space="preserve"> </w:t>
      </w:r>
      <w:r w:rsidRPr="0057224E">
        <w:rPr>
          <w:i/>
          <w:iCs/>
          <w:szCs w:val="23"/>
        </w:rPr>
        <w:t>among dissimilar or independently operated TV Band Device (TVBD) networks and dissimilar</w:t>
      </w:r>
      <w:r w:rsidRPr="0057224E">
        <w:rPr>
          <w:rFonts w:hint="eastAsia"/>
          <w:i/>
          <w:iCs/>
          <w:szCs w:val="23"/>
        </w:rPr>
        <w:t xml:space="preserve"> </w:t>
      </w:r>
      <w:r w:rsidRPr="0057224E">
        <w:rPr>
          <w:i/>
          <w:iCs/>
          <w:szCs w:val="23"/>
        </w:rPr>
        <w:t>TV Band Devices.</w:t>
      </w:r>
    </w:p>
    <w:p w:rsidR="0057224E" w:rsidRDefault="0057224E" w:rsidP="0057224E">
      <w:pPr>
        <w:autoSpaceDE w:val="0"/>
        <w:autoSpaceDN w:val="0"/>
        <w:adjustRightInd w:val="0"/>
        <w:jc w:val="both"/>
        <w:rPr>
          <w:rFonts w:eastAsia="MS Mincho"/>
          <w:b/>
          <w:bCs/>
          <w:szCs w:val="23"/>
          <w:lang w:eastAsia="ja-JP"/>
        </w:rPr>
      </w:pPr>
    </w:p>
    <w:p w:rsidR="0057224E" w:rsidRPr="0057224E" w:rsidRDefault="0057224E" w:rsidP="0057224E">
      <w:pPr>
        <w:autoSpaceDE w:val="0"/>
        <w:autoSpaceDN w:val="0"/>
        <w:adjustRightInd w:val="0"/>
        <w:jc w:val="both"/>
        <w:rPr>
          <w:szCs w:val="23"/>
        </w:rPr>
      </w:pPr>
      <w:r w:rsidRPr="0057224E">
        <w:rPr>
          <w:rFonts w:eastAsia="MS Mincho" w:hint="eastAsia"/>
          <w:b/>
          <w:bCs/>
          <w:szCs w:val="23"/>
          <w:lang w:eastAsia="ja-JP"/>
        </w:rPr>
        <w:t xml:space="preserve">Project </w:t>
      </w:r>
      <w:r w:rsidRPr="0057224E">
        <w:rPr>
          <w:b/>
          <w:bCs/>
          <w:szCs w:val="23"/>
        </w:rPr>
        <w:t xml:space="preserve">Purpose: </w:t>
      </w:r>
      <w:r w:rsidRPr="0057224E">
        <w:rPr>
          <w:i/>
          <w:iCs/>
          <w:szCs w:val="23"/>
        </w:rPr>
        <w:t>The purpose of the standard is to enable the family of IEEE 802 Wireless</w:t>
      </w:r>
      <w:r w:rsidRPr="0057224E">
        <w:rPr>
          <w:rFonts w:hint="eastAsia"/>
          <w:i/>
          <w:iCs/>
          <w:szCs w:val="23"/>
        </w:rPr>
        <w:t xml:space="preserve"> </w:t>
      </w:r>
      <w:r w:rsidRPr="0057224E">
        <w:rPr>
          <w:i/>
          <w:iCs/>
          <w:szCs w:val="23"/>
        </w:rPr>
        <w:t>Standards to most effectively use TV White Space by providing standard coexistence methods</w:t>
      </w:r>
      <w:r w:rsidRPr="0057224E">
        <w:rPr>
          <w:rFonts w:hint="eastAsia"/>
          <w:i/>
          <w:iCs/>
          <w:szCs w:val="23"/>
        </w:rPr>
        <w:t xml:space="preserve"> </w:t>
      </w:r>
      <w:r w:rsidRPr="0057224E">
        <w:rPr>
          <w:i/>
          <w:iCs/>
          <w:szCs w:val="23"/>
        </w:rPr>
        <w:t xml:space="preserve">among dissimilar or independently operated TVBD networks and dissimilar </w:t>
      </w:r>
      <w:proofErr w:type="spellStart"/>
      <w:r w:rsidRPr="0057224E">
        <w:rPr>
          <w:i/>
          <w:iCs/>
          <w:szCs w:val="23"/>
        </w:rPr>
        <w:t>TVBDs</w:t>
      </w:r>
      <w:proofErr w:type="spellEnd"/>
      <w:r w:rsidRPr="0057224E">
        <w:rPr>
          <w:i/>
          <w:iCs/>
          <w:szCs w:val="23"/>
        </w:rPr>
        <w:t>. This</w:t>
      </w:r>
      <w:r w:rsidRPr="0057224E">
        <w:rPr>
          <w:rFonts w:hint="eastAsia"/>
          <w:i/>
          <w:iCs/>
          <w:szCs w:val="23"/>
        </w:rPr>
        <w:t xml:space="preserve"> </w:t>
      </w:r>
      <w:r w:rsidRPr="0057224E">
        <w:rPr>
          <w:i/>
          <w:iCs/>
          <w:szCs w:val="23"/>
        </w:rPr>
        <w:t>standard addresses coexistence for IEEE 802 networks and devices and will also be useful for</w:t>
      </w:r>
      <w:r w:rsidRPr="0057224E">
        <w:rPr>
          <w:rFonts w:hint="eastAsia"/>
          <w:i/>
          <w:iCs/>
          <w:szCs w:val="23"/>
        </w:rPr>
        <w:t xml:space="preserve"> </w:t>
      </w:r>
      <w:r w:rsidRPr="0057224E">
        <w:rPr>
          <w:i/>
          <w:iCs/>
          <w:szCs w:val="23"/>
        </w:rPr>
        <w:t xml:space="preserve">non IEEE 802 networks and </w:t>
      </w:r>
      <w:proofErr w:type="spellStart"/>
      <w:r w:rsidRPr="0057224E">
        <w:rPr>
          <w:i/>
          <w:iCs/>
          <w:szCs w:val="23"/>
        </w:rPr>
        <w:t>TVBDs</w:t>
      </w:r>
      <w:proofErr w:type="spellEnd"/>
      <w:r w:rsidRPr="0057224E">
        <w:rPr>
          <w:szCs w:val="23"/>
        </w:rPr>
        <w:t>.</w:t>
      </w:r>
    </w:p>
    <w:p w:rsidR="0057224E" w:rsidRPr="0057224E" w:rsidRDefault="0057224E" w:rsidP="0057224E">
      <w:pPr>
        <w:autoSpaceDE w:val="0"/>
        <w:autoSpaceDN w:val="0"/>
        <w:adjustRightInd w:val="0"/>
        <w:rPr>
          <w:szCs w:val="23"/>
        </w:rPr>
      </w:pPr>
    </w:p>
    <w:p w:rsidR="0057224E" w:rsidRPr="0057224E" w:rsidRDefault="0057224E" w:rsidP="0057224E">
      <w:pPr>
        <w:autoSpaceDE w:val="0"/>
        <w:autoSpaceDN w:val="0"/>
        <w:adjustRightInd w:val="0"/>
        <w:rPr>
          <w:szCs w:val="23"/>
        </w:rPr>
      </w:pPr>
      <w:r w:rsidRPr="0057224E">
        <w:rPr>
          <w:szCs w:val="23"/>
        </w:rPr>
        <w:tab/>
        <w:t>The standard will utilize the location awareness</w:t>
      </w:r>
      <w:r w:rsidRPr="0057224E">
        <w:rPr>
          <w:rFonts w:eastAsia="MS Mincho" w:hint="eastAsia"/>
          <w:szCs w:val="23"/>
          <w:lang w:eastAsia="ja-JP"/>
        </w:rPr>
        <w:t xml:space="preserve"> and adaptive</w:t>
      </w:r>
      <w:r w:rsidRPr="0057224E">
        <w:rPr>
          <w:rFonts w:eastAsia="MS Mincho"/>
          <w:szCs w:val="23"/>
          <w:lang w:eastAsia="ja-JP"/>
        </w:rPr>
        <w:t xml:space="preserve"> abilities</w:t>
      </w:r>
      <w:r w:rsidRPr="0057224E">
        <w:rPr>
          <w:szCs w:val="23"/>
        </w:rPr>
        <w:t xml:space="preserve"> of the </w:t>
      </w:r>
      <w:proofErr w:type="spellStart"/>
      <w:r w:rsidRPr="0057224E">
        <w:rPr>
          <w:rFonts w:eastAsia="MS Mincho" w:hint="eastAsia"/>
          <w:szCs w:val="23"/>
          <w:lang w:eastAsia="ja-JP"/>
        </w:rPr>
        <w:t>TVBDs</w:t>
      </w:r>
      <w:proofErr w:type="spellEnd"/>
      <w:r w:rsidRPr="0057224E">
        <w:rPr>
          <w:szCs w:val="23"/>
        </w:rPr>
        <w:t xml:space="preserve">, which </w:t>
      </w:r>
      <w:r w:rsidRPr="0057224E">
        <w:rPr>
          <w:rFonts w:eastAsia="MS Mincho" w:hint="eastAsia"/>
          <w:szCs w:val="23"/>
          <w:lang w:eastAsia="ja-JP"/>
        </w:rPr>
        <w:t>are</w:t>
      </w:r>
      <w:r w:rsidRPr="0057224E">
        <w:rPr>
          <w:szCs w:val="23"/>
        </w:rPr>
        <w:t xml:space="preserve"> capabilit</w:t>
      </w:r>
      <w:r w:rsidRPr="0057224E">
        <w:rPr>
          <w:rFonts w:eastAsia="MS Mincho" w:hint="eastAsia"/>
          <w:szCs w:val="23"/>
          <w:lang w:eastAsia="ja-JP"/>
        </w:rPr>
        <w:t>ies</w:t>
      </w:r>
      <w:r w:rsidRPr="0057224E">
        <w:rPr>
          <w:szCs w:val="23"/>
        </w:rPr>
        <w:t xml:space="preserve"> that </w:t>
      </w:r>
      <w:r w:rsidRPr="0057224E">
        <w:rPr>
          <w:rFonts w:eastAsia="MS Mincho" w:hint="eastAsia"/>
          <w:szCs w:val="23"/>
          <w:lang w:eastAsia="ja-JP"/>
        </w:rPr>
        <w:t>will be</w:t>
      </w:r>
      <w:r w:rsidRPr="0057224E">
        <w:rPr>
          <w:szCs w:val="23"/>
        </w:rPr>
        <w:t xml:space="preserve"> common in the </w:t>
      </w:r>
      <w:proofErr w:type="spellStart"/>
      <w:r w:rsidRPr="0057224E">
        <w:rPr>
          <w:rFonts w:eastAsia="MS Mincho" w:hint="eastAsia"/>
          <w:szCs w:val="23"/>
          <w:lang w:eastAsia="ja-JP"/>
        </w:rPr>
        <w:t>TVBDs</w:t>
      </w:r>
      <w:proofErr w:type="spellEnd"/>
      <w:r w:rsidRPr="0057224E">
        <w:rPr>
          <w:szCs w:val="23"/>
        </w:rPr>
        <w:t xml:space="preserve">. </w:t>
      </w:r>
    </w:p>
    <w:p w:rsidR="0057224E" w:rsidRPr="0057224E" w:rsidRDefault="0057224E" w:rsidP="0057224E">
      <w:pPr>
        <w:autoSpaceDE w:val="0"/>
        <w:autoSpaceDN w:val="0"/>
        <w:adjustRightInd w:val="0"/>
        <w:rPr>
          <w:szCs w:val="23"/>
        </w:rPr>
      </w:pPr>
    </w:p>
    <w:p w:rsidR="0057224E" w:rsidRPr="0057224E" w:rsidRDefault="0057224E" w:rsidP="0057224E">
      <w:pPr>
        <w:autoSpaceDE w:val="0"/>
        <w:autoSpaceDN w:val="0"/>
        <w:adjustRightInd w:val="0"/>
        <w:ind w:firstLine="720"/>
        <w:rPr>
          <w:rFonts w:eastAsia="MS Mincho"/>
          <w:szCs w:val="23"/>
          <w:lang w:eastAsia="ja-JP"/>
        </w:rPr>
      </w:pPr>
      <w:r w:rsidRPr="0057224E">
        <w:rPr>
          <w:szCs w:val="23"/>
        </w:rPr>
        <w:t xml:space="preserve"> As part of the standard</w:t>
      </w:r>
      <w:r w:rsidR="00517927">
        <w:rPr>
          <w:szCs w:val="23"/>
        </w:rPr>
        <w:t>s</w:t>
      </w:r>
      <w:r w:rsidRPr="0057224E">
        <w:rPr>
          <w:szCs w:val="23"/>
        </w:rPr>
        <w:t xml:space="preserve"> development </w:t>
      </w:r>
      <w:r w:rsidR="00517927">
        <w:rPr>
          <w:szCs w:val="23"/>
        </w:rPr>
        <w:t xml:space="preserve">process, </w:t>
      </w:r>
      <w:r w:rsidRPr="0057224E">
        <w:rPr>
          <w:szCs w:val="23"/>
        </w:rPr>
        <w:t xml:space="preserve">a system design </w:t>
      </w:r>
      <w:proofErr w:type="gramStart"/>
      <w:r w:rsidRPr="0057224E">
        <w:rPr>
          <w:szCs w:val="23"/>
        </w:rPr>
        <w:t>document</w:t>
      </w:r>
      <w:r w:rsidR="00032F55" w:rsidRPr="00032F55">
        <w:rPr>
          <w:szCs w:val="23"/>
          <w:vertAlign w:val="superscript"/>
        </w:rPr>
        <w:t>(</w:t>
      </w:r>
      <w:proofErr w:type="gramEnd"/>
      <w:r w:rsidR="00B73CDC">
        <w:rPr>
          <w:rFonts w:eastAsia="MS Mincho"/>
          <w:szCs w:val="23"/>
          <w:vertAlign w:val="superscript"/>
          <w:lang w:eastAsia="ja-JP"/>
        </w:rPr>
        <w:t>5</w:t>
      </w:r>
      <w:r w:rsidR="00032F55" w:rsidRPr="00032F55">
        <w:rPr>
          <w:szCs w:val="23"/>
          <w:vertAlign w:val="superscript"/>
        </w:rPr>
        <w:t>)</w:t>
      </w:r>
      <w:r w:rsidRPr="0057224E">
        <w:rPr>
          <w:szCs w:val="23"/>
        </w:rPr>
        <w:t xml:space="preserve"> was developed.  The system design document includes a coexistence system architecture that is</w:t>
      </w:r>
      <w:r w:rsidRPr="0057224E">
        <w:rPr>
          <w:rFonts w:hint="eastAsia"/>
          <w:szCs w:val="23"/>
        </w:rPr>
        <w:t xml:space="preserve"> shown in Figure 1</w:t>
      </w:r>
      <w:r w:rsidRPr="0057224E">
        <w:rPr>
          <w:szCs w:val="23"/>
        </w:rPr>
        <w:t>.  The architecture consists of</w:t>
      </w:r>
      <w:r w:rsidRPr="0057224E">
        <w:rPr>
          <w:rFonts w:hint="eastAsia"/>
          <w:szCs w:val="23"/>
        </w:rPr>
        <w:t xml:space="preserve"> </w:t>
      </w:r>
      <w:r w:rsidRPr="0057224E">
        <w:rPr>
          <w:szCs w:val="23"/>
        </w:rPr>
        <w:t>three logical entities and five logical interfaces.</w:t>
      </w:r>
    </w:p>
    <w:p w:rsidR="0057224E" w:rsidRPr="0057224E" w:rsidRDefault="0057224E" w:rsidP="0057224E">
      <w:pPr>
        <w:autoSpaceDE w:val="0"/>
        <w:autoSpaceDN w:val="0"/>
        <w:adjustRightInd w:val="0"/>
        <w:ind w:firstLine="690"/>
        <w:rPr>
          <w:rFonts w:eastAsia="MS Mincho"/>
          <w:szCs w:val="23"/>
          <w:lang w:eastAsia="ja-JP"/>
        </w:rPr>
      </w:pPr>
    </w:p>
    <w:p w:rsidR="0057224E" w:rsidRPr="0057224E" w:rsidRDefault="0057224E" w:rsidP="0057224E">
      <w:pPr>
        <w:autoSpaceDE w:val="0"/>
        <w:autoSpaceDN w:val="0"/>
        <w:adjustRightInd w:val="0"/>
        <w:rPr>
          <w:szCs w:val="23"/>
        </w:rPr>
      </w:pPr>
      <w:r w:rsidRPr="0057224E">
        <w:rPr>
          <w:szCs w:val="23"/>
        </w:rPr>
        <w:t>The logical entities are:</w:t>
      </w:r>
    </w:p>
    <w:p w:rsidR="0057224E" w:rsidRPr="0057224E" w:rsidRDefault="0057224E" w:rsidP="0057224E">
      <w:pPr>
        <w:pStyle w:val="IEEEStdsUnorderedList"/>
        <w:numPr>
          <w:ilvl w:val="0"/>
          <w:numId w:val="2"/>
          <w:numberingChange w:id="3" w:author="John H Notor" w:date="2011-05-12T11:29:00Z" w:original=""/>
        </w:numPr>
        <w:tabs>
          <w:tab w:val="clear" w:pos="640"/>
          <w:tab w:val="clear" w:pos="1080"/>
          <w:tab w:val="clear" w:pos="1512"/>
          <w:tab w:val="clear" w:pos="1958"/>
          <w:tab w:val="clear" w:pos="2405"/>
          <w:tab w:val="num" w:pos="360"/>
        </w:tabs>
        <w:spacing w:after="0"/>
        <w:ind w:left="360" w:hanging="360"/>
        <w:rPr>
          <w:noProof w:val="0"/>
          <w:sz w:val="24"/>
          <w:szCs w:val="23"/>
        </w:rPr>
      </w:pPr>
      <w:r w:rsidRPr="0057224E">
        <w:rPr>
          <w:noProof w:val="0"/>
          <w:sz w:val="24"/>
          <w:szCs w:val="23"/>
        </w:rPr>
        <w:t>Coexistence Manager (CM)</w:t>
      </w:r>
    </w:p>
    <w:p w:rsidR="0057224E" w:rsidRPr="0057224E" w:rsidRDefault="0057224E" w:rsidP="0057224E">
      <w:pPr>
        <w:pStyle w:val="IEEEStdsUnorderedList"/>
        <w:numPr>
          <w:ilvl w:val="0"/>
          <w:numId w:val="2"/>
          <w:numberingChange w:id="4" w:author="John H Notor" w:date="2011-05-12T11:29:00Z" w:original=""/>
        </w:numPr>
        <w:tabs>
          <w:tab w:val="clear" w:pos="640"/>
          <w:tab w:val="clear" w:pos="1080"/>
          <w:tab w:val="clear" w:pos="1512"/>
          <w:tab w:val="clear" w:pos="1958"/>
          <w:tab w:val="clear" w:pos="2405"/>
          <w:tab w:val="num" w:pos="360"/>
        </w:tabs>
        <w:spacing w:after="0"/>
        <w:ind w:left="360" w:hanging="360"/>
        <w:rPr>
          <w:noProof w:val="0"/>
          <w:sz w:val="24"/>
          <w:szCs w:val="23"/>
        </w:rPr>
      </w:pPr>
      <w:r w:rsidRPr="0057224E">
        <w:rPr>
          <w:noProof w:val="0"/>
          <w:sz w:val="24"/>
          <w:szCs w:val="23"/>
        </w:rPr>
        <w:t>Coexistence Enabler (CE)</w:t>
      </w:r>
    </w:p>
    <w:p w:rsidR="0057224E" w:rsidRPr="0057224E" w:rsidRDefault="0057224E" w:rsidP="0057224E">
      <w:pPr>
        <w:pStyle w:val="IEEEStdsUnorderedList"/>
        <w:numPr>
          <w:ilvl w:val="0"/>
          <w:numId w:val="2"/>
          <w:numberingChange w:id="5" w:author="John H Notor" w:date="2011-05-12T11:29:00Z" w:original=""/>
        </w:numPr>
        <w:tabs>
          <w:tab w:val="clear" w:pos="640"/>
          <w:tab w:val="clear" w:pos="1080"/>
          <w:tab w:val="clear" w:pos="1512"/>
          <w:tab w:val="clear" w:pos="1958"/>
          <w:tab w:val="clear" w:pos="2405"/>
          <w:tab w:val="num" w:pos="360"/>
        </w:tabs>
        <w:spacing w:after="0"/>
        <w:ind w:left="360" w:hanging="360"/>
        <w:rPr>
          <w:noProof w:val="0"/>
          <w:sz w:val="24"/>
          <w:szCs w:val="23"/>
        </w:rPr>
      </w:pPr>
      <w:r w:rsidRPr="0057224E">
        <w:rPr>
          <w:noProof w:val="0"/>
          <w:sz w:val="24"/>
          <w:szCs w:val="23"/>
        </w:rPr>
        <w:t>Coexistence Discovery and Information Server (CDIS).</w:t>
      </w:r>
    </w:p>
    <w:p w:rsidR="0057224E" w:rsidRPr="0057224E" w:rsidRDefault="0057224E" w:rsidP="0057224E">
      <w:pPr>
        <w:pStyle w:val="IEEEStdsUnorderedList"/>
        <w:rPr>
          <w:noProof w:val="0"/>
          <w:sz w:val="24"/>
          <w:szCs w:val="23"/>
        </w:rPr>
      </w:pPr>
    </w:p>
    <w:p w:rsidR="0057224E" w:rsidRPr="004A2749" w:rsidRDefault="0057224E" w:rsidP="0057224E">
      <w:pPr>
        <w:pStyle w:val="IEEEStdsParagraph"/>
        <w:jc w:val="center"/>
        <w:rPr>
          <w:rFonts w:eastAsia="MS Mincho"/>
          <w:sz w:val="23"/>
          <w:szCs w:val="23"/>
        </w:rPr>
      </w:pPr>
      <w:r>
        <w:rPr>
          <w:rFonts w:eastAsia="MS Mincho"/>
          <w:noProof/>
          <w:sz w:val="23"/>
          <w:szCs w:val="23"/>
        </w:rPr>
        <w:drawing>
          <wp:inline distT="0" distB="0" distL="0" distR="0">
            <wp:extent cx="4107180" cy="2494915"/>
            <wp:effectExtent l="25400" t="0" r="762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5"/>
                    <a:srcRect/>
                    <a:stretch>
                      <a:fillRect/>
                    </a:stretch>
                  </pic:blipFill>
                  <pic:spPr bwMode="auto">
                    <a:xfrm>
                      <a:off x="0" y="0"/>
                      <a:ext cx="4107180" cy="2494915"/>
                    </a:xfrm>
                    <a:prstGeom prst="rect">
                      <a:avLst/>
                    </a:prstGeom>
                    <a:noFill/>
                    <a:ln w="9525">
                      <a:noFill/>
                      <a:miter lim="800000"/>
                      <a:headEnd/>
                      <a:tailEnd/>
                    </a:ln>
                  </pic:spPr>
                </pic:pic>
              </a:graphicData>
            </a:graphic>
          </wp:inline>
        </w:drawing>
      </w:r>
    </w:p>
    <w:p w:rsidR="0057224E" w:rsidRPr="004A2749" w:rsidRDefault="0057224E" w:rsidP="0057224E">
      <w:pPr>
        <w:pStyle w:val="IEEEStdsRegularFigureCaption"/>
        <w:numPr>
          <w:ilvl w:val="0"/>
          <w:numId w:val="3"/>
          <w:numberingChange w:id="6" w:author="John H Notor" w:date="2011-05-12T11:29:00Z" w:original="Figure %1:1:0:"/>
        </w:numPr>
        <w:tabs>
          <w:tab w:val="clear" w:pos="403"/>
          <w:tab w:val="clear" w:pos="475"/>
          <w:tab w:val="clear" w:pos="547"/>
          <w:tab w:val="clear" w:pos="1008"/>
          <w:tab w:val="num" w:pos="288"/>
        </w:tabs>
        <w:rPr>
          <w:rFonts w:ascii="Times New Roman" w:hAnsi="Times New Roman"/>
          <w:b w:val="0"/>
          <w:sz w:val="23"/>
          <w:szCs w:val="23"/>
        </w:rPr>
      </w:pPr>
      <w:r w:rsidRPr="004A2749">
        <w:rPr>
          <w:rFonts w:ascii="Times New Roman" w:hAnsi="Times New Roman"/>
          <w:b w:val="0"/>
          <w:sz w:val="23"/>
          <w:szCs w:val="23"/>
        </w:rPr>
        <w:t>Coexistence s</w:t>
      </w:r>
      <w:r w:rsidRPr="004A2749">
        <w:rPr>
          <w:rFonts w:ascii="Times New Roman" w:hAnsi="Times New Roman" w:hint="eastAsia"/>
          <w:b w:val="0"/>
          <w:sz w:val="23"/>
          <w:szCs w:val="23"/>
        </w:rPr>
        <w:t xml:space="preserve">ystem </w:t>
      </w:r>
      <w:r w:rsidRPr="004A2749">
        <w:rPr>
          <w:rFonts w:ascii="Times New Roman" w:hAnsi="Times New Roman"/>
          <w:b w:val="0"/>
          <w:sz w:val="23"/>
          <w:szCs w:val="23"/>
        </w:rPr>
        <w:t>architecture</w:t>
      </w:r>
    </w:p>
    <w:p w:rsidR="0057224E" w:rsidRDefault="0057224E" w:rsidP="0057224E">
      <w:pPr>
        <w:pStyle w:val="IEEEStdsUnorderedList"/>
        <w:tabs>
          <w:tab w:val="clear" w:pos="720"/>
          <w:tab w:val="clear" w:pos="1080"/>
          <w:tab w:val="clear" w:pos="1512"/>
          <w:tab w:val="clear" w:pos="1958"/>
          <w:tab w:val="clear" w:pos="2405"/>
        </w:tabs>
        <w:spacing w:after="0"/>
        <w:ind w:left="0" w:firstLine="0"/>
        <w:rPr>
          <w:noProof w:val="0"/>
          <w:sz w:val="23"/>
          <w:szCs w:val="23"/>
        </w:rPr>
      </w:pPr>
    </w:p>
    <w:p w:rsidR="0057224E" w:rsidRPr="001E21AD" w:rsidRDefault="0057224E" w:rsidP="001E21AD">
      <w:pPr>
        <w:ind w:firstLine="720"/>
      </w:pPr>
      <w:r w:rsidRPr="001E21AD">
        <w:rPr>
          <w:rFonts w:hint="eastAsia"/>
        </w:rPr>
        <w:t>The coe</w:t>
      </w:r>
      <w:r w:rsidRPr="001E21AD">
        <w:t>xistence</w:t>
      </w:r>
      <w:r w:rsidRPr="001E21AD">
        <w:rPr>
          <w:rFonts w:hint="eastAsia"/>
        </w:rPr>
        <w:t xml:space="preserve"> system design will provide radio </w:t>
      </w:r>
      <w:r w:rsidRPr="001E21AD">
        <w:t>environment</w:t>
      </w:r>
      <w:r w:rsidRPr="001E21AD">
        <w:rPr>
          <w:rFonts w:hint="eastAsia"/>
        </w:rPr>
        <w:t xml:space="preserve"> awareness to a diverse range of </w:t>
      </w:r>
      <w:proofErr w:type="spellStart"/>
      <w:r w:rsidRPr="001E21AD">
        <w:rPr>
          <w:rFonts w:hint="eastAsia"/>
        </w:rPr>
        <w:t>TVBDs</w:t>
      </w:r>
      <w:proofErr w:type="spellEnd"/>
      <w:r w:rsidRPr="001E21AD">
        <w:rPr>
          <w:rFonts w:hint="eastAsia"/>
        </w:rPr>
        <w:t xml:space="preserve"> using any radio access technology by </w:t>
      </w:r>
      <w:r w:rsidRPr="001E21AD">
        <w:t>implementing a distributed</w:t>
      </w:r>
      <w:r w:rsidRPr="001E21AD">
        <w:rPr>
          <w:rFonts w:hint="eastAsia"/>
        </w:rPr>
        <w:t>,</w:t>
      </w:r>
      <w:r w:rsidRPr="001E21AD">
        <w:t xml:space="preserve"> </w:t>
      </w:r>
      <w:r w:rsidRPr="001E21AD">
        <w:rPr>
          <w:rFonts w:hint="eastAsia"/>
        </w:rPr>
        <w:t xml:space="preserve">local, geographic database of </w:t>
      </w:r>
      <w:proofErr w:type="spellStart"/>
      <w:r w:rsidRPr="001E21AD">
        <w:rPr>
          <w:rFonts w:hint="eastAsia"/>
        </w:rPr>
        <w:t>TVBDs</w:t>
      </w:r>
      <w:proofErr w:type="spellEnd"/>
      <w:r w:rsidRPr="001E21AD">
        <w:rPr>
          <w:rFonts w:hint="eastAsia"/>
        </w:rPr>
        <w:t xml:space="preserve">. In addition the coexistence system will offer management services to subscribing </w:t>
      </w:r>
      <w:proofErr w:type="spellStart"/>
      <w:r w:rsidRPr="001E21AD">
        <w:rPr>
          <w:rFonts w:hint="eastAsia"/>
        </w:rPr>
        <w:t>TVBDs</w:t>
      </w:r>
      <w:proofErr w:type="spellEnd"/>
      <w:r w:rsidRPr="001E21AD">
        <w:rPr>
          <w:rFonts w:hint="eastAsia"/>
        </w:rPr>
        <w:t xml:space="preserve"> to implement a standardized spectrum resource allocation among the users of the TVWS.</w:t>
      </w:r>
    </w:p>
    <w:p w:rsidR="0057224E" w:rsidRPr="001E21AD" w:rsidRDefault="0057224E" w:rsidP="001E21AD">
      <w:pPr>
        <w:ind w:firstLine="720"/>
      </w:pPr>
    </w:p>
    <w:p w:rsidR="0057224E" w:rsidRPr="001E21AD" w:rsidRDefault="0057224E" w:rsidP="001E21AD">
      <w:pPr>
        <w:ind w:firstLine="720"/>
      </w:pPr>
      <w:r w:rsidRPr="001E21AD">
        <w:t>T</w:t>
      </w:r>
      <w:r w:rsidRPr="001E21AD">
        <w:rPr>
          <w:rFonts w:hint="eastAsia"/>
        </w:rPr>
        <w:t xml:space="preserve">he </w:t>
      </w:r>
      <w:r w:rsidRPr="001E21AD">
        <w:t xml:space="preserve">IEEE </w:t>
      </w:r>
      <w:r w:rsidR="00707B9A">
        <w:t>P</w:t>
      </w:r>
      <w:r w:rsidRPr="001E21AD">
        <w:t>802.19 working group is currently preparing a</w:t>
      </w:r>
      <w:r w:rsidRPr="001E21AD">
        <w:rPr>
          <w:rFonts w:hint="eastAsia"/>
        </w:rPr>
        <w:t xml:space="preserve"> draft</w:t>
      </w:r>
      <w:r w:rsidRPr="001E21AD">
        <w:t xml:space="preserve"> standard</w:t>
      </w:r>
      <w:r w:rsidRPr="001E21AD">
        <w:rPr>
          <w:rFonts w:hint="eastAsia"/>
        </w:rPr>
        <w:t>. The first draft standard is expected in 2012.</w:t>
      </w:r>
      <w:r w:rsidRPr="001E21AD">
        <w:t xml:space="preserve">  The plan is to begin sponsor ballot in early 2013 and for the standard to be published in late 2013.</w:t>
      </w:r>
    </w:p>
    <w:p w:rsidR="007A1E28" w:rsidRDefault="007A1E28" w:rsidP="007A1E28">
      <w:pPr>
        <w:pStyle w:val="ListParagraph"/>
        <w:ind w:left="360"/>
        <w:rPr>
          <w:b/>
          <w:sz w:val="28"/>
          <w:szCs w:val="28"/>
        </w:rPr>
      </w:pPr>
    </w:p>
    <w:p w:rsidR="00C16E8A" w:rsidRDefault="00C16E8A" w:rsidP="00C16E8A">
      <w:pPr>
        <w:pStyle w:val="ListParagraph"/>
        <w:rPr>
          <w:b/>
          <w:sz w:val="28"/>
          <w:szCs w:val="28"/>
        </w:rPr>
      </w:pPr>
    </w:p>
    <w:p w:rsidR="00C16E8A" w:rsidRDefault="00707B9A" w:rsidP="00C16E8A">
      <w:pPr>
        <w:pStyle w:val="ListParagraph"/>
        <w:numPr>
          <w:ilvl w:val="0"/>
          <w:numId w:val="1"/>
          <w:numberingChange w:id="7" w:author="John H Notor" w:date="2011-05-12T11:29:00Z" w:original="%1:4:0:."/>
        </w:numPr>
        <w:rPr>
          <w:b/>
          <w:sz w:val="28"/>
          <w:szCs w:val="28"/>
        </w:rPr>
      </w:pPr>
      <w:r>
        <w:rPr>
          <w:b/>
          <w:sz w:val="28"/>
          <w:szCs w:val="28"/>
        </w:rPr>
        <w:t>IEEE P</w:t>
      </w:r>
      <w:r w:rsidR="00C16E8A">
        <w:rPr>
          <w:b/>
          <w:sz w:val="28"/>
          <w:szCs w:val="28"/>
        </w:rPr>
        <w:t>802.15</w:t>
      </w:r>
      <w:r w:rsidR="00BA2A4E">
        <w:rPr>
          <w:b/>
          <w:sz w:val="28"/>
          <w:szCs w:val="28"/>
        </w:rPr>
        <w:t xml:space="preserve"> Wireless Personal Area Networks (WPAN)</w:t>
      </w:r>
    </w:p>
    <w:p w:rsidR="002921E8" w:rsidRDefault="002921E8" w:rsidP="002921E8">
      <w:pPr>
        <w:pStyle w:val="ListParagraph"/>
        <w:ind w:left="360"/>
        <w:rPr>
          <w:b/>
          <w:sz w:val="28"/>
          <w:szCs w:val="28"/>
        </w:rPr>
      </w:pPr>
    </w:p>
    <w:p w:rsidR="003D5FFB" w:rsidRPr="00406799" w:rsidRDefault="003D5FFB" w:rsidP="003D5FFB">
      <w:pPr>
        <w:ind w:firstLine="720"/>
      </w:pPr>
      <w:r>
        <w:rPr>
          <w:rFonts w:hint="eastAsia"/>
        </w:rPr>
        <w:t xml:space="preserve">A </w:t>
      </w:r>
      <w:r w:rsidRPr="00406799">
        <w:t>Study Group (SG)</w:t>
      </w:r>
      <w:r>
        <w:rPr>
          <w:rFonts w:hint="eastAsia"/>
        </w:rPr>
        <w:t xml:space="preserve"> for </w:t>
      </w:r>
      <w:r w:rsidR="00F436D8">
        <w:t xml:space="preserve">the </w:t>
      </w:r>
      <w:r>
        <w:rPr>
          <w:rFonts w:hint="eastAsia"/>
        </w:rPr>
        <w:t xml:space="preserve">IEEE </w:t>
      </w:r>
      <w:r w:rsidR="00707B9A">
        <w:t>P</w:t>
      </w:r>
      <w:r>
        <w:rPr>
          <w:rFonts w:hint="eastAsia"/>
        </w:rPr>
        <w:t>802.15 Working Group was formed</w:t>
      </w:r>
      <w:r w:rsidRPr="00406799">
        <w:t xml:space="preserve"> in Jan</w:t>
      </w:r>
      <w:r w:rsidR="000351AB">
        <w:t>uary</w:t>
      </w:r>
      <w:r w:rsidRPr="00406799">
        <w:t xml:space="preserve"> 2011</w:t>
      </w:r>
      <w:r>
        <w:rPr>
          <w:rFonts w:hint="eastAsia"/>
        </w:rPr>
        <w:t xml:space="preserve"> to investigate the potential of IEEE </w:t>
      </w:r>
      <w:r w:rsidR="00707B9A">
        <w:t>P</w:t>
      </w:r>
      <w:r>
        <w:rPr>
          <w:rFonts w:hint="eastAsia"/>
        </w:rPr>
        <w:t xml:space="preserve">802.15.4 Low Rate Wireless Personal Area Network (WPAN) </w:t>
      </w:r>
      <w:r w:rsidR="00F436D8">
        <w:rPr>
          <w:rFonts w:hint="eastAsia"/>
        </w:rPr>
        <w:t>operat</w:t>
      </w:r>
      <w:r w:rsidR="00F436D8">
        <w:t>ion</w:t>
      </w:r>
      <w:r w:rsidR="00F436D8">
        <w:rPr>
          <w:rFonts w:hint="eastAsia"/>
        </w:rPr>
        <w:t xml:space="preserve"> </w:t>
      </w:r>
      <w:r>
        <w:rPr>
          <w:rFonts w:hint="eastAsia"/>
        </w:rPr>
        <w:t xml:space="preserve">in the TV </w:t>
      </w:r>
      <w:r w:rsidR="00FF3AAD">
        <w:rPr>
          <w:rFonts w:hint="eastAsia"/>
        </w:rPr>
        <w:t>White Space</w:t>
      </w:r>
      <w:r w:rsidRPr="00406799">
        <w:t xml:space="preserve">. The SG is </w:t>
      </w:r>
      <w:r w:rsidR="00F436D8">
        <w:t>preparing</w:t>
      </w:r>
      <w:r w:rsidRPr="00406799">
        <w:t xml:space="preserve"> the Project Authorization Request (PAR) and 5 Criteria (5C) documents. The first drafts of both documents are expected to </w:t>
      </w:r>
      <w:r>
        <w:rPr>
          <w:rFonts w:hint="eastAsia"/>
        </w:rPr>
        <w:t xml:space="preserve">be </w:t>
      </w:r>
      <w:r w:rsidRPr="00406799">
        <w:t xml:space="preserve">ready in </w:t>
      </w:r>
      <w:r w:rsidR="003E51FF">
        <w:t>July</w:t>
      </w:r>
      <w:r w:rsidR="003E51FF" w:rsidRPr="00406799">
        <w:t xml:space="preserve"> </w:t>
      </w:r>
      <w:r w:rsidRPr="00406799">
        <w:t>2011.</w:t>
      </w:r>
    </w:p>
    <w:p w:rsidR="003D5FFB" w:rsidRPr="00406799" w:rsidRDefault="003D5FFB" w:rsidP="003D5FFB">
      <w:pPr>
        <w:ind w:firstLine="720"/>
      </w:pPr>
    </w:p>
    <w:p w:rsidR="003D5FFB" w:rsidRPr="00406799" w:rsidRDefault="003D5FFB" w:rsidP="003D5FFB">
      <w:pPr>
        <w:ind w:firstLine="720"/>
      </w:pPr>
      <w:r w:rsidRPr="00406799">
        <w:t xml:space="preserve">Recent regulations have allowed unlicensed devices to operate in the TV white space. Operation in the TV </w:t>
      </w:r>
      <w:r w:rsidR="00FF3AAD">
        <w:t>White Space</w:t>
      </w:r>
      <w:r w:rsidRPr="00406799">
        <w:t xml:space="preserve"> is </w:t>
      </w:r>
      <w:r w:rsidR="00CB3AF1">
        <w:t>intended</w:t>
      </w:r>
      <w:r w:rsidR="00CB3AF1" w:rsidRPr="00406799">
        <w:t xml:space="preserve"> </w:t>
      </w:r>
      <w:r w:rsidRPr="00406799">
        <w:t xml:space="preserve">for low rate WPAN to deploy </w:t>
      </w:r>
      <w:proofErr w:type="gramStart"/>
      <w:r w:rsidRPr="00406799">
        <w:t>large scale</w:t>
      </w:r>
      <w:proofErr w:type="gramEnd"/>
      <w:r w:rsidRPr="00406799">
        <w:t xml:space="preserve"> </w:t>
      </w:r>
      <w:r w:rsidR="00A67C61">
        <w:t xml:space="preserve">device </w:t>
      </w:r>
      <w:r w:rsidRPr="00406799">
        <w:t xml:space="preserve">command and control applications with minimal infrastructure. </w:t>
      </w:r>
      <w:r>
        <w:rPr>
          <w:rFonts w:hint="eastAsia"/>
        </w:rPr>
        <w:t xml:space="preserve">Examples of possible applications </w:t>
      </w:r>
      <w:r w:rsidR="00A67C61">
        <w:t xml:space="preserve">include </w:t>
      </w:r>
      <w:r>
        <w:rPr>
          <w:rFonts w:hint="eastAsia"/>
        </w:rPr>
        <w:t xml:space="preserve">smart metering networks, advanced sensor networks and telemetry systems. </w:t>
      </w:r>
      <w:r w:rsidRPr="00406799">
        <w:t xml:space="preserve">This project is needed to make the necessary changes to enable optimal operation of low rate WPAN in the TV </w:t>
      </w:r>
      <w:r w:rsidR="00FF3AAD">
        <w:t>White Space</w:t>
      </w:r>
      <w:r w:rsidRPr="00406799">
        <w:t>.</w:t>
      </w:r>
    </w:p>
    <w:p w:rsidR="003D5FFB" w:rsidRPr="00406799" w:rsidRDefault="003D5FFB" w:rsidP="003D5FFB">
      <w:pPr>
        <w:ind w:firstLine="720"/>
      </w:pPr>
    </w:p>
    <w:p w:rsidR="00EF0ECB" w:rsidRDefault="003D5FFB" w:rsidP="003D5FFB">
      <w:pPr>
        <w:ind w:firstLine="720"/>
      </w:pPr>
      <w:r w:rsidRPr="003D5FFB">
        <w:t xml:space="preserve">This will be an amendment to IEEE </w:t>
      </w:r>
      <w:r w:rsidR="00707B9A">
        <w:t>P</w:t>
      </w:r>
      <w:r w:rsidRPr="003D5FFB">
        <w:t>802.15.4</w:t>
      </w:r>
      <w:r w:rsidRPr="003D5FFB">
        <w:rPr>
          <w:rFonts w:hint="eastAsia"/>
        </w:rPr>
        <w:t xml:space="preserve"> standard</w:t>
      </w:r>
      <w:r w:rsidRPr="003D5FFB">
        <w:t xml:space="preserve">. It addresses principally </w:t>
      </w:r>
      <w:r w:rsidR="00707B9A">
        <w:t>the P</w:t>
      </w:r>
      <w:r w:rsidRPr="003D5FFB">
        <w:t xml:space="preserve">802.15.4 </w:t>
      </w:r>
      <w:r w:rsidR="00CB3AF1">
        <w:t xml:space="preserve">device </w:t>
      </w:r>
      <w:r w:rsidRPr="003D5FFB">
        <w:t xml:space="preserve">command and control applications in the TV </w:t>
      </w:r>
      <w:r w:rsidR="00FF3AAD">
        <w:t>White Space</w:t>
      </w:r>
      <w:r w:rsidRPr="003D5FFB">
        <w:t xml:space="preserve">. It will specify physical (PHY) and medium access control (MAC) amendments to meet regulatory requirements. The amendment </w:t>
      </w:r>
      <w:r w:rsidR="00EF0ECB">
        <w:t>will enable</w:t>
      </w:r>
      <w:r w:rsidR="00EF0ECB" w:rsidRPr="003D5FFB">
        <w:t xml:space="preserve"> </w:t>
      </w:r>
      <w:r w:rsidRPr="003D5FFB">
        <w:t xml:space="preserve">operation in the available TV </w:t>
      </w:r>
      <w:r w:rsidR="00FF3AAD">
        <w:t>White Space</w:t>
      </w:r>
      <w:r w:rsidRPr="003D5FFB">
        <w:t xml:space="preserve"> to realize </w:t>
      </w:r>
      <w:r w:rsidR="003148CC">
        <w:t>effective</w:t>
      </w:r>
      <w:r w:rsidR="003148CC" w:rsidRPr="003D5FFB">
        <w:t xml:space="preserve"> </w:t>
      </w:r>
      <w:r w:rsidR="00CB3AF1">
        <w:t xml:space="preserve">device </w:t>
      </w:r>
      <w:r w:rsidRPr="003D5FFB">
        <w:t xml:space="preserve">command and control applications. </w:t>
      </w:r>
    </w:p>
    <w:p w:rsidR="003D5FFB" w:rsidRPr="003D5FFB" w:rsidRDefault="003D5FFB" w:rsidP="003D5FFB">
      <w:pPr>
        <w:ind w:firstLine="720"/>
      </w:pPr>
    </w:p>
    <w:p w:rsidR="00C16E8A" w:rsidRDefault="00C16E8A" w:rsidP="00C16E8A">
      <w:pPr>
        <w:pStyle w:val="ListParagraph"/>
        <w:ind w:left="0"/>
        <w:rPr>
          <w:b/>
          <w:sz w:val="28"/>
          <w:szCs w:val="28"/>
        </w:rPr>
      </w:pPr>
    </w:p>
    <w:p w:rsidR="00C16E8A" w:rsidRDefault="00707B9A" w:rsidP="00C16E8A">
      <w:pPr>
        <w:pStyle w:val="ListParagraph"/>
        <w:numPr>
          <w:ilvl w:val="0"/>
          <w:numId w:val="1"/>
          <w:numberingChange w:id="8" w:author="John H Notor" w:date="2011-05-12T11:29:00Z" w:original="%1:5:0:."/>
        </w:numPr>
        <w:rPr>
          <w:b/>
          <w:sz w:val="28"/>
          <w:szCs w:val="28"/>
        </w:rPr>
      </w:pPr>
      <w:r>
        <w:rPr>
          <w:b/>
          <w:sz w:val="28"/>
          <w:szCs w:val="28"/>
        </w:rPr>
        <w:t>IEEE P</w:t>
      </w:r>
      <w:r w:rsidR="00C16E8A">
        <w:rPr>
          <w:b/>
          <w:sz w:val="28"/>
          <w:szCs w:val="28"/>
        </w:rPr>
        <w:t>802.1</w:t>
      </w:r>
      <w:r w:rsidR="005278F7">
        <w:rPr>
          <w:b/>
          <w:sz w:val="28"/>
          <w:szCs w:val="28"/>
        </w:rPr>
        <w:t>1</w:t>
      </w:r>
      <w:r w:rsidR="00BA2A4E">
        <w:rPr>
          <w:b/>
          <w:sz w:val="28"/>
          <w:szCs w:val="28"/>
        </w:rPr>
        <w:t xml:space="preserve"> Wireless Local Area Networks (WLAN)</w:t>
      </w:r>
    </w:p>
    <w:p w:rsidR="001E21AD" w:rsidRDefault="001E21AD" w:rsidP="001E21AD">
      <w:pPr>
        <w:ind w:firstLine="720"/>
      </w:pPr>
    </w:p>
    <w:p w:rsidR="001E21AD" w:rsidRDefault="001E21AD" w:rsidP="001E21AD">
      <w:pPr>
        <w:ind w:firstLine="720"/>
      </w:pPr>
      <w:r w:rsidRPr="001E21AD">
        <w:t xml:space="preserve">The </w:t>
      </w:r>
      <w:r w:rsidR="00707B9A">
        <w:t xml:space="preserve">IEEE </w:t>
      </w:r>
      <w:r w:rsidRPr="001E21AD">
        <w:t>P802.11</w:t>
      </w:r>
      <w:r w:rsidR="005278F7">
        <w:t xml:space="preserve">af </w:t>
      </w:r>
      <w:r w:rsidR="00707B9A">
        <w:t>amendment to the P802.11 standard began</w:t>
      </w:r>
      <w:r w:rsidRPr="001E21AD">
        <w:t xml:space="preserve"> in </w:t>
      </w:r>
      <w:proofErr w:type="gramStart"/>
      <w:r w:rsidRPr="001E21AD">
        <w:t>January</w:t>
      </w:r>
      <w:r w:rsidR="00707B9A">
        <w:t>,</w:t>
      </w:r>
      <w:proofErr w:type="gramEnd"/>
      <w:r w:rsidR="00707B9A">
        <w:t xml:space="preserve"> </w:t>
      </w:r>
      <w:r w:rsidRPr="001E21AD">
        <w:t xml:space="preserve">2010, </w:t>
      </w:r>
      <w:r w:rsidR="00707B9A">
        <w:t>as</w:t>
      </w:r>
      <w:r w:rsidRPr="001E21AD">
        <w:t xml:space="preserve"> “An amendment that defines modifications to both the 802.11 physical layers (PHY) and the 802.11 Medium Access Control Layer (MAC), to meet the legal requirements for channel access and coexistence in the TV White Space”. The Task Group (</w:t>
      </w:r>
      <w:proofErr w:type="spellStart"/>
      <w:r w:rsidRPr="001E21AD">
        <w:t>TGaf</w:t>
      </w:r>
      <w:proofErr w:type="spellEnd"/>
      <w:r w:rsidRPr="001E21AD">
        <w:t>) has been working primarily on understanding the regulatory requirements, where they exist, and defining the amendment to meet the coexistence and non-interference requirements in the various regulatory domains.</w:t>
      </w:r>
    </w:p>
    <w:p w:rsidR="001E21AD" w:rsidRPr="001E21AD" w:rsidRDefault="001E21AD" w:rsidP="001E21AD">
      <w:pPr>
        <w:ind w:firstLine="720"/>
      </w:pPr>
    </w:p>
    <w:p w:rsidR="001E21AD" w:rsidRPr="001E21AD" w:rsidRDefault="001E21AD" w:rsidP="001E21AD">
      <w:pPr>
        <w:ind w:firstLine="720"/>
      </w:pPr>
      <w:r w:rsidRPr="001E21AD">
        <w:t xml:space="preserve">Basing </w:t>
      </w:r>
      <w:r w:rsidR="00600B08">
        <w:t>the</w:t>
      </w:r>
      <w:r w:rsidR="00600B08" w:rsidRPr="001E21AD">
        <w:t xml:space="preserve"> </w:t>
      </w:r>
      <w:r w:rsidRPr="001E21AD">
        <w:t xml:space="preserve">initial work on the rules </w:t>
      </w:r>
      <w:r w:rsidR="00707B9A">
        <w:t>created by the US Federal Communications Commission</w:t>
      </w:r>
      <w:r w:rsidR="008260A1">
        <w:t>,</w:t>
      </w:r>
      <w:r w:rsidR="00707B9A">
        <w:t xml:space="preserve"> in </w:t>
      </w:r>
      <w:r w:rsidRPr="001E21AD">
        <w:t>FCC 08-260</w:t>
      </w:r>
      <w:r w:rsidR="00FF2C93" w:rsidRPr="00FF2C93">
        <w:rPr>
          <w:vertAlign w:val="superscript"/>
        </w:rPr>
        <w:t>(</w:t>
      </w:r>
      <w:r w:rsidR="00F168C6">
        <w:rPr>
          <w:vertAlign w:val="superscript"/>
        </w:rPr>
        <w:t>6</w:t>
      </w:r>
      <w:r w:rsidR="00FF2C93" w:rsidRPr="00FF2C93">
        <w:rPr>
          <w:vertAlign w:val="superscript"/>
        </w:rPr>
        <w:t>)</w:t>
      </w:r>
      <w:r w:rsidRPr="001E21AD">
        <w:t xml:space="preserve">, </w:t>
      </w:r>
      <w:r w:rsidR="002A25F0">
        <w:t xml:space="preserve">the </w:t>
      </w:r>
      <w:r w:rsidRPr="001E21AD">
        <w:t xml:space="preserve">project </w:t>
      </w:r>
      <w:r w:rsidR="002A25F0">
        <w:t>plan targeted</w:t>
      </w:r>
      <w:r w:rsidRPr="001E21AD">
        <w:t xml:space="preserve"> the end of 2012 as a completion date.  Changes in these regulations in the United States</w:t>
      </w:r>
      <w:r w:rsidR="006512E4">
        <w:t xml:space="preserve"> </w:t>
      </w:r>
      <w:r w:rsidRPr="001E21AD">
        <w:t xml:space="preserve">and the efforts to open these bands for unlicensed sharing both in </w:t>
      </w:r>
      <w:r w:rsidR="00D969B5">
        <w:t xml:space="preserve">the United Kingdom by </w:t>
      </w:r>
      <w:proofErr w:type="spellStart"/>
      <w:r w:rsidRPr="001E21AD">
        <w:t>Ofcom</w:t>
      </w:r>
      <w:proofErr w:type="spellEnd"/>
      <w:r w:rsidRPr="001E21AD">
        <w:t xml:space="preserve"> and </w:t>
      </w:r>
      <w:r w:rsidR="00D969B5">
        <w:t xml:space="preserve">in the EU by the </w:t>
      </w:r>
      <w:r w:rsidR="00847A7F">
        <w:t>Electronic</w:t>
      </w:r>
      <w:r w:rsidR="00D969B5">
        <w:t xml:space="preserve"> Communications Commission </w:t>
      </w:r>
      <w:r w:rsidRPr="001E21AD">
        <w:t xml:space="preserve">have </w:t>
      </w:r>
      <w:r w:rsidR="00E40EED">
        <w:t>le</w:t>
      </w:r>
      <w:r w:rsidR="001560B8">
        <w:t xml:space="preserve">d to </w:t>
      </w:r>
      <w:r w:rsidRPr="001E21AD">
        <w:t xml:space="preserve">major modifications in </w:t>
      </w:r>
      <w:r w:rsidR="001560B8">
        <w:t>the</w:t>
      </w:r>
      <w:r w:rsidR="001560B8" w:rsidRPr="001E21AD">
        <w:t xml:space="preserve"> </w:t>
      </w:r>
      <w:r w:rsidRPr="001E21AD">
        <w:t>architecture, physical layer selection and security considerations.</w:t>
      </w:r>
    </w:p>
    <w:p w:rsidR="00D969B5" w:rsidRDefault="00D969B5" w:rsidP="001E21AD">
      <w:pPr>
        <w:ind w:firstLine="720"/>
      </w:pPr>
    </w:p>
    <w:p w:rsidR="001E21AD" w:rsidRDefault="001E21AD" w:rsidP="001E21AD">
      <w:pPr>
        <w:ind w:firstLine="720"/>
      </w:pPr>
      <w:r w:rsidRPr="001E21AD">
        <w:t>Currently</w:t>
      </w:r>
      <w:r w:rsidR="00D969B5">
        <w:t>,</w:t>
      </w:r>
      <w:r w:rsidRPr="001E21AD">
        <w:t xml:space="preserve"> </w:t>
      </w:r>
      <w:r w:rsidR="00E05035">
        <w:t>the task group is</w:t>
      </w:r>
      <w:r w:rsidRPr="001E21AD">
        <w:t xml:space="preserve"> developing </w:t>
      </w:r>
      <w:r w:rsidR="00E05035">
        <w:t xml:space="preserve">the </w:t>
      </w:r>
      <w:r w:rsidRPr="001E21AD">
        <w:t xml:space="preserve">second </w:t>
      </w:r>
      <w:proofErr w:type="gramStart"/>
      <w:r w:rsidRPr="001E21AD">
        <w:t>draft which</w:t>
      </w:r>
      <w:proofErr w:type="gramEnd"/>
      <w:r w:rsidRPr="001E21AD">
        <w:t xml:space="preserve"> </w:t>
      </w:r>
      <w:r w:rsidR="00E05035">
        <w:t>is</w:t>
      </w:r>
      <w:r w:rsidR="00E05035" w:rsidRPr="001E21AD">
        <w:t xml:space="preserve"> </w:t>
      </w:r>
      <w:r w:rsidRPr="001E21AD">
        <w:t>expect</w:t>
      </w:r>
      <w:r w:rsidR="00E05035">
        <w:t xml:space="preserve">ed to </w:t>
      </w:r>
      <w:r w:rsidR="00D969B5">
        <w:t>receive P</w:t>
      </w:r>
      <w:r w:rsidRPr="001E21AD">
        <w:t xml:space="preserve">802.11 Working Group approval </w:t>
      </w:r>
      <w:r w:rsidR="00D969B5">
        <w:t>in</w:t>
      </w:r>
      <w:r w:rsidRPr="001E21AD">
        <w:t xml:space="preserve"> September</w:t>
      </w:r>
      <w:r w:rsidR="00D969B5">
        <w:t xml:space="preserve">, </w:t>
      </w:r>
      <w:r w:rsidRPr="001E21AD">
        <w:t>2011</w:t>
      </w:r>
      <w:r w:rsidR="00D41187">
        <w:t xml:space="preserve"> and </w:t>
      </w:r>
      <w:r w:rsidR="00D969B5">
        <w:t>will likely be published</w:t>
      </w:r>
      <w:r w:rsidRPr="001E21AD">
        <w:t xml:space="preserve"> in late 2013.</w:t>
      </w:r>
    </w:p>
    <w:p w:rsidR="001E21AD" w:rsidRPr="001E21AD" w:rsidRDefault="001E21AD" w:rsidP="001E21AD">
      <w:pPr>
        <w:ind w:firstLine="720"/>
      </w:pPr>
    </w:p>
    <w:p w:rsidR="001E21AD" w:rsidRDefault="001E21AD" w:rsidP="001E21AD">
      <w:pPr>
        <w:ind w:firstLine="720"/>
      </w:pPr>
      <w:r w:rsidRPr="001E21AD">
        <w:t xml:space="preserve">P802.11af is an amendment to the </w:t>
      </w:r>
      <w:r w:rsidR="00D002B1">
        <w:t>P</w:t>
      </w:r>
      <w:r w:rsidRPr="001E21AD">
        <w:t xml:space="preserve">802.11 base standard, </w:t>
      </w:r>
      <w:r>
        <w:t xml:space="preserve">also known </w:t>
      </w:r>
      <w:r w:rsidR="00D002B1">
        <w:t xml:space="preserve">commercially </w:t>
      </w:r>
      <w:r>
        <w:t>as</w:t>
      </w:r>
      <w:r w:rsidRPr="001E21AD">
        <w:t xml:space="preserve"> Wi-Fi</w:t>
      </w:r>
      <w:r>
        <w:t>™</w:t>
      </w:r>
      <w:r w:rsidRPr="001E21AD">
        <w:t xml:space="preserve">, utilizing an authorized </w:t>
      </w:r>
      <w:proofErr w:type="spellStart"/>
      <w:r w:rsidRPr="001E21AD">
        <w:t>geolocation</w:t>
      </w:r>
      <w:proofErr w:type="spellEnd"/>
      <w:r w:rsidRPr="001E21AD">
        <w:t xml:space="preserve"> database for the determination of where, when and how </w:t>
      </w:r>
      <w:r w:rsidR="00D002B1">
        <w:t>networks</w:t>
      </w:r>
      <w:r w:rsidR="00D002B1" w:rsidRPr="001E21AD">
        <w:t xml:space="preserve"> </w:t>
      </w:r>
      <w:r w:rsidRPr="001E21AD">
        <w:t xml:space="preserve">may operate.  As proposed, or as in the case of the US rules, the database informs the 802.11af </w:t>
      </w:r>
      <w:r w:rsidR="00D002B1">
        <w:t>network</w:t>
      </w:r>
      <w:r w:rsidR="00D002B1" w:rsidRPr="001E21AD">
        <w:t xml:space="preserve"> </w:t>
      </w:r>
      <w:r w:rsidRPr="001E21AD">
        <w:t xml:space="preserve">of the channels </w:t>
      </w:r>
      <w:r w:rsidR="00D002B1">
        <w:t xml:space="preserve">available </w:t>
      </w:r>
      <w:r w:rsidRPr="001E21AD">
        <w:t xml:space="preserve">to enable the </w:t>
      </w:r>
      <w:r w:rsidR="00D002B1">
        <w:t xml:space="preserve">network </w:t>
      </w:r>
      <w:r w:rsidRPr="001E21AD">
        <w:t xml:space="preserve">to find an </w:t>
      </w:r>
      <w:r w:rsidR="00D002B1">
        <w:t>authorized</w:t>
      </w:r>
      <w:r w:rsidR="00D002B1" w:rsidRPr="001E21AD">
        <w:t xml:space="preserve"> </w:t>
      </w:r>
      <w:r w:rsidRPr="001E21AD">
        <w:t>frequency of operation</w:t>
      </w:r>
      <w:r w:rsidR="00D002B1">
        <w:t>.</w:t>
      </w:r>
      <w:r w:rsidRPr="001E21AD">
        <w:t xml:space="preserve"> </w:t>
      </w:r>
      <w:r w:rsidR="00D002B1">
        <w:t xml:space="preserve">The database operation enforces </w:t>
      </w:r>
      <w:r w:rsidRPr="001E21AD">
        <w:t xml:space="preserve">regulatory requirements </w:t>
      </w:r>
      <w:r w:rsidR="00D002B1">
        <w:t>protecting the operation of</w:t>
      </w:r>
      <w:r w:rsidRPr="001E21AD">
        <w:t xml:space="preserve"> licensed</w:t>
      </w:r>
      <w:r w:rsidR="00D002B1">
        <w:t xml:space="preserve"> </w:t>
      </w:r>
      <w:r w:rsidRPr="001E21AD">
        <w:t xml:space="preserve">devices in its geographical area. It also incorporates mechanisms to operate with </w:t>
      </w:r>
      <w:r w:rsidR="00D002B1">
        <w:t>other kinds of</w:t>
      </w:r>
      <w:r w:rsidR="00D002B1" w:rsidRPr="001E21AD">
        <w:t xml:space="preserve"> </w:t>
      </w:r>
      <w:r w:rsidRPr="001E21AD">
        <w:t>databases that provide additional time-sensitive information</w:t>
      </w:r>
      <w:r w:rsidR="00D002B1">
        <w:t xml:space="preserve"> beyond what is currently planned in the FCC</w:t>
      </w:r>
      <w:r w:rsidR="006E3267">
        <w:t xml:space="preserve"> regulatory environment</w:t>
      </w:r>
      <w:r w:rsidRPr="001E21AD">
        <w:t>.</w:t>
      </w:r>
    </w:p>
    <w:p w:rsidR="001E21AD" w:rsidRPr="001E21AD" w:rsidRDefault="001E21AD" w:rsidP="001E21AD">
      <w:pPr>
        <w:ind w:firstLine="720"/>
      </w:pPr>
    </w:p>
    <w:p w:rsidR="00C16E8A" w:rsidRDefault="001E21AD" w:rsidP="009925B5">
      <w:pPr>
        <w:ind w:firstLine="720"/>
      </w:pPr>
      <w:r w:rsidRPr="001E21AD">
        <w:t xml:space="preserve">The P802.11af proposed physical layer uses the latest advances in RLAN technology, based on the work being done in IEEE P802.11ac, scaled to the TV channel specifications for license-exempt use, </w:t>
      </w:r>
      <w:r w:rsidR="00641F72">
        <w:t>including mechanisms</w:t>
      </w:r>
      <w:r w:rsidRPr="001E21AD">
        <w:t xml:space="preserve"> for bonding two contiguous or non-contiguous channels.  </w:t>
      </w:r>
      <w:r w:rsidR="00641F72">
        <w:t xml:space="preserve">These advanced protocols </w:t>
      </w:r>
      <w:r w:rsidR="00B80E33">
        <w:t xml:space="preserve">are intended to </w:t>
      </w:r>
      <w:r w:rsidR="00AC2F43">
        <w:t xml:space="preserve">make </w:t>
      </w:r>
      <w:r w:rsidR="00B80E33">
        <w:t>efficient</w:t>
      </w:r>
      <w:r w:rsidR="00AC2F43">
        <w:t xml:space="preserve"> use of available spectrum </w:t>
      </w:r>
      <w:r w:rsidRPr="001E21AD">
        <w:t xml:space="preserve">to meet the growing demands for streaming of data, voice and compressed multimedia. </w:t>
      </w:r>
    </w:p>
    <w:p w:rsidR="00C16E8A" w:rsidRDefault="00C16E8A" w:rsidP="00C16E8A">
      <w:pPr>
        <w:pStyle w:val="ListParagraph"/>
        <w:ind w:left="0"/>
        <w:rPr>
          <w:b/>
          <w:sz w:val="28"/>
          <w:szCs w:val="28"/>
        </w:rPr>
      </w:pPr>
    </w:p>
    <w:p w:rsidR="00286CE8" w:rsidRDefault="00286CE8" w:rsidP="00C16E8A">
      <w:pPr>
        <w:pStyle w:val="ListParagraph"/>
        <w:ind w:left="0"/>
        <w:rPr>
          <w:b/>
          <w:sz w:val="28"/>
          <w:szCs w:val="28"/>
        </w:rPr>
      </w:pPr>
    </w:p>
    <w:p w:rsidR="00286CE8" w:rsidRDefault="00286CE8" w:rsidP="00C16E8A">
      <w:pPr>
        <w:pStyle w:val="ListParagraph"/>
        <w:ind w:left="0"/>
        <w:rPr>
          <w:b/>
          <w:sz w:val="28"/>
          <w:szCs w:val="28"/>
        </w:rPr>
      </w:pPr>
    </w:p>
    <w:p w:rsidR="00B050E0" w:rsidRDefault="00B050E0">
      <w:pPr>
        <w:pStyle w:val="ListParagraph"/>
        <w:ind w:left="360"/>
        <w:rPr>
          <w:b/>
          <w:sz w:val="28"/>
          <w:szCs w:val="28"/>
        </w:rPr>
      </w:pPr>
    </w:p>
    <w:p w:rsidR="00C16E8A" w:rsidRDefault="00C16E8A" w:rsidP="00C16E8A">
      <w:pPr>
        <w:pStyle w:val="ListParagraph"/>
        <w:numPr>
          <w:ilvl w:val="0"/>
          <w:numId w:val="1"/>
          <w:numberingChange w:id="9" w:author="John H Notor" w:date="2011-05-12T11:29:00Z" w:original="%1:6:0:."/>
        </w:numPr>
        <w:rPr>
          <w:b/>
          <w:sz w:val="28"/>
          <w:szCs w:val="28"/>
        </w:rPr>
      </w:pPr>
      <w:r>
        <w:rPr>
          <w:b/>
          <w:sz w:val="28"/>
          <w:szCs w:val="28"/>
        </w:rPr>
        <w:t>Conclusion</w:t>
      </w:r>
    </w:p>
    <w:p w:rsidR="00C16E8A" w:rsidRDefault="00C16E8A" w:rsidP="00C16E8A">
      <w:pPr>
        <w:pStyle w:val="ListParagraph"/>
        <w:ind w:left="0"/>
        <w:rPr>
          <w:b/>
          <w:sz w:val="28"/>
          <w:szCs w:val="28"/>
        </w:rPr>
      </w:pPr>
    </w:p>
    <w:p w:rsidR="009925B5" w:rsidRPr="00112745" w:rsidRDefault="00192475" w:rsidP="00112745">
      <w:pPr>
        <w:ind w:firstLine="720"/>
      </w:pPr>
      <w:r>
        <w:t>The contribution</w:t>
      </w:r>
      <w:r w:rsidR="00112745" w:rsidRPr="00112745">
        <w:t xml:space="preserve"> summarize</w:t>
      </w:r>
      <w:r w:rsidR="009E6A17">
        <w:t>s</w:t>
      </w:r>
      <w:r w:rsidR="00112745" w:rsidRPr="00112745">
        <w:t xml:space="preserve"> the current and future IEEE 802 projects that address new opportunities for spectrum utilization in the TVWS.  </w:t>
      </w:r>
      <w:r w:rsidR="009E6A17">
        <w:t>The</w:t>
      </w:r>
      <w:r w:rsidR="00112745" w:rsidRPr="00112745">
        <w:t xml:space="preserve"> information presented here </w:t>
      </w:r>
      <w:r w:rsidR="009E6A17">
        <w:t>may</w:t>
      </w:r>
      <w:r w:rsidR="009E6A17" w:rsidRPr="00112745">
        <w:t xml:space="preserve"> </w:t>
      </w:r>
      <w:r w:rsidR="00112745" w:rsidRPr="00112745">
        <w:t>be of interest to the ITU-R membership.</w:t>
      </w:r>
    </w:p>
    <w:p w:rsidR="00C16E8A" w:rsidRPr="00112745" w:rsidRDefault="00C16E8A" w:rsidP="00112745">
      <w:pPr>
        <w:ind w:firstLine="720"/>
      </w:pPr>
    </w:p>
    <w:p w:rsidR="00C16E8A" w:rsidRDefault="00C16E8A" w:rsidP="00C16E8A">
      <w:pPr>
        <w:pStyle w:val="ListParagraph"/>
        <w:ind w:left="0"/>
        <w:rPr>
          <w:b/>
          <w:sz w:val="28"/>
          <w:szCs w:val="28"/>
        </w:rPr>
      </w:pPr>
    </w:p>
    <w:p w:rsidR="00C16E8A" w:rsidRDefault="00C16E8A" w:rsidP="00C16E8A">
      <w:pPr>
        <w:pStyle w:val="ListParagraph"/>
        <w:numPr>
          <w:ilvl w:val="0"/>
          <w:numId w:val="1"/>
          <w:numberingChange w:id="10" w:author="John H Notor" w:date="2011-05-12T11:29:00Z" w:original="%1:7:0:."/>
        </w:numPr>
        <w:rPr>
          <w:b/>
          <w:sz w:val="28"/>
          <w:szCs w:val="28"/>
        </w:rPr>
      </w:pPr>
      <w:r>
        <w:rPr>
          <w:b/>
          <w:sz w:val="28"/>
          <w:szCs w:val="28"/>
        </w:rPr>
        <w:t>References</w:t>
      </w:r>
    </w:p>
    <w:p w:rsidR="00C16E8A" w:rsidRDefault="00C16E8A" w:rsidP="00C16E8A">
      <w:pPr>
        <w:pStyle w:val="ListParagraph"/>
        <w:ind w:left="0"/>
        <w:rPr>
          <w:b/>
          <w:sz w:val="28"/>
          <w:szCs w:val="28"/>
        </w:rPr>
      </w:pPr>
    </w:p>
    <w:p w:rsidR="00C16E8A" w:rsidRDefault="004648A9" w:rsidP="00C16E8A">
      <w:pPr>
        <w:pStyle w:val="FootnoteText"/>
        <w:ind w:left="360" w:hanging="360"/>
        <w:rPr>
          <w:sz w:val="24"/>
          <w:szCs w:val="24"/>
        </w:rPr>
      </w:pPr>
      <w:r>
        <w:rPr>
          <w:sz w:val="24"/>
          <w:szCs w:val="24"/>
        </w:rPr>
        <w:t>(</w:t>
      </w:r>
      <w:r w:rsidR="00C16E8A" w:rsidRPr="00F34F82">
        <w:rPr>
          <w:sz w:val="24"/>
          <w:szCs w:val="24"/>
        </w:rPr>
        <w:t>1</w:t>
      </w:r>
      <w:r>
        <w:rPr>
          <w:sz w:val="24"/>
          <w:szCs w:val="24"/>
        </w:rPr>
        <w:t>)</w:t>
      </w:r>
      <w:r w:rsidR="00C16E8A" w:rsidRPr="008A6493">
        <w:rPr>
          <w:sz w:val="24"/>
          <w:szCs w:val="24"/>
        </w:rPr>
        <w:tab/>
      </w:r>
      <w:r w:rsidR="00C16E8A">
        <w:rPr>
          <w:sz w:val="24"/>
          <w:szCs w:val="24"/>
        </w:rPr>
        <w:t xml:space="preserve">P802.22-D3, </w:t>
      </w:r>
      <w:r w:rsidR="00C16E8A" w:rsidRPr="008A6493">
        <w:rPr>
          <w:sz w:val="24"/>
          <w:szCs w:val="24"/>
        </w:rPr>
        <w:t xml:space="preserve">“Standard for Information Technology — Telecommunications and Information Exchange Between Systems — Local and Metropolitan Area Networks – Specific Requirements — Part 22: </w:t>
      </w:r>
      <w:r w:rsidR="00C16E8A">
        <w:rPr>
          <w:sz w:val="24"/>
          <w:szCs w:val="24"/>
        </w:rPr>
        <w:t xml:space="preserve">Cognitive Wireless RAN </w:t>
      </w:r>
      <w:proofErr w:type="spellStart"/>
      <w:r w:rsidR="00C16E8A">
        <w:rPr>
          <w:sz w:val="24"/>
          <w:szCs w:val="24"/>
        </w:rPr>
        <w:t>Mediu</w:t>
      </w:r>
      <w:proofErr w:type="spellEnd"/>
      <w:r w:rsidR="00C16E8A">
        <w:rPr>
          <w:sz w:val="24"/>
          <w:szCs w:val="24"/>
        </w:rPr>
        <w:t xml:space="preserve"> Access Control (MAC) and Physical Layer (PHY) Specification: Policies and Procedures for Operation in TV Bands</w:t>
      </w:r>
      <w:r w:rsidR="00C16E8A" w:rsidRPr="008A6493">
        <w:rPr>
          <w:sz w:val="24"/>
          <w:szCs w:val="24"/>
        </w:rPr>
        <w:t xml:space="preserve">,” </w:t>
      </w:r>
      <w:r w:rsidR="00C16E8A">
        <w:rPr>
          <w:sz w:val="24"/>
          <w:szCs w:val="24"/>
        </w:rPr>
        <w:t>March</w:t>
      </w:r>
      <w:r w:rsidR="00C16E8A" w:rsidRPr="008A6493">
        <w:rPr>
          <w:sz w:val="24"/>
          <w:szCs w:val="24"/>
        </w:rPr>
        <w:t xml:space="preserve"> 20</w:t>
      </w:r>
      <w:r w:rsidR="00C16E8A">
        <w:rPr>
          <w:sz w:val="24"/>
          <w:szCs w:val="24"/>
        </w:rPr>
        <w:t>11</w:t>
      </w:r>
      <w:r w:rsidR="00C16E8A" w:rsidRPr="008A6493">
        <w:rPr>
          <w:sz w:val="24"/>
          <w:szCs w:val="24"/>
        </w:rPr>
        <w:t>.</w:t>
      </w:r>
      <w:r w:rsidR="00C16E8A">
        <w:rPr>
          <w:sz w:val="24"/>
          <w:szCs w:val="24"/>
        </w:rPr>
        <w:t xml:space="preserve"> </w:t>
      </w:r>
      <w:hyperlink r:id="rId6" w:history="1">
        <w:r w:rsidR="00C16E8A" w:rsidRPr="00FE60E2">
          <w:rPr>
            <w:rStyle w:val="Hyperlink"/>
            <w:sz w:val="24"/>
            <w:szCs w:val="24"/>
          </w:rPr>
          <w:t>www.ieee802.org/22</w:t>
        </w:r>
      </w:hyperlink>
    </w:p>
    <w:p w:rsidR="00C16E8A" w:rsidRDefault="00C16E8A" w:rsidP="00C16E8A">
      <w:pPr>
        <w:pStyle w:val="FootnoteText"/>
        <w:rPr>
          <w:sz w:val="24"/>
          <w:szCs w:val="24"/>
        </w:rPr>
      </w:pPr>
    </w:p>
    <w:p w:rsidR="00C16E8A" w:rsidRPr="008A6493" w:rsidRDefault="004648A9" w:rsidP="00C16E8A">
      <w:pPr>
        <w:pStyle w:val="FootnoteText"/>
        <w:ind w:left="360" w:hanging="360"/>
        <w:rPr>
          <w:sz w:val="24"/>
          <w:szCs w:val="24"/>
        </w:rPr>
      </w:pPr>
      <w:r>
        <w:rPr>
          <w:sz w:val="24"/>
          <w:szCs w:val="24"/>
        </w:rPr>
        <w:t>(</w:t>
      </w:r>
      <w:r w:rsidR="00C16E8A">
        <w:rPr>
          <w:sz w:val="24"/>
          <w:szCs w:val="24"/>
        </w:rPr>
        <w:t>2</w:t>
      </w:r>
      <w:r>
        <w:rPr>
          <w:sz w:val="24"/>
          <w:szCs w:val="24"/>
        </w:rPr>
        <w:t>)</w:t>
      </w:r>
      <w:r w:rsidR="00C16E8A">
        <w:rPr>
          <w:sz w:val="24"/>
          <w:szCs w:val="24"/>
        </w:rPr>
        <w:tab/>
      </w:r>
      <w:r w:rsidR="00C16E8A" w:rsidRPr="008A6493">
        <w:rPr>
          <w:sz w:val="24"/>
          <w:szCs w:val="24"/>
        </w:rPr>
        <w:t>US FCC, ET Docket 02-380: Notice of Inquiry, In the Matter of “Additional Spectrum for Unlicensed Devices Below 900MHz and in the 3GHz Band”, Released December 20, 2002</w:t>
      </w:r>
    </w:p>
    <w:p w:rsidR="00C16E8A" w:rsidRPr="008A6493" w:rsidRDefault="00C16E8A" w:rsidP="00C16E8A">
      <w:pPr>
        <w:pStyle w:val="ListParagraph"/>
        <w:ind w:left="360" w:hanging="360"/>
      </w:pPr>
    </w:p>
    <w:p w:rsidR="00C16E8A" w:rsidRPr="008A6493" w:rsidRDefault="004648A9" w:rsidP="00C16E8A">
      <w:pPr>
        <w:pStyle w:val="FootnoteText"/>
        <w:ind w:left="360" w:hanging="360"/>
        <w:rPr>
          <w:sz w:val="24"/>
          <w:szCs w:val="24"/>
        </w:rPr>
      </w:pPr>
      <w:r>
        <w:rPr>
          <w:sz w:val="24"/>
          <w:szCs w:val="24"/>
        </w:rPr>
        <w:t>(</w:t>
      </w:r>
      <w:r w:rsidR="00C16E8A">
        <w:rPr>
          <w:sz w:val="24"/>
          <w:szCs w:val="24"/>
        </w:rPr>
        <w:t>3</w:t>
      </w:r>
      <w:r>
        <w:rPr>
          <w:sz w:val="24"/>
          <w:szCs w:val="24"/>
        </w:rPr>
        <w:t>)</w:t>
      </w:r>
      <w:r w:rsidR="00C16E8A" w:rsidRPr="00F34F82">
        <w:rPr>
          <w:sz w:val="24"/>
          <w:szCs w:val="24"/>
        </w:rPr>
        <w:tab/>
      </w:r>
      <w:r w:rsidR="00C16E8A" w:rsidRPr="008A6493">
        <w:rPr>
          <w:sz w:val="24"/>
          <w:szCs w:val="24"/>
        </w:rPr>
        <w:t>US FCC, ET Docket 04-186: Notice of Proposed Rule Making, In the Matter of “Unlicensed Operation in the TV Broadcast Bands”, Released May 25, 2004</w:t>
      </w:r>
    </w:p>
    <w:p w:rsidR="00C16E8A" w:rsidRPr="008A6493" w:rsidRDefault="00C16E8A" w:rsidP="00C16E8A">
      <w:pPr>
        <w:pStyle w:val="ListParagraph"/>
        <w:ind w:left="360" w:hanging="360"/>
      </w:pPr>
    </w:p>
    <w:p w:rsidR="00C16E8A" w:rsidRPr="008A6493" w:rsidRDefault="004648A9" w:rsidP="00C16E8A">
      <w:pPr>
        <w:pStyle w:val="FootnoteText"/>
        <w:ind w:left="360" w:hanging="360"/>
        <w:rPr>
          <w:sz w:val="24"/>
          <w:szCs w:val="24"/>
        </w:rPr>
      </w:pPr>
      <w:r>
        <w:rPr>
          <w:sz w:val="24"/>
          <w:szCs w:val="24"/>
        </w:rPr>
        <w:t>(</w:t>
      </w:r>
      <w:r w:rsidR="00C16E8A">
        <w:rPr>
          <w:sz w:val="24"/>
          <w:szCs w:val="24"/>
        </w:rPr>
        <w:t>4</w:t>
      </w:r>
      <w:r>
        <w:rPr>
          <w:sz w:val="24"/>
          <w:szCs w:val="24"/>
        </w:rPr>
        <w:t>)</w:t>
      </w:r>
      <w:r w:rsidR="00C16E8A" w:rsidRPr="00F34F82">
        <w:rPr>
          <w:sz w:val="24"/>
          <w:szCs w:val="24"/>
        </w:rPr>
        <w:tab/>
      </w:r>
      <w:r w:rsidR="00C16E8A" w:rsidRPr="008A6493">
        <w:rPr>
          <w:sz w:val="24"/>
          <w:szCs w:val="24"/>
        </w:rPr>
        <w:t>IEEE Std 802.22.1</w:t>
      </w:r>
      <w:r w:rsidR="00070279">
        <w:rPr>
          <w:sz w:val="24"/>
          <w:szCs w:val="24"/>
        </w:rPr>
        <w:t>™</w:t>
      </w:r>
      <w:r w:rsidR="00C16E8A" w:rsidRPr="008A6493">
        <w:rPr>
          <w:sz w:val="24"/>
          <w:szCs w:val="24"/>
        </w:rPr>
        <w:t>-</w:t>
      </w:r>
      <w:r w:rsidR="009A6C37" w:rsidRPr="008A6493">
        <w:rPr>
          <w:sz w:val="24"/>
          <w:szCs w:val="24"/>
        </w:rPr>
        <w:t>20</w:t>
      </w:r>
      <w:r w:rsidR="009A6C37">
        <w:rPr>
          <w:sz w:val="24"/>
          <w:szCs w:val="24"/>
        </w:rPr>
        <w:t>10</w:t>
      </w:r>
      <w:r w:rsidR="00C16E8A" w:rsidRPr="008A6493">
        <w:rPr>
          <w:sz w:val="24"/>
          <w:szCs w:val="24"/>
        </w:rPr>
        <w:t>, “Standard for Information Technology — Telecommunications and Information Exchange Between Systems — Local and Metropolitan Area Networks – Specific Requirements — Part 22.1: Enhanced Protection for Low-Power, Licensed Devices Operating in Television Broadcast Bands,” November 2009.</w:t>
      </w:r>
    </w:p>
    <w:p w:rsidR="006E5D9F" w:rsidRDefault="006E5D9F" w:rsidP="006E5D9F">
      <w:pPr>
        <w:autoSpaceDE w:val="0"/>
        <w:autoSpaceDN w:val="0"/>
        <w:adjustRightInd w:val="0"/>
        <w:ind w:left="360" w:hanging="360"/>
      </w:pPr>
    </w:p>
    <w:p w:rsidR="006E5D9F" w:rsidRPr="00EF1DFF" w:rsidRDefault="006E5D9F" w:rsidP="006E5D9F">
      <w:pPr>
        <w:autoSpaceDE w:val="0"/>
        <w:autoSpaceDN w:val="0"/>
        <w:adjustRightInd w:val="0"/>
        <w:ind w:left="360" w:hanging="360"/>
      </w:pPr>
      <w:r>
        <w:t>(</w:t>
      </w:r>
      <w:r>
        <w:t>5</w:t>
      </w:r>
      <w:r>
        <w:t xml:space="preserve">) </w:t>
      </w:r>
      <w:r w:rsidRPr="004B6E2B">
        <w:t>“</w:t>
      </w:r>
      <w:r w:rsidRPr="004B6E2B">
        <w:rPr>
          <w:rFonts w:hint="eastAsia"/>
        </w:rPr>
        <w:t>System Design Document</w:t>
      </w:r>
      <w:r w:rsidRPr="004B6E2B">
        <w:t>”</w:t>
      </w:r>
      <w:r w:rsidRPr="004B6E2B">
        <w:rPr>
          <w:rFonts w:hint="eastAsia"/>
        </w:rPr>
        <w:t>,</w:t>
      </w:r>
      <w:r>
        <w:t xml:space="preserve"> IEEE 802.19-10/55r3, </w:t>
      </w:r>
      <w:proofErr w:type="gramStart"/>
      <w:r>
        <w:t>March</w:t>
      </w:r>
      <w:proofErr w:type="gramEnd"/>
      <w:r>
        <w:t xml:space="preserve"> 2010,</w:t>
      </w:r>
      <w:r w:rsidRPr="004B6E2B">
        <w:rPr>
          <w:rFonts w:hint="eastAsia"/>
        </w:rPr>
        <w:t xml:space="preserve"> available at: </w:t>
      </w:r>
      <w:hyperlink r:id="rId7" w:history="1">
        <w:r w:rsidRPr="004B6E2B">
          <w:t>https://mentor.ieee.org/802.19/dcn/10/19-10-0055-03-0001-system-design-document.doc</w:t>
        </w:r>
      </w:hyperlink>
      <w:r>
        <w:t xml:space="preserve"> </w:t>
      </w:r>
    </w:p>
    <w:p w:rsidR="00C16E8A" w:rsidRPr="008A6493" w:rsidRDefault="00C16E8A" w:rsidP="00C16E8A">
      <w:pPr>
        <w:pStyle w:val="ListParagraph"/>
        <w:ind w:left="360" w:hanging="360"/>
      </w:pPr>
    </w:p>
    <w:p w:rsidR="006632B2" w:rsidRDefault="00F168C6" w:rsidP="006950DC">
      <w:pPr>
        <w:autoSpaceDE w:val="0"/>
        <w:autoSpaceDN w:val="0"/>
        <w:adjustRightInd w:val="0"/>
        <w:ind w:left="360" w:hanging="360"/>
      </w:pPr>
      <w:r w:rsidDel="00F168C6">
        <w:t xml:space="preserve"> </w:t>
      </w:r>
      <w:r w:rsidR="004648A9">
        <w:t>(</w:t>
      </w:r>
      <w:r>
        <w:t>6</w:t>
      </w:r>
      <w:r w:rsidR="004648A9">
        <w:t>)</w:t>
      </w:r>
      <w:r w:rsidR="00C16E8A" w:rsidRPr="008A6493">
        <w:tab/>
        <w:t>U.S. FCC, ET Docket 08-260, “Second Report and Order and Memorandum Opinion and Order in the Matter of Unlicensed Operation in the TV Broadcast Bands,” November 14, 2008.</w:t>
      </w:r>
    </w:p>
    <w:p w:rsidR="000D4245" w:rsidRDefault="000D4245" w:rsidP="006950DC">
      <w:pPr>
        <w:autoSpaceDE w:val="0"/>
        <w:autoSpaceDN w:val="0"/>
        <w:adjustRightInd w:val="0"/>
        <w:ind w:left="360" w:hanging="360"/>
      </w:pPr>
    </w:p>
    <w:p w:rsidR="002E7F1B" w:rsidRDefault="002E7F1B" w:rsidP="006950DC">
      <w:pPr>
        <w:autoSpaceDE w:val="0"/>
        <w:autoSpaceDN w:val="0"/>
        <w:adjustRightInd w:val="0"/>
        <w:ind w:left="360" w:hanging="360"/>
      </w:pPr>
    </w:p>
    <w:sectPr w:rsidR="002E7F1B" w:rsidSect="009E03A3">
      <w:headerReference w:type="first" r:id="rId8"/>
      <w:pgSz w:w="12240" w:h="15840"/>
      <w:pgMar w:top="1440" w:right="1800" w:bottom="1440" w:left="1800" w:gutter="0"/>
      <w:lnNumType w:countBy="1" w:restart="continuous"/>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horzAnchor="margin" w:tblpY="-687"/>
      <w:tblW w:w="9468" w:type="dxa"/>
      <w:tblLayout w:type="fixed"/>
      <w:tblLook w:val="0000"/>
    </w:tblPr>
    <w:tblGrid>
      <w:gridCol w:w="6580"/>
      <w:gridCol w:w="2888"/>
    </w:tblGrid>
    <w:tr w:rsidR="00517927" w:rsidRPr="00D552EE">
      <w:trPr>
        <w:cantSplit/>
      </w:trPr>
      <w:tc>
        <w:tcPr>
          <w:tcW w:w="6580" w:type="dxa"/>
          <w:vAlign w:val="center"/>
        </w:tcPr>
        <w:p w:rsidR="00517927" w:rsidRPr="00D552EE" w:rsidRDefault="00517927" w:rsidP="006632B2">
          <w:pPr>
            <w:shd w:val="solid" w:color="FFFFFF" w:fill="FFFFFF"/>
            <w:rPr>
              <w:rFonts w:ascii="Verdana" w:hAnsi="Verdana" w:cs="Times New Roman Bold"/>
              <w:b/>
              <w:bCs/>
              <w:sz w:val="26"/>
              <w:szCs w:val="26"/>
            </w:rPr>
          </w:pPr>
          <w:proofErr w:type="spellStart"/>
          <w:r w:rsidRPr="00D552EE">
            <w:rPr>
              <w:rFonts w:ascii="Verdana" w:hAnsi="Verdana" w:cs="Times New Roman Bold"/>
              <w:b/>
              <w:bCs/>
              <w:sz w:val="26"/>
              <w:szCs w:val="26"/>
            </w:rPr>
            <w:t>Radiocommunication</w:t>
          </w:r>
          <w:proofErr w:type="spellEnd"/>
          <w:r w:rsidRPr="00D552EE">
            <w:rPr>
              <w:rFonts w:ascii="Verdana" w:hAnsi="Verdana" w:cs="Times New Roman Bold"/>
              <w:b/>
              <w:bCs/>
              <w:sz w:val="26"/>
              <w:szCs w:val="26"/>
            </w:rPr>
            <w:t xml:space="preserve"> Study Groups</w:t>
          </w:r>
        </w:p>
      </w:tc>
      <w:tc>
        <w:tcPr>
          <w:tcW w:w="2888" w:type="dxa"/>
        </w:tcPr>
        <w:p w:rsidR="00517927" w:rsidRPr="00D552EE" w:rsidRDefault="00517927" w:rsidP="006632B2">
          <w:pPr>
            <w:shd w:val="solid" w:color="FFFFFF" w:fill="FFFFFF"/>
            <w:spacing w:line="240" w:lineRule="atLeast"/>
          </w:pPr>
          <w:r>
            <w:rPr>
              <w:noProof/>
            </w:rPr>
            <w:drawing>
              <wp:inline distT="0" distB="0" distL="0" distR="0">
                <wp:extent cx="1711325" cy="741045"/>
                <wp:effectExtent l="2540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1325" cy="741045"/>
                        </a:xfrm>
                        <a:prstGeom prst="rect">
                          <a:avLst/>
                        </a:prstGeom>
                        <a:noFill/>
                        <a:ln w="9525">
                          <a:noFill/>
                          <a:miter lim="800000"/>
                          <a:headEnd/>
                          <a:tailEnd/>
                        </a:ln>
                      </pic:spPr>
                    </pic:pic>
                  </a:graphicData>
                </a:graphic>
              </wp:inline>
            </w:drawing>
          </w:r>
        </w:p>
      </w:tc>
    </w:tr>
    <w:tr w:rsidR="00517927" w:rsidRPr="00D552EE">
      <w:trPr>
        <w:cantSplit/>
      </w:trPr>
      <w:tc>
        <w:tcPr>
          <w:tcW w:w="6580" w:type="dxa"/>
          <w:tcBorders>
            <w:bottom w:val="single" w:sz="12" w:space="0" w:color="auto"/>
          </w:tcBorders>
        </w:tcPr>
        <w:p w:rsidR="00517927" w:rsidRPr="00D552EE" w:rsidRDefault="00517927" w:rsidP="006632B2">
          <w:pPr>
            <w:shd w:val="solid" w:color="FFFFFF" w:fill="FFFFFF"/>
            <w:spacing w:after="48"/>
            <w:rPr>
              <w:rFonts w:ascii="Verdana" w:hAnsi="Verdana" w:cs="Times New Roman Bold"/>
              <w:b/>
            </w:rPr>
          </w:pPr>
        </w:p>
      </w:tc>
      <w:tc>
        <w:tcPr>
          <w:tcW w:w="2888" w:type="dxa"/>
          <w:tcBorders>
            <w:bottom w:val="single" w:sz="12" w:space="0" w:color="auto"/>
          </w:tcBorders>
        </w:tcPr>
        <w:p w:rsidR="00517927" w:rsidRPr="00D552EE" w:rsidRDefault="00517927" w:rsidP="006632B2">
          <w:pPr>
            <w:shd w:val="solid" w:color="FFFFFF" w:fill="FFFFFF"/>
            <w:spacing w:after="48" w:line="240" w:lineRule="atLeast"/>
          </w:pPr>
        </w:p>
      </w:tc>
    </w:tr>
  </w:tbl>
  <w:p w:rsidR="00517927" w:rsidRPr="00C16E8A" w:rsidRDefault="007E3C74">
    <w:pPr>
      <w:pStyle w:val="Header"/>
      <w:rPr>
        <w:b/>
      </w:rPr>
    </w:pPr>
    <w:r w:rsidRPr="00186D65">
      <w:rPr>
        <w:b/>
      </w:rPr>
      <w:fldChar w:fldCharType="begin"/>
    </w:r>
    <w:r w:rsidR="00517927" w:rsidRPr="00186D65">
      <w:rPr>
        <w:b/>
      </w:rPr>
      <w:instrText xml:space="preserve"> KEYWORDS  \* MERGEFORMAT </w:instrText>
    </w:r>
    <w:r w:rsidRPr="00186D65">
      <w:rPr>
        <w:b/>
      </w:rPr>
      <w:fldChar w:fldCharType="end"/>
    </w:r>
    <w:r w:rsidR="00517927" w:rsidRPr="00186D65">
      <w:rPr>
        <w:b/>
      </w:rPr>
      <w:tab/>
    </w:r>
    <w:r w:rsidR="00517927" w:rsidRPr="00186D65">
      <w:rPr>
        <w:b/>
      </w:rPr>
      <w:tab/>
    </w:r>
    <w:r w:rsidRPr="00186D65">
      <w:rPr>
        <w:b/>
      </w:rPr>
      <w:fldChar w:fldCharType="begin"/>
    </w:r>
    <w:r w:rsidR="00517927" w:rsidRPr="00186D65">
      <w:rPr>
        <w:b/>
      </w:rPr>
      <w:instrText xml:space="preserve"> TITLE  \* MERGEFORMAT </w:instrText>
    </w:r>
    <w:r w:rsidRPr="00186D65">
      <w:rPr>
        <w:b/>
      </w:rPr>
      <w:fldChar w:fldCharType="end"/>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D2333"/>
    <w:multiLevelType w:val="singleLevel"/>
    <w:tmpl w:val="A64C5D18"/>
    <w:lvl w:ilvl="0">
      <w:start w:val="1"/>
      <w:numFmt w:val="bullet"/>
      <w:lvlText w:val=""/>
      <w:lvlJc w:val="left"/>
      <w:pPr>
        <w:tabs>
          <w:tab w:val="num" w:pos="640"/>
        </w:tabs>
        <w:ind w:left="640" w:hanging="440"/>
      </w:pPr>
      <w:rPr>
        <w:rFonts w:ascii="Symbol" w:hAnsi="Symbol" w:hint="default"/>
      </w:rPr>
    </w:lvl>
  </w:abstractNum>
  <w:abstractNum w:abstractNumId="1">
    <w:nsid w:val="4BB46D29"/>
    <w:multiLevelType w:val="hybridMultilevel"/>
    <w:tmpl w:val="01F2DAC8"/>
    <w:lvl w:ilvl="0" w:tplc="DB306DC0">
      <w:start w:val="1"/>
      <w:numFmt w:val="decimal"/>
      <w:lvlText w:val="%1."/>
      <w:lvlJc w:val="left"/>
      <w:pPr>
        <w:ind w:left="360" w:hanging="360"/>
      </w:pPr>
      <w:rPr>
        <w:rFonts w:cs="Times New Roman" w:hint="default"/>
        <w:sz w:val="28"/>
        <w:szCs w:val="28"/>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4E3C1D72"/>
    <w:multiLevelType w:val="singleLevel"/>
    <w:tmpl w:val="68AE471A"/>
    <w:lvl w:ilvl="0">
      <w:start w:val="1"/>
      <w:numFmt w:val="decimal"/>
      <w:pStyle w:val="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16E8A"/>
    <w:rsid w:val="00032F55"/>
    <w:rsid w:val="000351AB"/>
    <w:rsid w:val="00036E36"/>
    <w:rsid w:val="00070279"/>
    <w:rsid w:val="000D4245"/>
    <w:rsid w:val="00112745"/>
    <w:rsid w:val="00125611"/>
    <w:rsid w:val="00135922"/>
    <w:rsid w:val="001560B8"/>
    <w:rsid w:val="00192475"/>
    <w:rsid w:val="001E21AD"/>
    <w:rsid w:val="001E4679"/>
    <w:rsid w:val="00213140"/>
    <w:rsid w:val="002311DC"/>
    <w:rsid w:val="00286CE8"/>
    <w:rsid w:val="002921E8"/>
    <w:rsid w:val="002A0363"/>
    <w:rsid w:val="002A25F0"/>
    <w:rsid w:val="002D3C1C"/>
    <w:rsid w:val="002E3E5A"/>
    <w:rsid w:val="002E7F1B"/>
    <w:rsid w:val="003148CC"/>
    <w:rsid w:val="003157AD"/>
    <w:rsid w:val="003215AF"/>
    <w:rsid w:val="003962A5"/>
    <w:rsid w:val="003B307E"/>
    <w:rsid w:val="003D5FFB"/>
    <w:rsid w:val="003E51FF"/>
    <w:rsid w:val="00452966"/>
    <w:rsid w:val="004648A9"/>
    <w:rsid w:val="004E4249"/>
    <w:rsid w:val="00517927"/>
    <w:rsid w:val="005278F7"/>
    <w:rsid w:val="0057224E"/>
    <w:rsid w:val="00593E24"/>
    <w:rsid w:val="005E5D31"/>
    <w:rsid w:val="00600B08"/>
    <w:rsid w:val="00602F37"/>
    <w:rsid w:val="00641F72"/>
    <w:rsid w:val="006512E4"/>
    <w:rsid w:val="006632B2"/>
    <w:rsid w:val="00664DD6"/>
    <w:rsid w:val="00670AFC"/>
    <w:rsid w:val="006950DC"/>
    <w:rsid w:val="006D111C"/>
    <w:rsid w:val="006E3267"/>
    <w:rsid w:val="006E5D9F"/>
    <w:rsid w:val="006F4A62"/>
    <w:rsid w:val="00707B9A"/>
    <w:rsid w:val="007317ED"/>
    <w:rsid w:val="00753410"/>
    <w:rsid w:val="007A1E28"/>
    <w:rsid w:val="007E3C74"/>
    <w:rsid w:val="008260A1"/>
    <w:rsid w:val="00847A7F"/>
    <w:rsid w:val="0087688A"/>
    <w:rsid w:val="008C5303"/>
    <w:rsid w:val="009116AD"/>
    <w:rsid w:val="009662DD"/>
    <w:rsid w:val="009925B5"/>
    <w:rsid w:val="009A6C37"/>
    <w:rsid w:val="009E03A3"/>
    <w:rsid w:val="009E6A17"/>
    <w:rsid w:val="00A17FED"/>
    <w:rsid w:val="00A656B8"/>
    <w:rsid w:val="00A67C61"/>
    <w:rsid w:val="00AC2F43"/>
    <w:rsid w:val="00B050E0"/>
    <w:rsid w:val="00B5093F"/>
    <w:rsid w:val="00B73CDC"/>
    <w:rsid w:val="00B80E33"/>
    <w:rsid w:val="00B963E5"/>
    <w:rsid w:val="00BA2A4E"/>
    <w:rsid w:val="00BB63D2"/>
    <w:rsid w:val="00BC0878"/>
    <w:rsid w:val="00BE1C04"/>
    <w:rsid w:val="00C16E8A"/>
    <w:rsid w:val="00C335BA"/>
    <w:rsid w:val="00CA3042"/>
    <w:rsid w:val="00CB3AF1"/>
    <w:rsid w:val="00CE68B4"/>
    <w:rsid w:val="00CF02B9"/>
    <w:rsid w:val="00D002B1"/>
    <w:rsid w:val="00D266B6"/>
    <w:rsid w:val="00D3157A"/>
    <w:rsid w:val="00D41187"/>
    <w:rsid w:val="00D43812"/>
    <w:rsid w:val="00D522EB"/>
    <w:rsid w:val="00D969B5"/>
    <w:rsid w:val="00DE3C90"/>
    <w:rsid w:val="00E05035"/>
    <w:rsid w:val="00E37228"/>
    <w:rsid w:val="00E40EED"/>
    <w:rsid w:val="00E438E8"/>
    <w:rsid w:val="00EC55D8"/>
    <w:rsid w:val="00ED6AE9"/>
    <w:rsid w:val="00EF0ECB"/>
    <w:rsid w:val="00F168C6"/>
    <w:rsid w:val="00F174AA"/>
    <w:rsid w:val="00F436D8"/>
    <w:rsid w:val="00F84DA0"/>
    <w:rsid w:val="00F941C1"/>
    <w:rsid w:val="00F97EC6"/>
    <w:rsid w:val="00FF2C93"/>
    <w:rsid w:val="00FF3AAD"/>
  </w:rsids>
  <m:mathPr>
    <m:mathFont m:val="Times New Roman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caption" w:qFormat="1"/>
    <w:lsdException w:name="List Paragraph" w:qFormat="1"/>
  </w:latentStyles>
  <w:style w:type="paragraph" w:default="1" w:styleId="Normal">
    <w:name w:val="Normal"/>
    <w:qFormat/>
    <w:rsid w:val="00C16E8A"/>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C16E8A"/>
    <w:pPr>
      <w:tabs>
        <w:tab w:val="center" w:pos="4320"/>
        <w:tab w:val="right" w:pos="8640"/>
      </w:tabs>
    </w:pPr>
  </w:style>
  <w:style w:type="character" w:customStyle="1" w:styleId="HeaderChar">
    <w:name w:val="Header Char"/>
    <w:basedOn w:val="DefaultParagraphFont"/>
    <w:link w:val="Header"/>
    <w:rsid w:val="00C16E8A"/>
  </w:style>
  <w:style w:type="paragraph" w:styleId="Footer">
    <w:name w:val="footer"/>
    <w:basedOn w:val="Normal"/>
    <w:link w:val="FooterChar"/>
    <w:uiPriority w:val="99"/>
    <w:semiHidden/>
    <w:unhideWhenUsed/>
    <w:rsid w:val="00C16E8A"/>
    <w:pPr>
      <w:tabs>
        <w:tab w:val="center" w:pos="4320"/>
        <w:tab w:val="right" w:pos="8640"/>
      </w:tabs>
    </w:pPr>
  </w:style>
  <w:style w:type="character" w:customStyle="1" w:styleId="FooterChar">
    <w:name w:val="Footer Char"/>
    <w:basedOn w:val="DefaultParagraphFont"/>
    <w:link w:val="Footer"/>
    <w:uiPriority w:val="99"/>
    <w:semiHidden/>
    <w:rsid w:val="00C16E8A"/>
  </w:style>
  <w:style w:type="paragraph" w:styleId="ListParagraph">
    <w:name w:val="List Paragraph"/>
    <w:basedOn w:val="Normal"/>
    <w:qFormat/>
    <w:rsid w:val="00C16E8A"/>
    <w:pPr>
      <w:ind w:left="720"/>
      <w:contextualSpacing/>
    </w:pPr>
  </w:style>
  <w:style w:type="paragraph" w:styleId="FootnoteText">
    <w:name w:val="footnote text"/>
    <w:basedOn w:val="Normal"/>
    <w:link w:val="FootnoteTextChar"/>
    <w:rsid w:val="00C16E8A"/>
    <w:rPr>
      <w:sz w:val="20"/>
      <w:szCs w:val="20"/>
    </w:rPr>
  </w:style>
  <w:style w:type="character" w:customStyle="1" w:styleId="FootnoteTextChar">
    <w:name w:val="Footnote Text Char"/>
    <w:basedOn w:val="DefaultParagraphFont"/>
    <w:link w:val="FootnoteText"/>
    <w:rsid w:val="00C16E8A"/>
    <w:rPr>
      <w:rFonts w:ascii="Times New Roman" w:eastAsia="Times New Roman" w:hAnsi="Times New Roman" w:cs="Times New Roman"/>
      <w:sz w:val="20"/>
      <w:szCs w:val="20"/>
    </w:rPr>
  </w:style>
  <w:style w:type="character" w:styleId="Hyperlink">
    <w:name w:val="Hyperlink"/>
    <w:basedOn w:val="DefaultParagraphFont"/>
    <w:rsid w:val="00C16E8A"/>
    <w:rPr>
      <w:rFonts w:cs="Times New Roman"/>
      <w:color w:val="0000FF"/>
      <w:u w:val="single"/>
    </w:rPr>
  </w:style>
  <w:style w:type="paragraph" w:styleId="BalloonText">
    <w:name w:val="Balloon Text"/>
    <w:basedOn w:val="Normal"/>
    <w:link w:val="BalloonTextChar"/>
    <w:rsid w:val="006632B2"/>
    <w:rPr>
      <w:rFonts w:ascii="Lucida Grande" w:hAnsi="Lucida Grande"/>
      <w:sz w:val="18"/>
      <w:szCs w:val="18"/>
    </w:rPr>
  </w:style>
  <w:style w:type="character" w:customStyle="1" w:styleId="BalloonTextChar">
    <w:name w:val="Balloon Text Char"/>
    <w:basedOn w:val="DefaultParagraphFont"/>
    <w:link w:val="BalloonText"/>
    <w:rsid w:val="006632B2"/>
    <w:rPr>
      <w:rFonts w:ascii="Lucida Grande" w:eastAsia="Times New Roman" w:hAnsi="Lucida Grande" w:cs="Times New Roman"/>
      <w:sz w:val="18"/>
      <w:szCs w:val="18"/>
    </w:rPr>
  </w:style>
  <w:style w:type="character" w:styleId="LineNumber">
    <w:name w:val="line number"/>
    <w:basedOn w:val="DefaultParagraphFont"/>
    <w:rsid w:val="009E03A3"/>
  </w:style>
  <w:style w:type="paragraph" w:customStyle="1" w:styleId="IEEEStdsParagraph">
    <w:name w:val="IEEEStds Paragraph"/>
    <w:link w:val="IEEEStdsParagraphChar"/>
    <w:rsid w:val="0057224E"/>
    <w:pPr>
      <w:jc w:val="both"/>
    </w:pPr>
    <w:rPr>
      <w:rFonts w:ascii="Times New Roman" w:eastAsia="Times New Roman" w:hAnsi="Times New Roman" w:cs="Times New Roman"/>
      <w:sz w:val="20"/>
      <w:szCs w:val="20"/>
    </w:rPr>
  </w:style>
  <w:style w:type="character" w:customStyle="1" w:styleId="IEEEStdsParagraphChar">
    <w:name w:val="IEEEStds Paragraph Char"/>
    <w:basedOn w:val="DefaultParagraphFont"/>
    <w:link w:val="IEEEStdsParagraph"/>
    <w:rsid w:val="0057224E"/>
    <w:rPr>
      <w:rFonts w:ascii="Times New Roman" w:eastAsia="Times New Roman" w:hAnsi="Times New Roman" w:cs="Times New Roman"/>
      <w:sz w:val="20"/>
      <w:szCs w:val="20"/>
    </w:rPr>
  </w:style>
  <w:style w:type="paragraph" w:styleId="Caption">
    <w:name w:val="caption"/>
    <w:aliases w:val="cap,WHYLESS_caption,Légende french,Légende french Carattere,TF,Epígrafe,Caption Char,Figures Char,Caption Char1,Caption Char Char,Figure,figure_title,Caption Char2,Caption Char Char1,fig and tbl"/>
    <w:next w:val="IEEEStdsParagraph"/>
    <w:qFormat/>
    <w:rsid w:val="0057224E"/>
    <w:pPr>
      <w:keepLines/>
      <w:numPr>
        <w:numId w:val="3"/>
      </w:numPr>
      <w:tabs>
        <w:tab w:val="clear" w:pos="1008"/>
      </w:tabs>
      <w:suppressAutoHyphens/>
      <w:spacing w:before="120" w:after="120"/>
      <w:ind w:firstLine="0"/>
      <w:jc w:val="center"/>
    </w:pPr>
    <w:rPr>
      <w:rFonts w:ascii="Arial" w:eastAsia="MS Mincho" w:hAnsi="Arial" w:cs="Times New Roman"/>
      <w:b/>
      <w:sz w:val="20"/>
      <w:szCs w:val="20"/>
      <w:lang w:eastAsia="ja-JP"/>
    </w:rPr>
  </w:style>
  <w:style w:type="paragraph" w:customStyle="1" w:styleId="IEEEStdsRegularFigureCaption">
    <w:name w:val="IEEEStds Regular Figure Caption"/>
    <w:basedOn w:val="IEEEStdsParagraph"/>
    <w:next w:val="IEEEStdsParagraph"/>
    <w:rsid w:val="0057224E"/>
    <w:pPr>
      <w:keepLines/>
      <w:tabs>
        <w:tab w:val="left" w:pos="403"/>
        <w:tab w:val="left" w:pos="475"/>
        <w:tab w:val="left" w:pos="547"/>
        <w:tab w:val="num" w:pos="720"/>
      </w:tabs>
      <w:suppressAutoHyphens/>
      <w:spacing w:before="120" w:after="120"/>
      <w:ind w:left="720" w:hanging="720"/>
      <w:jc w:val="center"/>
    </w:pPr>
    <w:rPr>
      <w:rFonts w:ascii="Arial" w:eastAsia="MS Mincho" w:hAnsi="Arial"/>
      <w:b/>
      <w:lang w:eastAsia="ja-JP"/>
    </w:rPr>
  </w:style>
  <w:style w:type="paragraph" w:customStyle="1" w:styleId="IEEEStdsUnorderedList">
    <w:name w:val="IEEEStds Unordered List"/>
    <w:rsid w:val="0057224E"/>
    <w:pPr>
      <w:tabs>
        <w:tab w:val="num" w:pos="720"/>
        <w:tab w:val="left" w:pos="1080"/>
        <w:tab w:val="left" w:pos="1512"/>
        <w:tab w:val="left" w:pos="1958"/>
        <w:tab w:val="left" w:pos="2405"/>
      </w:tabs>
      <w:spacing w:before="60" w:after="60"/>
      <w:ind w:left="648" w:hanging="446"/>
      <w:jc w:val="both"/>
    </w:pPr>
    <w:rPr>
      <w:rFonts w:ascii="Times New Roman" w:eastAsia="MS Mincho" w:hAnsi="Times New Roman" w:cs="Times New Roman"/>
      <w:noProof/>
      <w:sz w:val="20"/>
      <w:szCs w:val="20"/>
      <w:lang w:eastAsia="ja-JP"/>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hyperlink" Target="http://www.ieee802.org/22" TargetMode="External"/><Relationship Id="rId7" Type="http://schemas.openxmlformats.org/officeDocument/2006/relationships/hyperlink" Target="https://mentor.ieee.org/802.19/dcn/10/19-10-0055-03-0001-system-design-document.doc"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1829</Words>
  <Characters>10430</Characters>
  <Application>Microsoft Macintosh Word</Application>
  <DocSecurity>0</DocSecurity>
  <Lines>86</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 Notor</dc:creator>
  <cp:keywords/>
  <cp:lastModifiedBy>John H Notor</cp:lastModifiedBy>
  <cp:revision>3</cp:revision>
  <dcterms:created xsi:type="dcterms:W3CDTF">2011-05-12T18:29:00Z</dcterms:created>
  <dcterms:modified xsi:type="dcterms:W3CDTF">2011-05-12T18:29:00Z</dcterms:modified>
</cp:coreProperties>
</file>