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BD2237" w:rsidTr="00D838C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D2237" w:rsidRPr="008F0303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8F0303" w:rsidRDefault="00BD2237" w:rsidP="00A54E51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 xml:space="preserve">IEEE 802.16s </w:t>
            </w:r>
            <w:bookmarkEnd w:id="0"/>
            <w:r w:rsidR="00A54E51">
              <w:rPr>
                <w:b/>
              </w:rPr>
              <w:t>Guidelines for Proposals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137005" w:rsidP="00A54E5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2016-0</w:t>
            </w:r>
            <w:r w:rsidR="00DA4937">
              <w:rPr>
                <w:b/>
              </w:rPr>
              <w:t>7-2</w:t>
            </w:r>
            <w:r w:rsidR="00A54E51">
              <w:rPr>
                <w:b/>
              </w:rPr>
              <w:t>8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D2237" w:rsidRDefault="000F1E63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GRIDMAN Task Group</w:t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Default"/>
            </w:pPr>
            <w:r>
              <w:t>Voice:</w:t>
            </w:r>
            <w:r>
              <w:tab/>
            </w:r>
          </w:p>
          <w:p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BD2237">
            <w:pPr>
              <w:pStyle w:val="covertext"/>
              <w:snapToGrid w:val="0"/>
              <w:spacing w:before="0"/>
            </w:pPr>
            <w:r>
              <w:t>GRIDMAN Task Group: Narrowband Channel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A54E51" w:rsidP="00D838C3">
            <w:pPr>
              <w:pStyle w:val="covertext"/>
              <w:snapToGrid w:val="0"/>
            </w:pPr>
            <w:r>
              <w:t>Guidelines for 802.16s Proposals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E44CD4">
            <w:pPr>
              <w:pStyle w:val="covertext"/>
              <w:snapToGrid w:val="0"/>
            </w:pPr>
            <w:r>
              <w:t xml:space="preserve">For </w:t>
            </w:r>
            <w:r w:rsidR="00137005">
              <w:t>comment prior to session #10</w:t>
            </w:r>
            <w:r w:rsidR="00E44CD4">
              <w:t>5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6C0901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:rsidTr="00D838C3">
        <w:tc>
          <w:tcPr>
            <w:tcW w:w="1350" w:type="dxa"/>
          </w:tcPr>
          <w:p w:rsidR="00BD2237" w:rsidRDefault="00BD2237" w:rsidP="00D838C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:rsidR="00BD2237" w:rsidRDefault="00BD2237" w:rsidP="00D838C3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8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9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D2237" w:rsidRDefault="00BD2237" w:rsidP="00C9662F">
      <w:pPr>
        <w:jc w:val="center"/>
        <w:rPr>
          <w:sz w:val="72"/>
        </w:rPr>
      </w:pPr>
    </w:p>
    <w:p w:rsidR="00BD2237" w:rsidRDefault="00BD2237">
      <w:pPr>
        <w:rPr>
          <w:sz w:val="72"/>
        </w:rPr>
      </w:pPr>
      <w:r>
        <w:rPr>
          <w:sz w:val="72"/>
        </w:rPr>
        <w:br w:type="page"/>
      </w:r>
    </w:p>
    <w:p w:rsidR="00137005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 xml:space="preserve">IEEE 802.16s Draft </w:t>
      </w:r>
      <w:r w:rsidR="00F33F5D">
        <w:rPr>
          <w:sz w:val="72"/>
        </w:rPr>
        <w:t>Guidelines for Proposals</w:t>
      </w:r>
    </w:p>
    <w:p w:rsidR="00137005" w:rsidRDefault="00137005" w:rsidP="00C9662F">
      <w:pPr>
        <w:jc w:val="center"/>
        <w:rPr>
          <w:sz w:val="72"/>
        </w:rPr>
      </w:pPr>
    </w:p>
    <w:p w:rsidR="00C9662F" w:rsidRDefault="00A54E51" w:rsidP="00C9662F">
      <w:pPr>
        <w:jc w:val="center"/>
        <w:rPr>
          <w:sz w:val="72"/>
        </w:rPr>
      </w:pPr>
      <w:r>
        <w:rPr>
          <w:sz w:val="72"/>
        </w:rPr>
        <w:t>July 28</w:t>
      </w:r>
      <w:r w:rsidR="00C9662F">
        <w:rPr>
          <w:sz w:val="72"/>
        </w:rPr>
        <w:t>, 2016</w:t>
      </w:r>
    </w:p>
    <w:p w:rsidR="00C9662F" w:rsidRDefault="00C9662F" w:rsidP="00C9662F">
      <w:pPr>
        <w:jc w:val="center"/>
        <w:rPr>
          <w:sz w:val="72"/>
        </w:rPr>
      </w:pPr>
    </w:p>
    <w:p w:rsidR="00C9662F" w:rsidRDefault="00C9662F">
      <w:pPr>
        <w:rPr>
          <w:sz w:val="72"/>
        </w:rPr>
      </w:pPr>
      <w:r>
        <w:rPr>
          <w:sz w:val="72"/>
        </w:rPr>
        <w:br w:type="page"/>
      </w:r>
    </w:p>
    <w:p w:rsidR="00C9662F" w:rsidRDefault="00C9662F" w:rsidP="00C9662F">
      <w:pPr>
        <w:pStyle w:val="Heading2"/>
      </w:pPr>
      <w:r>
        <w:lastRenderedPageBreak/>
        <w:t>Introduction</w:t>
      </w:r>
    </w:p>
    <w:p w:rsidR="00D3525F" w:rsidRDefault="004B0CAE" w:rsidP="004B0CAE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The </w:t>
      </w:r>
      <w:r w:rsidR="00376816">
        <w:rPr>
          <w:lang w:eastAsia="ko-KR"/>
        </w:rPr>
        <w:t xml:space="preserve">draft </w:t>
      </w:r>
      <w:r>
        <w:rPr>
          <w:lang w:eastAsia="ko-KR"/>
        </w:rPr>
        <w:t xml:space="preserve">development process will follow this approach. </w:t>
      </w:r>
    </w:p>
    <w:p w:rsidR="004B0CAE" w:rsidRDefault="00D3525F" w:rsidP="004B0CAE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1:</w:t>
      </w:r>
      <w:r w:rsidR="004B0CAE">
        <w:rPr>
          <w:lang w:eastAsia="ko-KR"/>
        </w:rPr>
        <w:t xml:space="preserve"> </w:t>
      </w:r>
      <w:r w:rsidR="00376816">
        <w:rPr>
          <w:lang w:eastAsia="ko-KR"/>
        </w:rPr>
        <w:t>A</w:t>
      </w:r>
      <w:r w:rsidR="004B0CAE">
        <w:rPr>
          <w:lang w:eastAsia="ko-KR"/>
        </w:rPr>
        <w:t xml:space="preserve">gree on the overall structure of the </w:t>
      </w:r>
      <w:r>
        <w:rPr>
          <w:lang w:eastAsia="ko-KR"/>
        </w:rPr>
        <w:t xml:space="preserve">PHY layer </w:t>
      </w:r>
      <w:r w:rsidR="00376816">
        <w:rPr>
          <w:lang w:eastAsia="ko-KR"/>
        </w:rPr>
        <w:t xml:space="preserve">and its </w:t>
      </w:r>
      <w:r w:rsidR="004B0CAE">
        <w:rPr>
          <w:lang w:eastAsia="ko-KR"/>
        </w:rPr>
        <w:t>principles</w:t>
      </w:r>
      <w:r>
        <w:rPr>
          <w:lang w:eastAsia="ko-KR"/>
        </w:rPr>
        <w:t xml:space="preserve"> of operation</w:t>
      </w:r>
      <w:r w:rsidR="004B0CAE">
        <w:rPr>
          <w:lang w:eastAsia="ko-KR"/>
        </w:rPr>
        <w:t>.</w:t>
      </w:r>
      <w:r w:rsidR="009A1877">
        <w:rPr>
          <w:lang w:eastAsia="ko-KR"/>
        </w:rPr>
        <w:t xml:space="preserve"> The proposals and operation should address the requirements in the SRD, and conform to the scope defined in the PAR. </w:t>
      </w:r>
      <w:r w:rsidR="006D3726">
        <w:rPr>
          <w:lang w:eastAsia="ko-KR"/>
        </w:rPr>
        <w:t xml:space="preserve"> </w:t>
      </w:r>
      <w:r w:rsidR="004B0CAE">
        <w:rPr>
          <w:lang w:eastAsia="ko-KR"/>
        </w:rPr>
        <w:t>Capture the design principles of the amendment into this System Description Document (SDD)</w:t>
      </w:r>
      <w:r w:rsidR="00406267">
        <w:rPr>
          <w:lang w:eastAsia="ko-KR"/>
        </w:rPr>
        <w:t xml:space="preserve">. </w:t>
      </w:r>
    </w:p>
    <w:p w:rsidR="00057250" w:rsidRDefault="00057250" w:rsidP="00057250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2: Consider MAC changes needed to support the PHY operation and further optimizations for efficiency to satisfy the SRD requirements.</w:t>
      </w:r>
    </w:p>
    <w:p w:rsidR="007D3A0B" w:rsidRDefault="007D3A0B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should provide a table of system description parameters and performance analysis addressing the requirements in the SRD.</w:t>
      </w:r>
    </w:p>
    <w:p w:rsidR="00057250" w:rsidRDefault="00057250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should describe any necessary (consequential) MAC changes and how they affect the performance metrics</w:t>
      </w:r>
    </w:p>
    <w:p w:rsidR="009B3DC4" w:rsidRDefault="009B3DC4" w:rsidP="007D3A0B">
      <w:pPr>
        <w:pStyle w:val="ListParagraph"/>
        <w:widowControl w:val="0"/>
        <w:numPr>
          <w:ilvl w:val="0"/>
          <w:numId w:val="15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Text Proposals can be adopted into the SDD with the approval of the Task Group.</w:t>
      </w: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 xml:space="preserve">When the SDD has adopted proposals meeting the requirements of the SRD, </w:t>
      </w:r>
    </w:p>
    <w:p w:rsidR="006D3726" w:rsidRDefault="006D3726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Phase 3</w:t>
      </w:r>
      <w:r w:rsidR="00057250">
        <w:rPr>
          <w:lang w:eastAsia="ko-KR"/>
        </w:rPr>
        <w:t xml:space="preserve"> will m</w:t>
      </w:r>
      <w:r>
        <w:rPr>
          <w:lang w:eastAsia="ko-KR"/>
        </w:rPr>
        <w:t xml:space="preserve">ap </w:t>
      </w:r>
      <w:r w:rsidR="00057250">
        <w:rPr>
          <w:lang w:eastAsia="ko-KR"/>
        </w:rPr>
        <w:t xml:space="preserve">the </w:t>
      </w:r>
      <w:r>
        <w:rPr>
          <w:lang w:eastAsia="ko-KR"/>
        </w:rPr>
        <w:t xml:space="preserve">SDD into the base standard, which then leads us to a </w:t>
      </w:r>
      <w:proofErr w:type="spellStart"/>
      <w:r>
        <w:rPr>
          <w:lang w:eastAsia="ko-KR"/>
        </w:rPr>
        <w:t>ToC</w:t>
      </w:r>
      <w:proofErr w:type="spellEnd"/>
      <w:r>
        <w:rPr>
          <w:lang w:eastAsia="ko-KR"/>
        </w:rPr>
        <w:t xml:space="preserve"> and outline for the draft amendment.</w:t>
      </w:r>
    </w:p>
    <w:p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7E3F26" w:rsidRDefault="007E3F26" w:rsidP="007E3F26">
      <w:pPr>
        <w:pStyle w:val="Heading2"/>
      </w:pPr>
      <w:r>
        <w:t>Contribution Structure</w:t>
      </w:r>
    </w:p>
    <w:p w:rsidR="007E3F26" w:rsidRDefault="007E3F26" w:rsidP="007E3F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Contributions should provide proposals for specific profiles meeting the SRD requirements</w:t>
      </w:r>
    </w:p>
    <w:p w:rsidR="007E3F26" w:rsidRDefault="007E3F26" w:rsidP="007E3F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br/>
        <w:t xml:space="preserve">Profiles could be a </w:t>
      </w:r>
      <w:r>
        <w:rPr>
          <w:lang w:eastAsia="ko-KR"/>
        </w:rPr>
        <w:t>General profile that addresses all but the “edge case”</w:t>
      </w:r>
    </w:p>
    <w:p w:rsidR="007E3F26" w:rsidRDefault="007E3F26" w:rsidP="007E3F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Or s</w:t>
      </w:r>
      <w:r>
        <w:rPr>
          <w:lang w:eastAsia="ko-KR"/>
        </w:rPr>
        <w:t xml:space="preserve">pecialized profiles for optimizing specific use cases: can extend toward general profile. </w:t>
      </w:r>
      <w:r>
        <w:rPr>
          <w:lang w:eastAsia="ko-KR"/>
        </w:rPr>
        <w:t xml:space="preserve"> E.G. </w:t>
      </w:r>
    </w:p>
    <w:p w:rsidR="007E3F26" w:rsidRDefault="007E3F26" w:rsidP="007E3F26">
      <w:pPr>
        <w:pStyle w:val="ListParagraph"/>
        <w:widowControl w:val="0"/>
        <w:numPr>
          <w:ilvl w:val="0"/>
          <w:numId w:val="16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Longest range vs shorter range</w:t>
      </w:r>
    </w:p>
    <w:p w:rsidR="007E3F26" w:rsidRDefault="007E3F26" w:rsidP="007E3F26">
      <w:pPr>
        <w:pStyle w:val="ListParagraph"/>
        <w:widowControl w:val="0"/>
        <w:numPr>
          <w:ilvl w:val="0"/>
          <w:numId w:val="16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Lowest BW vs wide bandwidth</w:t>
      </w:r>
    </w:p>
    <w:p w:rsidR="007E3F26" w:rsidRDefault="007E3F26" w:rsidP="007E3F26">
      <w:pPr>
        <w:pStyle w:val="ListParagraph"/>
        <w:widowControl w:val="0"/>
        <w:numPr>
          <w:ilvl w:val="0"/>
          <w:numId w:val="16"/>
        </w:numPr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Shortest possible latency</w:t>
      </w:r>
    </w:p>
    <w:p w:rsidR="007E3F26" w:rsidRDefault="007E3F26" w:rsidP="004B0CAE">
      <w:pPr>
        <w:pStyle w:val="Heading2"/>
      </w:pPr>
    </w:p>
    <w:p w:rsidR="004B0CAE" w:rsidRDefault="004B0CAE" w:rsidP="004B0CAE">
      <w:pPr>
        <w:pStyle w:val="Heading2"/>
      </w:pPr>
      <w:r>
        <w:t>System Description Parameters</w:t>
      </w:r>
    </w:p>
    <w:p w:rsidR="004B0CAE" w:rsidRPr="004B0CAE" w:rsidRDefault="007E3F26" w:rsidP="004B0CAE">
      <w:r>
        <w:t xml:space="preserve">  </w:t>
      </w:r>
    </w:p>
    <w:p w:rsidR="0081176C" w:rsidRPr="004B0CAE" w:rsidRDefault="00D86E83" w:rsidP="004B0CAE">
      <w:pPr>
        <w:numPr>
          <w:ilvl w:val="0"/>
          <w:numId w:val="13"/>
        </w:numPr>
      </w:pPr>
      <w:r w:rsidRPr="004B0CAE">
        <w:t>Primary</w:t>
      </w:r>
      <w:r w:rsidR="004B0CAE">
        <w:t xml:space="preserve"> design </w:t>
      </w:r>
      <w:r w:rsidR="00D3525F">
        <w:t>specifications</w:t>
      </w:r>
      <w:r w:rsidR="007E3F26">
        <w:t xml:space="preserve"> (defined in the proposal)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Subcarrier spacing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Sampling Clock</w:t>
      </w:r>
    </w:p>
    <w:p w:rsidR="0081176C" w:rsidRPr="004B0CAE" w:rsidRDefault="00D86E83" w:rsidP="006D3726">
      <w:pPr>
        <w:numPr>
          <w:ilvl w:val="1"/>
          <w:numId w:val="13"/>
        </w:numPr>
      </w:pPr>
      <w:r w:rsidRPr="004B0CAE">
        <w:t>FFT Size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>Permutations</w:t>
      </w:r>
      <w:r w:rsidR="006D3726">
        <w:t>, number of data</w:t>
      </w:r>
      <w:r w:rsidR="00FB1BF5">
        <w:t>/pilot/guard</w:t>
      </w:r>
      <w:r w:rsidR="006D3726">
        <w:t xml:space="preserve"> subcarriers</w:t>
      </w:r>
      <w:r w:rsidR="00FB1BF5">
        <w:t xml:space="preserve">  </w:t>
      </w:r>
    </w:p>
    <w:p w:rsidR="0081176C" w:rsidRDefault="00D86E83" w:rsidP="004B0CAE">
      <w:pPr>
        <w:numPr>
          <w:ilvl w:val="1"/>
          <w:numId w:val="13"/>
        </w:numPr>
      </w:pPr>
      <w:r w:rsidRPr="004B0CAE">
        <w:t>Preamble</w:t>
      </w:r>
      <w:r w:rsidR="00D3525F">
        <w:t xml:space="preserve"> and CDMA cod</w:t>
      </w:r>
      <w:r w:rsidR="002A3DC1">
        <w:t>ing scheme</w:t>
      </w:r>
      <w:r w:rsidR="00D3525F">
        <w:t xml:space="preserve"> to fit the channel</w:t>
      </w:r>
    </w:p>
    <w:p w:rsidR="002A3DC1" w:rsidRDefault="002A3DC1" w:rsidP="004B0CAE">
      <w:pPr>
        <w:numPr>
          <w:ilvl w:val="1"/>
          <w:numId w:val="13"/>
        </w:numPr>
      </w:pPr>
      <w:r>
        <w:t>Variations between UL and DL</w:t>
      </w:r>
    </w:p>
    <w:p w:rsidR="007C4338" w:rsidRPr="004B0CAE" w:rsidRDefault="007C4338" w:rsidP="004B0CAE">
      <w:pPr>
        <w:numPr>
          <w:ilvl w:val="1"/>
          <w:numId w:val="13"/>
        </w:numPr>
      </w:pPr>
      <w:r>
        <w:lastRenderedPageBreak/>
        <w:t xml:space="preserve">Changes to MAC data: DL-MAP, </w:t>
      </w:r>
      <w:r w:rsidR="001B30C3">
        <w:t xml:space="preserve">UL-MAP </w:t>
      </w:r>
      <w:r>
        <w:t xml:space="preserve">etc. </w:t>
      </w:r>
    </w:p>
    <w:p w:rsidR="0081176C" w:rsidRPr="004B0CAE" w:rsidRDefault="00E1153D" w:rsidP="004B0CAE">
      <w:pPr>
        <w:numPr>
          <w:ilvl w:val="0"/>
          <w:numId w:val="13"/>
        </w:numPr>
      </w:pPr>
      <w:r>
        <w:t>Performance metrics</w:t>
      </w:r>
      <w:r w:rsidR="004B0CAE">
        <w:t xml:space="preserve">: derived from or affected by primary </w:t>
      </w:r>
      <w:r w:rsidR="00D3525F">
        <w:t>specifications</w:t>
      </w:r>
    </w:p>
    <w:p w:rsidR="00184261" w:rsidRDefault="00E1153D" w:rsidP="004B0CAE">
      <w:pPr>
        <w:numPr>
          <w:ilvl w:val="1"/>
          <w:numId w:val="13"/>
        </w:numPr>
      </w:pPr>
      <w:r>
        <w:t xml:space="preserve">PHY </w:t>
      </w:r>
      <w:r w:rsidR="00184261">
        <w:t>Throughput</w:t>
      </w:r>
    </w:p>
    <w:p w:rsidR="00E1153D" w:rsidRDefault="00E1153D" w:rsidP="004B0CAE">
      <w:pPr>
        <w:numPr>
          <w:ilvl w:val="1"/>
          <w:numId w:val="13"/>
        </w:numPr>
      </w:pPr>
      <w:proofErr w:type="spellStart"/>
      <w:r>
        <w:t>Goodput</w:t>
      </w:r>
      <w:proofErr w:type="spellEnd"/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 xml:space="preserve">Frame </w:t>
      </w:r>
      <w:proofErr w:type="gramStart"/>
      <w:r w:rsidRPr="004B0CAE">
        <w:t>Size</w:t>
      </w:r>
      <w:r w:rsidR="00E1153D">
        <w:t xml:space="preserve">  /</w:t>
      </w:r>
      <w:proofErr w:type="gramEnd"/>
      <w:r w:rsidR="00E1153D">
        <w:t xml:space="preserve"> Latency</w:t>
      </w:r>
    </w:p>
    <w:p w:rsidR="0081176C" w:rsidRPr="004B0CAE" w:rsidRDefault="00184261" w:rsidP="004B0CAE">
      <w:pPr>
        <w:numPr>
          <w:ilvl w:val="1"/>
          <w:numId w:val="13"/>
        </w:numPr>
      </w:pPr>
      <w:r>
        <w:t>Peak to Average Power Ratio</w:t>
      </w:r>
    </w:p>
    <w:p w:rsidR="0081176C" w:rsidRPr="004B0CAE" w:rsidRDefault="00184261" w:rsidP="004B0CAE">
      <w:pPr>
        <w:numPr>
          <w:ilvl w:val="1"/>
          <w:numId w:val="13"/>
        </w:numPr>
      </w:pPr>
      <w:r>
        <w:t>Inter-carrier Interference</w:t>
      </w:r>
    </w:p>
    <w:p w:rsidR="0081176C" w:rsidRPr="004B0CAE" w:rsidRDefault="00184261" w:rsidP="004B0CAE">
      <w:pPr>
        <w:numPr>
          <w:ilvl w:val="1"/>
          <w:numId w:val="13"/>
        </w:numPr>
      </w:pPr>
      <w:r>
        <w:t>Inter-symbol Interference</w:t>
      </w:r>
      <w:r w:rsidR="00D86E83" w:rsidRPr="004B0CAE">
        <w:t>, Delay Spread</w:t>
      </w:r>
    </w:p>
    <w:p w:rsidR="0081176C" w:rsidRPr="004B0CAE" w:rsidRDefault="00D86E83" w:rsidP="004B0CAE">
      <w:pPr>
        <w:numPr>
          <w:ilvl w:val="1"/>
          <w:numId w:val="13"/>
        </w:numPr>
      </w:pPr>
      <w:r w:rsidRPr="004B0CAE">
        <w:t xml:space="preserve">Interference </w:t>
      </w:r>
      <w:r w:rsidR="00184261">
        <w:t xml:space="preserve">management, </w:t>
      </w:r>
      <w:r w:rsidR="00E1153D">
        <w:t xml:space="preserve">MIMO, </w:t>
      </w:r>
      <w:r w:rsidR="00184261">
        <w:t>beam forming</w:t>
      </w:r>
    </w:p>
    <w:p w:rsidR="0081176C" w:rsidRDefault="00E1153D" w:rsidP="004B0CAE">
      <w:pPr>
        <w:numPr>
          <w:ilvl w:val="1"/>
          <w:numId w:val="13"/>
        </w:numPr>
      </w:pPr>
      <w:r>
        <w:t>CINR performance</w:t>
      </w:r>
    </w:p>
    <w:p w:rsidR="00E1153D" w:rsidRDefault="00E1153D" w:rsidP="004B0CAE">
      <w:pPr>
        <w:numPr>
          <w:ilvl w:val="1"/>
          <w:numId w:val="13"/>
        </w:numPr>
      </w:pPr>
      <w:r>
        <w:t>Out of band emissions</w:t>
      </w:r>
    </w:p>
    <w:p w:rsidR="00670761" w:rsidRPr="004B0CAE" w:rsidRDefault="007C5785" w:rsidP="004B0CAE">
      <w:pPr>
        <w:numPr>
          <w:ilvl w:val="1"/>
          <w:numId w:val="13"/>
        </w:numPr>
      </w:pPr>
      <w:r>
        <w:t>M</w:t>
      </w:r>
      <w:r w:rsidR="00670761">
        <w:t>obility</w:t>
      </w:r>
      <w:r>
        <w:t xml:space="preserve"> capability</w:t>
      </w:r>
    </w:p>
    <w:p w:rsidR="004B0CAE" w:rsidRPr="004B0CAE" w:rsidRDefault="004B0CAE" w:rsidP="004B0CAE"/>
    <w:p w:rsidR="007E3F26" w:rsidRDefault="007E3F26" w:rsidP="007D3A0B">
      <w:pPr>
        <w:pStyle w:val="Heading2"/>
      </w:pPr>
    </w:p>
    <w:p w:rsidR="007E3F26" w:rsidRDefault="007E3F26" w:rsidP="007E3F26">
      <w:r>
        <w:t xml:space="preserve">Proposals should include: </w:t>
      </w:r>
    </w:p>
    <w:p w:rsidR="007D3A0B" w:rsidRDefault="007D3A0B" w:rsidP="007E3F26">
      <w:pPr>
        <w:ind w:left="720"/>
      </w:pPr>
      <w:r>
        <w:t>Table of System Description Parameters</w:t>
      </w:r>
    </w:p>
    <w:p w:rsidR="007D3A0B" w:rsidRDefault="007E3F26" w:rsidP="007E3F26">
      <w:r>
        <w:tab/>
      </w:r>
      <w:r w:rsidR="007D3A0B">
        <w:t>Performance Analysis (with reference to SRD)</w:t>
      </w:r>
    </w:p>
    <w:p w:rsidR="007D3A0B" w:rsidRDefault="007D3A0B" w:rsidP="007D3A0B"/>
    <w:p w:rsidR="007D3A0B" w:rsidRDefault="007E3F26" w:rsidP="004B0CAE">
      <w:pPr>
        <w:pStyle w:val="Heading2"/>
      </w:pPr>
      <w:r w:rsidRPr="007E3F26">
        <w:t>Guidelines for proposal evaluation</w:t>
      </w:r>
    </w:p>
    <w:p w:rsidR="007E3F26" w:rsidRDefault="007E3F26" w:rsidP="007E3F26"/>
    <w:p w:rsidR="00000000" w:rsidRPr="007E3F26" w:rsidRDefault="00611A25" w:rsidP="007E3F26">
      <w:pPr>
        <w:numPr>
          <w:ilvl w:val="0"/>
          <w:numId w:val="17"/>
        </w:numPr>
      </w:pPr>
      <w:r w:rsidRPr="007E3F26">
        <w:t>Proposals are evaluated on how well they</w:t>
      </w:r>
    </w:p>
    <w:p w:rsidR="00000000" w:rsidRPr="007E3F26" w:rsidRDefault="00611A25" w:rsidP="007E3F26">
      <w:pPr>
        <w:numPr>
          <w:ilvl w:val="1"/>
          <w:numId w:val="17"/>
        </w:numPr>
      </w:pPr>
      <w:r w:rsidRPr="007E3F26">
        <w:t>Address the requirements in the SRD</w:t>
      </w:r>
    </w:p>
    <w:p w:rsidR="00000000" w:rsidRPr="007E3F26" w:rsidRDefault="00611A25" w:rsidP="007E3F26">
      <w:pPr>
        <w:numPr>
          <w:ilvl w:val="1"/>
          <w:numId w:val="17"/>
        </w:numPr>
      </w:pPr>
      <w:r w:rsidRPr="007E3F26">
        <w:t>Specifies the minimum set of essential changes to the OFDMA PHY defined in 802.16-2012 as necessary to meet the requirements</w:t>
      </w:r>
    </w:p>
    <w:p w:rsidR="00000000" w:rsidRPr="007E3F26" w:rsidRDefault="00611A25" w:rsidP="007E3F26">
      <w:pPr>
        <w:numPr>
          <w:ilvl w:val="1"/>
          <w:numId w:val="17"/>
        </w:numPr>
      </w:pPr>
      <w:r w:rsidRPr="007E3F26">
        <w:t>Address the performance metrics from the SDD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PHY Throughput</w:t>
      </w:r>
    </w:p>
    <w:p w:rsidR="00000000" w:rsidRPr="007E3F26" w:rsidRDefault="00611A25" w:rsidP="007E3F26">
      <w:pPr>
        <w:numPr>
          <w:ilvl w:val="2"/>
          <w:numId w:val="17"/>
        </w:numPr>
      </w:pPr>
      <w:proofErr w:type="spellStart"/>
      <w:r w:rsidRPr="007E3F26">
        <w:t>Goodput</w:t>
      </w:r>
      <w:proofErr w:type="spellEnd"/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 xml:space="preserve">Frame </w:t>
      </w:r>
      <w:proofErr w:type="gramStart"/>
      <w:r w:rsidRPr="007E3F26">
        <w:t>Size  /</w:t>
      </w:r>
      <w:proofErr w:type="gramEnd"/>
      <w:r w:rsidRPr="007E3F26">
        <w:t xml:space="preserve"> Latency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Peak to Average Power Ratio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Inter-carrier Interference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lastRenderedPageBreak/>
        <w:t>Inter-symbol Interference, Delay Spread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Interference management, MIMO, beam forming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CINR performance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Ou</w:t>
      </w:r>
      <w:r w:rsidRPr="007E3F26">
        <w:t>t of band emissions</w:t>
      </w:r>
    </w:p>
    <w:p w:rsidR="00000000" w:rsidRPr="007E3F26" w:rsidRDefault="00611A25" w:rsidP="007E3F26">
      <w:pPr>
        <w:numPr>
          <w:ilvl w:val="2"/>
          <w:numId w:val="17"/>
        </w:numPr>
      </w:pPr>
      <w:r w:rsidRPr="007E3F26">
        <w:t>Mobility capability</w:t>
      </w:r>
    </w:p>
    <w:p w:rsidR="00000000" w:rsidRPr="007E3F26" w:rsidRDefault="00611A25" w:rsidP="007E3F26">
      <w:pPr>
        <w:numPr>
          <w:ilvl w:val="1"/>
          <w:numId w:val="17"/>
        </w:numPr>
      </w:pPr>
      <w:r w:rsidRPr="007E3F26">
        <w:t>Provides sufficient information and supporting data to allow the understanding of how th</w:t>
      </w:r>
      <w:r w:rsidRPr="007E3F26">
        <w:t>e requirements and performance are met</w:t>
      </w:r>
    </w:p>
    <w:p w:rsidR="00000000" w:rsidRPr="007E3F26" w:rsidRDefault="00611A25" w:rsidP="007E3F26">
      <w:pPr>
        <w:numPr>
          <w:ilvl w:val="1"/>
          <w:numId w:val="17"/>
        </w:numPr>
      </w:pPr>
      <w:r w:rsidRPr="007E3F26">
        <w:t>Ability to maintain performance across the frequency range of interest</w:t>
      </w:r>
    </w:p>
    <w:p w:rsidR="007E3F26" w:rsidRPr="007E3F26" w:rsidRDefault="007E3F26" w:rsidP="007E3F26">
      <w:bookmarkStart w:id="1" w:name="_GoBack"/>
      <w:bookmarkEnd w:id="1"/>
    </w:p>
    <w:sectPr w:rsidR="007E3F26" w:rsidRPr="007E3F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25" w:rsidRDefault="00611A25" w:rsidP="00F87A52">
      <w:pPr>
        <w:spacing w:after="0" w:line="240" w:lineRule="auto"/>
      </w:pPr>
      <w:r>
        <w:separator/>
      </w:r>
    </w:p>
  </w:endnote>
  <w:endnote w:type="continuationSeparator" w:id="0">
    <w:p w:rsidR="00611A25" w:rsidRDefault="00611A25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25" w:rsidRDefault="00611A25" w:rsidP="00F87A52">
      <w:pPr>
        <w:spacing w:after="0" w:line="240" w:lineRule="auto"/>
      </w:pPr>
      <w:r>
        <w:separator/>
      </w:r>
    </w:p>
  </w:footnote>
  <w:footnote w:type="continuationSeparator" w:id="0">
    <w:p w:rsidR="00611A25" w:rsidRDefault="00611A25" w:rsidP="00F8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52" w:rsidRPr="00F87A52" w:rsidRDefault="00F87A52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 w:rsidR="00E44CD4">
      <w:rPr>
        <w:b/>
        <w:sz w:val="24"/>
      </w:rPr>
      <w:t>6</w:t>
    </w:r>
    <w:r w:rsidRPr="00F87A52">
      <w:rPr>
        <w:b/>
        <w:sz w:val="24"/>
      </w:rPr>
      <w:t>-00</w:t>
    </w:r>
    <w:r w:rsidR="00E44CD4">
      <w:rPr>
        <w:b/>
        <w:sz w:val="24"/>
      </w:rPr>
      <w:t>4</w:t>
    </w:r>
    <w:r w:rsidR="00A54E51">
      <w:rPr>
        <w:b/>
        <w:sz w:val="24"/>
      </w:rPr>
      <w:t>6</w:t>
    </w:r>
    <w:r w:rsidRPr="00F87A52">
      <w:rPr>
        <w:b/>
        <w:sz w:val="24"/>
      </w:rPr>
      <w:t>-</w:t>
    </w:r>
    <w:r w:rsidR="001B30C3">
      <w:rPr>
        <w:b/>
        <w:sz w:val="24"/>
      </w:rPr>
      <w:t>0</w:t>
    </w:r>
    <w:r w:rsidR="00A54E51">
      <w:rPr>
        <w:b/>
        <w:sz w:val="24"/>
      </w:rPr>
      <w:t>0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:rsidR="00F87A52" w:rsidRDefault="00F8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9720A3"/>
    <w:multiLevelType w:val="hybridMultilevel"/>
    <w:tmpl w:val="9F44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C4C35"/>
    <w:multiLevelType w:val="hybridMultilevel"/>
    <w:tmpl w:val="9D86B4D6"/>
    <w:lvl w:ilvl="0" w:tplc="0C2C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C7B38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440F6">
      <w:start w:val="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0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82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8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E0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6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A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0"/>
  </w:num>
  <w:num w:numId="8">
    <w:abstractNumId w:val="14"/>
  </w:num>
  <w:num w:numId="9">
    <w:abstractNumId w:val="16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F"/>
    <w:rsid w:val="000012D6"/>
    <w:rsid w:val="00057250"/>
    <w:rsid w:val="000A19F6"/>
    <w:rsid w:val="000C56B9"/>
    <w:rsid w:val="000D71A9"/>
    <w:rsid w:val="000F1E63"/>
    <w:rsid w:val="00116D2E"/>
    <w:rsid w:val="0012591A"/>
    <w:rsid w:val="00137005"/>
    <w:rsid w:val="00155697"/>
    <w:rsid w:val="00184261"/>
    <w:rsid w:val="001B30C3"/>
    <w:rsid w:val="001B5EFD"/>
    <w:rsid w:val="001C34A6"/>
    <w:rsid w:val="00275385"/>
    <w:rsid w:val="002A3DC1"/>
    <w:rsid w:val="002A6BB7"/>
    <w:rsid w:val="002D0B0D"/>
    <w:rsid w:val="002D32FB"/>
    <w:rsid w:val="002E103B"/>
    <w:rsid w:val="002E1FBA"/>
    <w:rsid w:val="00322EB1"/>
    <w:rsid w:val="00334A90"/>
    <w:rsid w:val="00356012"/>
    <w:rsid w:val="00361E0E"/>
    <w:rsid w:val="00376816"/>
    <w:rsid w:val="003866A1"/>
    <w:rsid w:val="0039752A"/>
    <w:rsid w:val="003B3B36"/>
    <w:rsid w:val="003C76E2"/>
    <w:rsid w:val="00406267"/>
    <w:rsid w:val="004102D7"/>
    <w:rsid w:val="00423256"/>
    <w:rsid w:val="004408B0"/>
    <w:rsid w:val="00483A22"/>
    <w:rsid w:val="004B0CAE"/>
    <w:rsid w:val="00533716"/>
    <w:rsid w:val="00541BFD"/>
    <w:rsid w:val="005503D2"/>
    <w:rsid w:val="005628EA"/>
    <w:rsid w:val="00563AAC"/>
    <w:rsid w:val="005702FB"/>
    <w:rsid w:val="005C0D38"/>
    <w:rsid w:val="005D5DC1"/>
    <w:rsid w:val="00611A25"/>
    <w:rsid w:val="006152E3"/>
    <w:rsid w:val="00657C3D"/>
    <w:rsid w:val="00670761"/>
    <w:rsid w:val="006D3726"/>
    <w:rsid w:val="00750704"/>
    <w:rsid w:val="00781B6B"/>
    <w:rsid w:val="00791AC5"/>
    <w:rsid w:val="00793C0B"/>
    <w:rsid w:val="007B0866"/>
    <w:rsid w:val="007B78C5"/>
    <w:rsid w:val="007C4338"/>
    <w:rsid w:val="007C5785"/>
    <w:rsid w:val="007D3A0B"/>
    <w:rsid w:val="007E3F26"/>
    <w:rsid w:val="0081176C"/>
    <w:rsid w:val="00855EF0"/>
    <w:rsid w:val="0085749A"/>
    <w:rsid w:val="00873A13"/>
    <w:rsid w:val="00923D32"/>
    <w:rsid w:val="00925556"/>
    <w:rsid w:val="00943274"/>
    <w:rsid w:val="009453F0"/>
    <w:rsid w:val="009A0A3D"/>
    <w:rsid w:val="009A1877"/>
    <w:rsid w:val="009B3DC4"/>
    <w:rsid w:val="009C5AB2"/>
    <w:rsid w:val="009E1EF2"/>
    <w:rsid w:val="00A124A2"/>
    <w:rsid w:val="00A160E8"/>
    <w:rsid w:val="00A47160"/>
    <w:rsid w:val="00A54E51"/>
    <w:rsid w:val="00A73D9E"/>
    <w:rsid w:val="00A874FA"/>
    <w:rsid w:val="00B44812"/>
    <w:rsid w:val="00B822D1"/>
    <w:rsid w:val="00BB7CF5"/>
    <w:rsid w:val="00BC23A9"/>
    <w:rsid w:val="00BC7A17"/>
    <w:rsid w:val="00BD2237"/>
    <w:rsid w:val="00BF2B60"/>
    <w:rsid w:val="00C27878"/>
    <w:rsid w:val="00C61504"/>
    <w:rsid w:val="00C62F62"/>
    <w:rsid w:val="00C9662F"/>
    <w:rsid w:val="00CB7F03"/>
    <w:rsid w:val="00CC5D65"/>
    <w:rsid w:val="00D20D3E"/>
    <w:rsid w:val="00D2252B"/>
    <w:rsid w:val="00D3525F"/>
    <w:rsid w:val="00D372A7"/>
    <w:rsid w:val="00D55BF5"/>
    <w:rsid w:val="00D622CD"/>
    <w:rsid w:val="00D70A02"/>
    <w:rsid w:val="00D86E83"/>
    <w:rsid w:val="00DA4937"/>
    <w:rsid w:val="00DF05C4"/>
    <w:rsid w:val="00E1153D"/>
    <w:rsid w:val="00E24707"/>
    <w:rsid w:val="00E36D75"/>
    <w:rsid w:val="00E44CD4"/>
    <w:rsid w:val="00E606E4"/>
    <w:rsid w:val="00E84538"/>
    <w:rsid w:val="00EC31C3"/>
    <w:rsid w:val="00F33F5D"/>
    <w:rsid w:val="00F41A31"/>
    <w:rsid w:val="00F65233"/>
    <w:rsid w:val="00F83763"/>
    <w:rsid w:val="00F8693F"/>
    <w:rsid w:val="00F87A52"/>
    <w:rsid w:val="00FA1119"/>
    <w:rsid w:val="00FA2686"/>
    <w:rsid w:val="00FA3DC0"/>
    <w:rsid w:val="00FB1BF5"/>
    <w:rsid w:val="00FB200F"/>
    <w:rsid w:val="00FC6C5B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1BA0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2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24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63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3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6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37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43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27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6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82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59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ee802.org/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andards.ieee.org/board/p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4</cp:revision>
  <dcterms:created xsi:type="dcterms:W3CDTF">2016-07-28T21:56:00Z</dcterms:created>
  <dcterms:modified xsi:type="dcterms:W3CDTF">2016-07-28T21:58:00Z</dcterms:modified>
</cp:coreProperties>
</file>