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2A" w:rsidRDefault="006A7B2A">
      <w:pPr>
        <w:pStyle w:val="Default"/>
        <w:widowControl/>
        <w:suppressAutoHyphens w:val="0"/>
        <w:spacing w:before="0" w:after="240"/>
        <w:ind w:right="720"/>
        <w:rPr>
          <w:rFonts w:ascii="Times New Roman" w:eastAsia="Times New Roman" w:hAnsi="Times New Roman" w:cs="Times New Roman"/>
        </w:rPr>
      </w:pPr>
    </w:p>
    <w:p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5" w:history="1">
        <w:r w:rsidRPr="00502168">
          <w:rPr>
            <w:rStyle w:val="Hyperlink3"/>
            <w:rFonts w:ascii="Verdana"/>
            <w:color w:val="0065CB"/>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802.16-2012</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Pr="00502168">
        <w:rPr>
          <w:rFonts w:ascii="Verdana"/>
          <w:color w:val="323232"/>
          <w:sz w:val="28"/>
          <w:szCs w:val="28"/>
        </w:rPr>
        <w:t>13-Nov-2015</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Amendment for Fixed and Mobile Wireless Access in Channel Sizes up to 1.25 MHz</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6" w:history="1">
        <w:r w:rsidRPr="00502168">
          <w:rPr>
            <w:rStyle w:val="Hyperlink4"/>
            <w:rFonts w:ascii="Verdana"/>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Harry Bims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nl-NL"/>
        </w:rPr>
        <w:t>Michael Janezic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nl-NL"/>
        </w:rPr>
        <w:t>Michael Janezic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Pr="00502168">
        <w:rPr>
          <w:rFonts w:ascii="Verdana"/>
          <w:color w:val="323232"/>
          <w:sz w:val="28"/>
          <w:szCs w:val="28"/>
        </w:rPr>
        <w:t>07/2016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Pr="00502168">
        <w:rPr>
          <w:rFonts w:ascii="Verdana"/>
          <w:color w:val="323232"/>
          <w:sz w:val="28"/>
          <w:szCs w:val="28"/>
        </w:rPr>
        <w:t>02/2017</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Pr="00502168">
        <w:rPr>
          <w:rFonts w:ascii="Verdana"/>
          <w:color w:val="323232"/>
          <w:sz w:val="28"/>
          <w:szCs w:val="28"/>
        </w:rPr>
        <w:t>The project will amend Clause 12 of IEEE Std 802.16, adding a new WirelessMAN-OFDMA TDD system profile, and if necessary, minor consequential amendments to other clauses. This system profile will specify operation in exclusively-licensed spectrum with channel sizes up to 1.25 MHz, including 1 MHz explicitly.</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5.3 Is the completion of this standard dependent upon the completion of another standard: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 intelligent transportation for rail and highway systems; and federal, state and local uses for homeland security and environmental and seismic monitoring.</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VHF/UHF licensed channels narrower than 1.25 MHz are readily available in the secondary markets at a lower cost than commercial wideband channels. Furthermore, VHF/UHF channels have superior propagation characteristics requiring less infrastructure and are capable of meeting capacity needs of private networks.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0"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0"/>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7.1 Are there other standards or projects with a similar scope?: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7.4 Does the sponsor foresee a longer term need for testing and/or certification services to assure conformity to the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eastAsia="Times" w:hAnsi="Times" w:cs="Times"/>
          <w:sz w:val="22"/>
          <w:szCs w:val="22"/>
        </w:rPr>
      </w:pPr>
      <w:r w:rsidRPr="00502168">
        <w:rPr>
          <w:rFonts w:ascii="Verdana"/>
          <w:b/>
          <w:bCs/>
          <w:color w:val="323232"/>
          <w:sz w:val="28"/>
          <w:szCs w:val="28"/>
        </w:rPr>
        <w:t>8.1 Additional Explanatory Notes (Item Number and Explanation):</w:t>
      </w:r>
    </w:p>
    <w:p w:rsidR="006A7B2A" w:rsidRPr="00502168" w:rsidRDefault="00DC2D97">
      <w:pPr>
        <w:pStyle w:val="Default"/>
        <w:widowControl/>
        <w:tabs>
          <w:tab w:val="clear" w:pos="1134"/>
          <w:tab w:val="clear" w:pos="1871"/>
          <w:tab w:val="clear" w:pos="2268"/>
        </w:tabs>
        <w:suppressAutoHyphens w:val="0"/>
        <w:spacing w:before="0"/>
        <w:ind w:right="720"/>
      </w:pPr>
      <w:r w:rsidRPr="00502168">
        <w:rPr>
          <w:rFonts w:eastAsia="Times" w:hAnsi="Times" w:cs="Times"/>
          <w:sz w:val="22"/>
          <w:szCs w:val="22"/>
        </w:rPr>
        <w:br w:type="page"/>
      </w:r>
    </w:p>
    <w:p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145AB2"/>
          <w:u w:color="0070C0"/>
        </w:rPr>
      </w:pPr>
      <w:bookmarkStart w:id="1" w:name="OLE_LINK146"/>
      <w:r w:rsidRPr="00502168">
        <w:rPr>
          <w:b/>
          <w:bCs/>
          <w:sz w:val="28"/>
          <w:szCs w:val="28"/>
          <w:lang w:val="fr-FR"/>
        </w:rPr>
        <w:t xml:space="preserve">Annex 2: </w:t>
      </w:r>
      <w:r w:rsidRPr="00502168">
        <w:rPr>
          <w:rFonts w:ascii="Times"/>
          <w:color w:val="145AB2"/>
          <w:u w:color="0070C0"/>
        </w:rPr>
        <w:t>Proposed Draft IEEE 802 Criteria for Standards Development (CSD):</w:t>
      </w:r>
    </w:p>
    <w:p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502168">
        <w:rPr>
          <w:rFonts w:ascii="Times"/>
          <w:color w:val="145AB2"/>
          <w:u w:color="0070C0"/>
        </w:rPr>
        <w:t xml:space="preserve"> </w:t>
      </w:r>
      <w:r w:rsidR="00427CFD" w:rsidRPr="00502168">
        <w:rPr>
          <w:rFonts w:ascii="Times"/>
          <w:color w:val="145AB2"/>
          <w:u w:color="0070C0"/>
        </w:rPr>
        <w:t xml:space="preserve">P802.16s </w:t>
      </w:r>
      <w:r w:rsidRPr="00502168">
        <w:rPr>
          <w:rFonts w:ascii="Times"/>
          <w:color w:val="145AB2"/>
          <w:u w:color="0070C0"/>
        </w:rPr>
        <w:t>Amendment for Fixed and Mobile Wireless Access in Channel Sizes up to 1.25 MHz</w:t>
      </w:r>
      <w:r w:rsidRPr="00502168">
        <w:rPr>
          <w:rFonts w:ascii="Times"/>
          <w:color w:val="0070C0"/>
          <w:u w:color="0070C0"/>
        </w:rPr>
        <w:t xml:space="preserve"> </w:t>
      </w:r>
    </w:p>
    <w:p w:rsidR="006A7B2A" w:rsidRPr="00502168" w:rsidRDefault="00DC2D97">
      <w:pPr>
        <w:pStyle w:val="TOC6"/>
        <w:keepLines w:val="0"/>
        <w:tabs>
          <w:tab w:val="clear" w:pos="567"/>
          <w:tab w:val="clear" w:pos="7938"/>
          <w:tab w:val="clear" w:pos="9526"/>
        </w:tabs>
        <w:spacing w:before="0"/>
        <w:ind w:left="0" w:firstLine="0"/>
        <w:rPr>
          <w:b/>
          <w:bCs/>
          <w:sz w:val="28"/>
          <w:szCs w:val="28"/>
        </w:rPr>
      </w:pPr>
      <w:r w:rsidRPr="00502168">
        <w:rPr>
          <w:b/>
          <w:bCs/>
          <w:sz w:val="28"/>
          <w:szCs w:val="28"/>
        </w:rPr>
        <w:t xml:space="preserve"> </w:t>
      </w: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 Project process requirements</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1.1.1 Managed objects</w:t>
      </w:r>
    </w:p>
    <w:p w:rsidR="006A7B2A" w:rsidRPr="00502168"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502168">
        <w:t>Descr</w:t>
      </w:r>
      <w:r w:rsidRPr="00502168">
        <w:rPr>
          <w:color w:val="auto"/>
        </w:rPr>
        <w:t>ibe the plan for developing a definition of managed objects. The plan shall specify one of the following:</w:t>
      </w:r>
    </w:p>
    <w:p w:rsidR="006A7B2A" w:rsidRPr="00502168" w:rsidRDefault="00DC2D97">
      <w:pPr>
        <w:pStyle w:val="LetteredList1"/>
        <w:numPr>
          <w:ilvl w:val="0"/>
          <w:numId w:val="3"/>
        </w:numPr>
        <w:tabs>
          <w:tab w:val="num" w:pos="720"/>
        </w:tabs>
        <w:rPr>
          <w:color w:val="000000" w:themeColor="text1"/>
          <w:u w:color="0070C0"/>
        </w:rPr>
      </w:pPr>
      <w:r w:rsidRPr="00502168">
        <w:rPr>
          <w:color w:val="000000" w:themeColor="text1"/>
        </w:rPr>
        <w:t>The definitions will be part of this project.</w:t>
      </w:r>
    </w:p>
    <w:p w:rsidR="006A7B2A" w:rsidRPr="00502168" w:rsidRDefault="00DC2D97">
      <w:pPr>
        <w:pStyle w:val="LetteredList1"/>
        <w:numPr>
          <w:ilvl w:val="0"/>
          <w:numId w:val="3"/>
        </w:numPr>
        <w:tabs>
          <w:tab w:val="num" w:pos="720"/>
        </w:tabs>
      </w:pPr>
      <w:r w:rsidRPr="00502168">
        <w:rPr>
          <w:color w:val="000000" w:themeColor="text1"/>
        </w:rPr>
        <w:t>The defi</w:t>
      </w:r>
      <w:r w:rsidRPr="00502168">
        <w:t>nitions will be part of a different project and provide the plan for that project or anticipated future project.</w:t>
      </w:r>
    </w:p>
    <w:p w:rsidR="006A7B2A" w:rsidRPr="00502168" w:rsidRDefault="00DC2D97">
      <w:pPr>
        <w:pStyle w:val="LetteredList1"/>
        <w:numPr>
          <w:ilvl w:val="0"/>
          <w:numId w:val="3"/>
        </w:numPr>
        <w:tabs>
          <w:tab w:val="num" w:pos="720"/>
        </w:tabs>
      </w:pPr>
      <w:r w:rsidRPr="00502168">
        <w:t>The definitions will not be developed and explain why such definitions are not needed.</w:t>
      </w:r>
    </w:p>
    <w:p w:rsidR="006A7B2A" w:rsidRPr="00502168" w:rsidRDefault="00DC2D97">
      <w:pPr>
        <w:pStyle w:val="LetteredList1"/>
        <w:tabs>
          <w:tab w:val="left" w:pos="720"/>
        </w:tabs>
        <w:ind w:firstLine="0"/>
        <w:rPr>
          <w:color w:val="145AB2"/>
        </w:rPr>
      </w:pPr>
      <w:r w:rsidRPr="00502168">
        <w:rPr>
          <w:color w:val="145AB2"/>
        </w:rPr>
        <w:t>No new definitions are anticipated, as the existing ones will suffice.</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1.1.2 Coexistence</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A WG proposing a wireless project shall demonstrate coexistence through the preparation of a Coexistence Assurance (CA) document unless it is not applicable.</w:t>
      </w:r>
    </w:p>
    <w:p w:rsidR="006A7B2A" w:rsidRPr="00502168" w:rsidRDefault="00DC2D97">
      <w:pPr>
        <w:pStyle w:val="LetteredList1"/>
        <w:numPr>
          <w:ilvl w:val="0"/>
          <w:numId w:val="6"/>
        </w:numPr>
        <w:tabs>
          <w:tab w:val="num" w:pos="720"/>
        </w:tabs>
        <w:rPr>
          <w:color w:val="0070C0"/>
          <w:u w:color="0070C0"/>
        </w:rPr>
      </w:pPr>
      <w:r w:rsidRPr="00502168">
        <w:t>Will the WG create a CA document as part of the WG balloting process as described in Clause 13? (yes/no)</w:t>
      </w:r>
      <w:r w:rsidRPr="00502168">
        <w:br/>
      </w:r>
      <w:r w:rsidRPr="00502168">
        <w:rPr>
          <w:color w:val="145AB2"/>
        </w:rPr>
        <w:t>No</w:t>
      </w:r>
    </w:p>
    <w:p w:rsidR="006A7B2A" w:rsidRPr="00502168" w:rsidRDefault="00DC2D97">
      <w:pPr>
        <w:pStyle w:val="LetteredList1"/>
        <w:numPr>
          <w:ilvl w:val="0"/>
          <w:numId w:val="6"/>
        </w:numPr>
        <w:tabs>
          <w:tab w:val="num" w:pos="720"/>
        </w:tabs>
      </w:pPr>
      <w:r w:rsidRPr="00502168">
        <w:t xml:space="preserve">If not, explain why the CA document is not applicable. </w:t>
      </w:r>
    </w:p>
    <w:p w:rsidR="006A7B2A" w:rsidRPr="00502168" w:rsidRDefault="00DC2D97">
      <w:pPr>
        <w:pStyle w:val="LetteredList1"/>
        <w:tabs>
          <w:tab w:val="left" w:pos="720"/>
        </w:tabs>
        <w:ind w:firstLine="0"/>
        <w:rPr>
          <w:color w:val="145AB2"/>
        </w:rPr>
      </w:pPr>
      <w:r w:rsidRPr="00502168">
        <w:rPr>
          <w:color w:val="145AB2"/>
        </w:rPr>
        <w:t>The scope is to support operation in exclusively licensed spectrum.</w:t>
      </w:r>
    </w:p>
    <w:p w:rsidR="006A7B2A" w:rsidRPr="00502168" w:rsidRDefault="006A7B2A">
      <w:pPr>
        <w:pStyle w:val="NormalWeb"/>
        <w:spacing w:before="2" w:after="2"/>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 5C requirements</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1.2.1 Broad Market Potential </w:t>
      </w:r>
      <w:bookmarkEnd w:id="1"/>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have broad market potential.  At a minimum, address the following areas:</w:t>
      </w:r>
    </w:p>
    <w:p w:rsidR="006A7B2A" w:rsidRPr="00502168" w:rsidRDefault="00DC2D97">
      <w:pPr>
        <w:pStyle w:val="LetteredList1"/>
        <w:numPr>
          <w:ilvl w:val="0"/>
          <w:numId w:val="9"/>
        </w:numPr>
        <w:tabs>
          <w:tab w:val="num" w:pos="720"/>
        </w:tabs>
      </w:pPr>
      <w:r w:rsidRPr="00502168">
        <w:t>Broad sets of applicability.</w:t>
      </w:r>
    </w:p>
    <w:p w:rsidR="006A7B2A" w:rsidRPr="00502168"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502168">
        <w:rPr>
          <w:rFonts w:ascii="Times New Roman" w:eastAsia="Times New Roman" w:hAnsi="Times New Roman" w:cs="Times New Roman"/>
          <w:b w:val="0"/>
          <w:bCs w:val="0"/>
          <w:kern w:val="0"/>
          <w:sz w:val="24"/>
          <w:szCs w:val="24"/>
        </w:rPr>
        <w:br/>
      </w:r>
      <w:r w:rsidRPr="00502168">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rsidR="006A7B2A" w:rsidRPr="00502168"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rsidR="006A7B2A" w:rsidRPr="00502168"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502168">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502168">
        <w:rPr>
          <w:b w:val="0"/>
          <w:bCs w:val="0"/>
          <w:color w:val="145AB2"/>
          <w:kern w:val="0"/>
          <w:sz w:val="24"/>
          <w:szCs w:val="24"/>
          <w:u w:color="0070C0"/>
        </w:rPr>
        <w:br/>
      </w:r>
    </w:p>
    <w:p w:rsidR="006A7B2A" w:rsidRPr="00502168" w:rsidRDefault="00DC2D97">
      <w:pPr>
        <w:pStyle w:val="LetteredList1"/>
        <w:numPr>
          <w:ilvl w:val="0"/>
          <w:numId w:val="9"/>
        </w:numPr>
        <w:tabs>
          <w:tab w:val="num" w:pos="720"/>
        </w:tabs>
      </w:pPr>
      <w:r w:rsidRPr="00502168">
        <w:t>Multiple vendors and numerous users.</w:t>
      </w:r>
    </w:p>
    <w:p w:rsidR="006A7B2A" w:rsidRPr="00502168" w:rsidRDefault="00DC2D97">
      <w:pPr>
        <w:pStyle w:val="LetteredList1"/>
        <w:ind w:firstLine="0"/>
        <w:rPr>
          <w:rFonts w:ascii="Times" w:eastAsia="Times" w:hAnsi="Times" w:cs="Times"/>
          <w:color w:val="145AB2"/>
          <w:u w:color="0070C0"/>
        </w:rPr>
      </w:pPr>
      <w:r w:rsidRPr="00502168">
        <w:rPr>
          <w:rFonts w:ascii="Times"/>
          <w:color w:val="145AB2"/>
          <w:u w:color="0070C0"/>
        </w:rPr>
        <w:t>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licensed spectrum holders, and 6) US electric utilities.</w:t>
      </w:r>
    </w:p>
    <w:p w:rsidR="006A7B2A" w:rsidRPr="00502168" w:rsidRDefault="006A7B2A">
      <w:pPr>
        <w:pStyle w:val="NormalWeb"/>
        <w:spacing w:before="2" w:after="2"/>
        <w:rPr>
          <w:rFonts w:ascii="Times New Roman" w:eastAsia="Times New Roman" w:hAnsi="Times New Roman" w:cs="Times New Roman"/>
          <w:color w:val="145AB2"/>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1.2.2 Compatibility</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br/>
        <w:t>Each proposed IEEE 802 LMSC standard should be in conformance with IEEE Std 802, IEEE 802.1AC, and IEEE 802.1Q. If any variances in conformance emerge, they shall be thoroughly disclosed and reviewed with IEEE 802.1 WG prior to submitting a PAR to the Sponsor.</w:t>
      </w:r>
    </w:p>
    <w:p w:rsidR="006A7B2A" w:rsidRPr="00502168" w:rsidRDefault="00DC2D97">
      <w:pPr>
        <w:pStyle w:val="LetteredList1"/>
        <w:numPr>
          <w:ilvl w:val="0"/>
          <w:numId w:val="12"/>
        </w:numPr>
        <w:tabs>
          <w:tab w:val="num" w:pos="720"/>
        </w:tabs>
      </w:pPr>
      <w:r w:rsidRPr="00502168">
        <w:t>Will the proposed standard comply with IEEE Std 802, IEEE Std 802.1AC and IEEE Std 802.1Q?</w:t>
      </w:r>
    </w:p>
    <w:p w:rsidR="006A7B2A" w:rsidRPr="00502168" w:rsidRDefault="00DC2D97">
      <w:pPr>
        <w:pStyle w:val="LetteredList1"/>
        <w:ind w:firstLine="0"/>
        <w:rPr>
          <w:color w:val="145AB2"/>
        </w:rPr>
      </w:pPr>
      <w:r w:rsidRPr="00502168">
        <w:rPr>
          <w:color w:val="145AB2"/>
        </w:rPr>
        <w:t>Yes. The amendment will not affect the standard</w:t>
      </w:r>
      <w:r w:rsidRPr="00502168">
        <w:rPr>
          <w:rFonts w:hAnsi="Times New Roman"/>
          <w:color w:val="145AB2"/>
        </w:rPr>
        <w:t>’</w:t>
      </w:r>
      <w:r w:rsidRPr="00502168">
        <w:rPr>
          <w:color w:val="145AB2"/>
        </w:rPr>
        <w:t>s compliance with IEEE Std 802, IEEE Std 802.1AC and IEEE Std 802.1Q.</w:t>
      </w:r>
    </w:p>
    <w:p w:rsidR="006A7B2A" w:rsidRPr="00502168" w:rsidRDefault="00DC2D97">
      <w:pPr>
        <w:pStyle w:val="LetteredList1"/>
        <w:numPr>
          <w:ilvl w:val="0"/>
          <w:numId w:val="12"/>
        </w:numPr>
        <w:tabs>
          <w:tab w:val="num" w:pos="720"/>
        </w:tabs>
      </w:pPr>
      <w:r w:rsidRPr="00502168">
        <w:t>If the answer to a) is no, supply the response from the IEEE 802.1 WG.</w:t>
      </w:r>
      <w:r w:rsidRPr="00502168">
        <w:br/>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A7B2A" w:rsidRPr="00502168" w:rsidRDefault="006A7B2A">
      <w:pPr>
        <w:pStyle w:val="NormalWeb"/>
        <w:spacing w:before="2" w:after="2"/>
        <w:rPr>
          <w:rFonts w:ascii="Times New Roman" w:eastAsia="Times New Roman" w:hAnsi="Times New Roman" w:cs="Times New Roman"/>
          <w:b/>
          <w:bCs/>
          <w:color w:val="0000FF"/>
          <w:sz w:val="24"/>
          <w:szCs w:val="24"/>
          <w:u w:color="0000FF"/>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1.2.3 Distinct Identity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a distinct identity. Identify standards and standards projects with similar scopes and for each one describe why the proposed project is substantially different.</w:t>
      </w:r>
    </w:p>
    <w:p w:rsidR="006A7B2A" w:rsidRPr="00502168" w:rsidRDefault="00DC2D97">
      <w:pPr>
        <w:pStyle w:val="NormalWeb"/>
        <w:spacing w:before="2" w:after="2"/>
        <w:rPr>
          <w:color w:val="145AB2"/>
          <w:sz w:val="24"/>
          <w:szCs w:val="24"/>
          <w:u w:color="0070C0"/>
        </w:rPr>
      </w:pPr>
      <w:r w:rsidRPr="00502168">
        <w:rPr>
          <w:color w:val="145AB2"/>
          <w:sz w:val="24"/>
          <w:szCs w:val="24"/>
          <w:u w:color="0070C0"/>
        </w:rPr>
        <w:t>Existing IEEE 802.16 profiles address wide channels of 1.25-20 MHz. This new project provides support for exclusively-licensed spectrum with channel sizes less than the existing minimum channel size of 1.25 MHz.</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1.2.4 Technical Feasibility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that the project is technically feasible within the time frame of the project. At a minimum, address the following items to demonstrate technical feasibility:</w:t>
      </w:r>
    </w:p>
    <w:p w:rsidR="006A7B2A" w:rsidRPr="00502168" w:rsidRDefault="00DC2D97">
      <w:pPr>
        <w:pStyle w:val="LetteredList1"/>
        <w:numPr>
          <w:ilvl w:val="0"/>
          <w:numId w:val="15"/>
        </w:numPr>
        <w:tabs>
          <w:tab w:val="num" w:pos="720"/>
        </w:tabs>
      </w:pPr>
      <w:r w:rsidRPr="00502168">
        <w:t>Demonstrated system feasibility.</w:t>
      </w:r>
    </w:p>
    <w:p w:rsidR="006A7B2A" w:rsidRPr="00502168"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502168">
        <w:rPr>
          <w:rFonts w:ascii="Times"/>
          <w:b w:val="0"/>
          <w:bCs w:val="0"/>
          <w:color w:val="0070C0"/>
          <w:u w:color="0070C0"/>
          <w:lang w:val="en-US"/>
        </w:rPr>
        <w:t>A proprietary system based on a variation of IEEE 802.16 technology has already been deployed successfully with various US utilities in channel sizes 1 MHz and smaller.</w:t>
      </w:r>
      <w:r w:rsidRPr="00502168">
        <w:rPr>
          <w:rFonts w:ascii="Times" w:eastAsia="Times" w:hAnsi="Times" w:cs="Times"/>
          <w:b w:val="0"/>
          <w:bCs w:val="0"/>
          <w:color w:val="0070C0"/>
          <w:u w:color="0070C0"/>
          <w:lang w:val="en-US"/>
        </w:rPr>
        <w:br/>
      </w:r>
    </w:p>
    <w:p w:rsidR="006A7B2A" w:rsidRPr="00502168" w:rsidRDefault="00DC2D97">
      <w:pPr>
        <w:pStyle w:val="LetteredList1"/>
        <w:numPr>
          <w:ilvl w:val="0"/>
          <w:numId w:val="15"/>
        </w:numPr>
        <w:tabs>
          <w:tab w:val="num" w:pos="720"/>
        </w:tabs>
        <w:rPr>
          <w:color w:val="0000FF"/>
          <w:u w:color="0000FF"/>
        </w:rPr>
      </w:pPr>
      <w:r w:rsidRPr="00502168">
        <w:t>Proven similar technology via testing, modeling, simulation, etc.</w:t>
      </w:r>
      <w:r w:rsidRPr="00502168">
        <w:rPr>
          <w:color w:val="0000FF"/>
          <w:u w:color="0000FF"/>
        </w:rPr>
        <w:br/>
      </w:r>
      <w:r w:rsidRPr="00502168">
        <w:rPr>
          <w:rFonts w:ascii="Times"/>
          <w:color w:val="0070C0"/>
          <w:u w:color="0070C0"/>
        </w:rPr>
        <w:t>At least five utilities in the US have either deployed or are testing a proprietary system based on a variation of IEEE 802.16 technology.</w:t>
      </w:r>
      <w:r w:rsidRPr="00502168">
        <w:rPr>
          <w:color w:val="0000FF"/>
          <w:u w:color="0000FF"/>
        </w:rPr>
        <w:br/>
      </w:r>
    </w:p>
    <w:p w:rsidR="006A7B2A" w:rsidRPr="00502168" w:rsidRDefault="00DC2D97">
      <w:pPr>
        <w:pStyle w:val="NormalWeb"/>
        <w:spacing w:before="2" w:after="2"/>
        <w:rPr>
          <w:rFonts w:ascii="Times New Roman" w:eastAsia="Times New Roman" w:hAnsi="Times New Roman" w:cs="Times New Roman"/>
          <w:sz w:val="24"/>
          <w:szCs w:val="24"/>
        </w:rPr>
      </w:pPr>
      <w:r w:rsidRPr="00502168">
        <w:rPr>
          <w:rFonts w:ascii="Times New Roman"/>
          <w:b/>
          <w:bCs/>
          <w:sz w:val="24"/>
          <w:szCs w:val="24"/>
        </w:rPr>
        <w:t xml:space="preserve">1.2.5 Economic Feasibility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A7B2A" w:rsidRPr="00502168" w:rsidRDefault="006A7B2A">
      <w:pPr>
        <w:pStyle w:val="LetteredList1"/>
        <w:ind w:left="1080" w:firstLine="0"/>
      </w:pP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Balanced costs (infrastructure versus attached stations).</w:t>
      </w:r>
      <w:r w:rsidRPr="00502168">
        <w:rPr>
          <w:rFonts w:eastAsia="Times New Roman" w:hAnsi="Times New Roman" w:cs="Times New Roman"/>
        </w:rPr>
        <w:br/>
      </w:r>
      <w:r w:rsidRPr="00502168">
        <w:rPr>
          <w:rFonts w:ascii="Times"/>
          <w:color w:val="0070C0"/>
          <w:u w:color="0070C0"/>
        </w:rPr>
        <w:t>The proposed modifications, which include licensed VHF/UHF frequencies in narrower channels,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size does not require a higher density of base stations to compensate. The cost balance between the Base Station and the Subscriber Station is therefore unaffected by the changes in this amendment for this application set.</w:t>
      </w:r>
      <w:r w:rsidRPr="00502168">
        <w:rPr>
          <w:rFonts w:ascii="Times" w:eastAsia="Times" w:hAnsi="Times" w:cs="Times"/>
          <w:color w:val="0070C0"/>
          <w:u w:color="0070C0"/>
        </w:rPr>
        <w:br/>
      </w: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Known cost factors.</w:t>
      </w:r>
      <w:r w:rsidRPr="00502168">
        <w:rPr>
          <w:rFonts w:eastAsia="Times New Roman" w:hAnsi="Times New Roman" w:cs="Times New Roman"/>
        </w:rPr>
        <w:br/>
      </w:r>
      <w:r w:rsidRPr="00502168">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rsidR="006A7B2A" w:rsidRPr="00502168" w:rsidRDefault="006A7B2A">
      <w:pPr>
        <w:pStyle w:val="LetteredList1"/>
        <w:rPr>
          <w:rFonts w:ascii="Times" w:eastAsia="Times" w:hAnsi="Times" w:cs="Times"/>
          <w:color w:val="0070C0"/>
          <w:u w:color="0070C0"/>
        </w:rPr>
      </w:pP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Consideration of installation costs</w:t>
      </w:r>
      <w:r w:rsidRPr="00502168">
        <w:rPr>
          <w:rFonts w:eastAsia="Times New Roman" w:hAnsi="Times New Roman" w:cs="Times New Roman"/>
        </w:rPr>
        <w:br/>
      </w:r>
      <w:r w:rsidRPr="00502168">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Pr="00502168">
        <w:rPr>
          <w:rFonts w:ascii="Times" w:eastAsia="Times" w:hAnsi="Times" w:cs="Times"/>
          <w:color w:val="0070C0"/>
          <w:u w:color="0070C0"/>
        </w:rPr>
        <w:br/>
      </w:r>
    </w:p>
    <w:p w:rsidR="006A7B2A" w:rsidRPr="00502168" w:rsidRDefault="00DC2D97">
      <w:pPr>
        <w:pStyle w:val="LetteredList1"/>
        <w:numPr>
          <w:ilvl w:val="0"/>
          <w:numId w:val="18"/>
        </w:numPr>
        <w:tabs>
          <w:tab w:val="num" w:pos="1080"/>
        </w:tabs>
        <w:ind w:left="1080"/>
        <w:rPr>
          <w:color w:val="0000FF"/>
          <w:u w:color="0000FF"/>
        </w:rPr>
      </w:pPr>
      <w:r w:rsidRPr="00502168">
        <w:t>Consideration of operational costs (e.g., energy consumption).</w:t>
      </w:r>
      <w:r w:rsidRPr="00502168">
        <w:br/>
      </w:r>
      <w:r w:rsidRPr="00502168">
        <w:rPr>
          <w:rFonts w:ascii="Times"/>
          <w:color w:val="0070C0"/>
          <w:u w:color="0070C0"/>
        </w:rPr>
        <w:t>Most mission critical entities already have infrastructure assets for both base stations and remotes and support teams to run these networks.</w:t>
      </w:r>
    </w:p>
    <w:p w:rsidR="006A7B2A" w:rsidRPr="00502168" w:rsidRDefault="006A7B2A">
      <w:pPr>
        <w:pStyle w:val="LetteredList1"/>
        <w:ind w:firstLine="0"/>
        <w:rPr>
          <w:color w:val="0000FF"/>
          <w:u w:color="0000FF"/>
        </w:rPr>
      </w:pPr>
    </w:p>
    <w:p w:rsidR="006A7B2A" w:rsidRPr="00502168" w:rsidRDefault="00DC2D97">
      <w:pPr>
        <w:pStyle w:val="LetteredList1"/>
        <w:numPr>
          <w:ilvl w:val="0"/>
          <w:numId w:val="18"/>
        </w:numPr>
        <w:tabs>
          <w:tab w:val="num" w:pos="1080"/>
        </w:tabs>
        <w:ind w:left="1080"/>
      </w:pPr>
      <w:r w:rsidRPr="00502168">
        <w:t>Other areas, as appropriate.</w:t>
      </w:r>
    </w:p>
    <w:sectPr w:rsidR="006A7B2A" w:rsidRPr="00502168" w:rsidSect="006A7B2A">
      <w:headerReference w:type="default" r:id="rId7"/>
      <w:headerReference w:type="first" r:id="rId8"/>
      <w:pgSz w:w="11900" w:h="16840"/>
      <w:pgMar w:top="1418" w:right="1134" w:bottom="1418" w:left="1134"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68" w:rsidRDefault="00502168" w:rsidP="00502168">
    <w:pPr>
      <w:pStyle w:val="Header"/>
      <w:tabs>
        <w:tab w:val="left" w:pos="3677"/>
        <w:tab w:val="center" w:pos="5400"/>
        <w:tab w:val="right" w:pos="9612"/>
      </w:tabs>
      <w:jc w:val="right"/>
      <w:rPr>
        <w:sz w:val="24"/>
        <w:szCs w:val="24"/>
      </w:rPr>
    </w:pPr>
    <w:r>
      <w:rPr>
        <w:bdr w:val="none" w:sz="0" w:space="0" w:color="auto"/>
      </w:rPr>
      <w:pict>
        <v:rect id="_x0000_s1028" style="position:absolute;left:0;text-align:left;margin-left:193.1pt;margin-top:.2pt;width:171pt;height:45pt;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w10:wrap anchorx="page" anchory="page"/>
        </v:rect>
      </w:pict>
    </w:r>
    <w:r>
      <w:rPr>
        <w:color w:val="FF2D21"/>
        <w:sz w:val="24"/>
        <w:szCs w:val="24"/>
      </w:rPr>
      <w:t>DRAFT 2015-10-01</w:t>
    </w:r>
    <w:r>
      <w:rPr>
        <w:sz w:val="24"/>
        <w:szCs w:val="24"/>
      </w:rPr>
      <w:tab/>
    </w:r>
    <w:r>
      <w:rPr>
        <w:sz w:val="24"/>
        <w:szCs w:val="24"/>
      </w:rPr>
      <w:tab/>
    </w:r>
    <w:r>
      <w:rPr>
        <w:sz w:val="24"/>
        <w:szCs w:val="24"/>
      </w:rPr>
      <w:tab/>
    </w:r>
    <w:r>
      <w:rPr>
        <w:sz w:val="24"/>
        <w:szCs w:val="24"/>
      </w:rPr>
      <w:tab/>
      <w:t>IEEE 802.16-15-0038-01-Gdoc</w:t>
    </w:r>
  </w:p>
  <w:p w:rsidR="00502168" w:rsidRDefault="00502168"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rsidR="00483DFB" w:rsidRDefault="00483DF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FB" w:rsidRDefault="00483DFB" w:rsidP="00483DFB">
    <w:pPr>
      <w:pStyle w:val="Header"/>
      <w:tabs>
        <w:tab w:val="left" w:pos="3677"/>
        <w:tab w:val="center" w:pos="5400"/>
        <w:tab w:val="right" w:pos="9612"/>
        <w:tab w:val="right" w:pos="9612"/>
      </w:tabs>
      <w:jc w:val="right"/>
      <w:rPr>
        <w:sz w:val="24"/>
        <w:szCs w:val="24"/>
      </w:rPr>
    </w:pPr>
    <w:bookmarkStart w:id="2" w:name="OLE_LINK12"/>
    <w:r w:rsidRPr="009974B9">
      <w:pict>
        <v:rect id="_x0000_s1026" style="position:absolute;left:0;text-align:left;margin-left:193.1pt;margin-top:.2pt;width:171pt;height:45pt;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w10:wrap anchorx="page" anchory="page"/>
        </v:rect>
      </w:pict>
    </w:r>
    <w:bookmarkStart w:id="3" w:name="OLE_LINK11"/>
    <w:r w:rsidRPr="00483DFB">
      <w:rPr>
        <w:color w:val="FF2D21" w:themeColor="accent5"/>
        <w:sz w:val="24"/>
        <w:szCs w:val="24"/>
      </w:rPr>
      <w:t>DRAFT</w:t>
    </w:r>
    <w:r>
      <w:rPr>
        <w:color w:val="FF2D21" w:themeColor="accent5"/>
        <w:sz w:val="24"/>
        <w:szCs w:val="24"/>
      </w:rPr>
      <w:t xml:space="preserve"> 2015-10-01</w:t>
    </w:r>
    <w:bookmarkEnd w:id="3"/>
    <w:r>
      <w:rPr>
        <w:sz w:val="24"/>
        <w:szCs w:val="24"/>
      </w:rPr>
      <w:tab/>
    </w:r>
    <w:r>
      <w:rPr>
        <w:sz w:val="24"/>
        <w:szCs w:val="24"/>
      </w:rPr>
      <w:tab/>
    </w:r>
    <w:r>
      <w:rPr>
        <w:sz w:val="24"/>
        <w:szCs w:val="24"/>
      </w:rPr>
      <w:tab/>
    </w:r>
    <w:r>
      <w:rPr>
        <w:sz w:val="24"/>
        <w:szCs w:val="24"/>
      </w:rPr>
      <w:tab/>
      <w:t>IEEE 802.16-15-0038-01-G</w:t>
    </w:r>
    <w:r w:rsidR="00502168">
      <w:rPr>
        <w:sz w:val="24"/>
        <w:szCs w:val="24"/>
      </w:rPr>
      <w:t>doc</w:t>
    </w:r>
  </w:p>
  <w:p w:rsidR="00483DFB" w:rsidRDefault="00483DFB"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5">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7">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8">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9">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2">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4">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5">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7"/>
  </w:num>
  <w:num w:numId="2">
    <w:abstractNumId w:val="6"/>
  </w:num>
  <w:num w:numId="3">
    <w:abstractNumId w:val="10"/>
  </w:num>
  <w:num w:numId="4">
    <w:abstractNumId w:val="11"/>
  </w:num>
  <w:num w:numId="5">
    <w:abstractNumId w:val="12"/>
  </w:num>
  <w:num w:numId="6">
    <w:abstractNumId w:val="14"/>
  </w:num>
  <w:num w:numId="7">
    <w:abstractNumId w:val="9"/>
  </w:num>
  <w:num w:numId="8">
    <w:abstractNumId w:val="2"/>
  </w:num>
  <w:num w:numId="9">
    <w:abstractNumId w:val="3"/>
  </w:num>
  <w:num w:numId="10">
    <w:abstractNumId w:val="5"/>
  </w:num>
  <w:num w:numId="11">
    <w:abstractNumId w:val="8"/>
  </w:num>
  <w:num w:numId="12">
    <w:abstractNumId w:val="4"/>
  </w:num>
  <w:num w:numId="13">
    <w:abstractNumId w:val="1"/>
  </w:num>
  <w:num w:numId="14">
    <w:abstractNumId w:val="0"/>
  </w:num>
  <w:num w:numId="15">
    <w:abstractNumId w:val="13"/>
  </w:num>
  <w:num w:numId="16">
    <w:abstractNumId w:val="17"/>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01"/>
  <w:revisionView w:formatting="0"/>
  <w:doNotTrackMoves/>
  <w:defaultTabStop w:val="720"/>
  <w:characterSpacingControl w:val="doNotCompress"/>
  <w:hdrShapeDefaults>
    <o:shapedefaults v:ext="edit" spidmax="1029"/>
    <o:shapelayout v:ext="edit">
      <o:idmap v:ext="edit" data="1"/>
    </o:shapelayout>
  </w:hdrShapeDefaults>
  <w:compat/>
  <w:rsids>
    <w:rsidRoot w:val="006A7B2A"/>
    <w:rsid w:val="00427CFD"/>
    <w:rsid w:val="00473561"/>
    <w:rsid w:val="00483DFB"/>
    <w:rsid w:val="00502168"/>
    <w:rsid w:val="006A7B2A"/>
    <w:rsid w:val="00847CA1"/>
    <w:rsid w:val="009974B9"/>
    <w:rsid w:val="00CA1FE8"/>
    <w:rsid w:val="00DC2D9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B2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outlin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semiHidden/>
    <w:unhideWhenUsed/>
    <w:rsid w:val="00483DFB"/>
    <w:pPr>
      <w:tabs>
        <w:tab w:val="center" w:pos="4320"/>
        <w:tab w:val="right" w:pos="8640"/>
      </w:tabs>
    </w:pPr>
  </w:style>
  <w:style w:type="character" w:customStyle="1" w:styleId="FooterChar">
    <w:name w:val="Footer Char"/>
    <w:basedOn w:val="DefaultParagraphFont"/>
    <w:link w:val="Footer"/>
    <w:uiPriority w:val="99"/>
    <w:semiHidden/>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s>
</file>

<file path=word/webSettings.xml><?xml version="1.0" encoding="utf-8"?>
<w:webSettings xmlns:r="http://schemas.openxmlformats.org/officeDocument/2006/relationships" xmlns:w="http://schemas.openxmlformats.org/wordprocessingml/2006/main">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b.marks%40ieee.org" TargetMode="External"/><Relationship Id="rId6" Type="http://schemas.openxmlformats.org/officeDocument/2006/relationships/hyperlink" Target="mailto:r.b.marks%40ieee.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1745</Words>
  <Characters>9950</Characters>
  <Application>Microsoft Macintosh Word</Application>
  <DocSecurity>0</DocSecurity>
  <Lines>82</Lines>
  <Paragraphs>19</Paragraphs>
  <ScaleCrop>false</ScaleCrop>
  <Company>Consensii LLC</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6</cp:revision>
  <dcterms:created xsi:type="dcterms:W3CDTF">2015-10-01T04:48:00Z</dcterms:created>
  <dcterms:modified xsi:type="dcterms:W3CDTF">2015-10-01T16:06:00Z</dcterms:modified>
</cp:coreProperties>
</file>