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B0369" w:rsidP="005B0369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B0369">
              <w:rPr>
                <w:b/>
                <w:lang w:eastAsia="ko-KR"/>
              </w:rPr>
              <w:t>Modification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Pr="005B0369">
              <w:rPr>
                <w:b/>
                <w:lang w:eastAsia="ko-KR"/>
              </w:rPr>
              <w:t>of AAI-MM-ADV message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301A" w:rsidRPr="00211382" w:rsidRDefault="0019301A" w:rsidP="0019301A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19301A" w:rsidRDefault="0019301A" w:rsidP="0019301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19301A" w:rsidRDefault="0019301A" w:rsidP="0019301A">
            <w:pPr>
              <w:pStyle w:val="covertext"/>
              <w:snapToGrid w:val="0"/>
              <w:rPr>
                <w:lang w:eastAsia="ko-KR"/>
              </w:rPr>
            </w:pPr>
          </w:p>
          <w:p w:rsidR="005B0369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Yun,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B0369" w:rsidP="0019301A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19301A" w:rsidRPr="00211382" w:rsidRDefault="00671BFE" w:rsidP="0019301A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19301A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671BFE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671BFE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526CF4">
            <w:pPr>
              <w:pStyle w:val="Default"/>
              <w:rPr>
                <w:lang w:eastAsia="ko-KR"/>
              </w:rPr>
            </w:pPr>
          </w:p>
          <w:p w:rsidR="005B0369" w:rsidRPr="00211382" w:rsidRDefault="005B0369" w:rsidP="0019301A">
            <w:pPr>
              <w:pStyle w:val="Default"/>
              <w:rPr>
                <w:lang w:eastAsia="ko-KR"/>
              </w:rPr>
            </w:pPr>
          </w:p>
        </w:tc>
      </w:tr>
      <w:tr w:rsidR="00EB610C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B610C" w:rsidRPr="00211382" w:rsidRDefault="00EB610C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B610C" w:rsidRPr="006F33EF" w:rsidRDefault="00EB610C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3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4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6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3D5DA7" w:rsidRPr="003D5DA7">
        <w:rPr>
          <w:rFonts w:ascii="Arial" w:hAnsi="Arial"/>
          <w:b/>
          <w:sz w:val="32"/>
          <w:szCs w:val="32"/>
          <w:lang w:eastAsia="ko-KR"/>
        </w:rPr>
        <w:lastRenderedPageBreak/>
        <w:t>Modification of AAI-MM-ADV message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301A" w:rsidRPr="00211382" w:rsidRDefault="0019301A" w:rsidP="0019301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19301A" w:rsidRPr="00211382" w:rsidRDefault="0019301A" w:rsidP="0019301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19301A" w:rsidRDefault="0019301A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Yun,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19301A">
      <w:pPr>
        <w:pStyle w:val="a8"/>
        <w:jc w:val="left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>According to Section 6.12.1.3.1 Proactive Operation of IEEE P802.16.1a/D3, multimode HR-MSs can transmit their status information to the superordinate HR-BS after receiving AAI-MM-ADV message. In the current standard, however, AAI-MM-ADV message does not have an Action Type for requesting HR-MS’s status information response.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</w:p>
    <w:p w:rsidR="00983B54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In this contribution, we suggest to insert an additional </w:t>
      </w:r>
      <w:r>
        <w:rPr>
          <w:rFonts w:ascii="Times New Roman" w:hAnsi="Times New Roman" w:hint="eastAsia"/>
          <w:lang w:eastAsia="ko-KR"/>
        </w:rPr>
        <w:t xml:space="preserve">value of </w:t>
      </w:r>
      <w:r w:rsidRPr="003D5DA7">
        <w:rPr>
          <w:rFonts w:ascii="Times New Roman" w:hAnsi="Times New Roman"/>
          <w:lang w:eastAsia="ko-KR"/>
        </w:rPr>
        <w:t>Action Type in AAI-MM-ADV for requesting multimode HR-MS’s status information.</w:t>
      </w:r>
    </w:p>
    <w:p w:rsidR="003D5DA7" w:rsidRPr="003D5DA7" w:rsidRDefault="003D5DA7" w:rsidP="003D5DA7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5A7DD2" w:rsidRPr="00671BFE" w:rsidRDefault="005A7DD2" w:rsidP="005A7DD2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671BFE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671BF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FD195B" w:rsidRPr="00671BF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671BF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671BFE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Insert</w:t>
      </w:r>
      <w:r w:rsidRPr="00671BFE">
        <w:rPr>
          <w:rFonts w:hint="eastAsia"/>
          <w:b/>
          <w:i/>
          <w:sz w:val="24"/>
          <w:szCs w:val="24"/>
          <w:highlight w:val="yellow"/>
        </w:rPr>
        <w:t xml:space="preserve"> the sentence</w:t>
      </w:r>
      <w:r w:rsidRPr="00671BFE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671BFE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="00671BFE" w:rsidRPr="00671BFE">
        <w:rPr>
          <w:b/>
          <w:i/>
          <w:sz w:val="24"/>
          <w:szCs w:val="24"/>
          <w:highlight w:val="yellow"/>
        </w:rPr>
        <w:t>6.2.3.65.1</w:t>
      </w:r>
      <w:r w:rsidRPr="00671BFE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71BF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671BFE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671BFE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671BFE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211382" w:rsidRDefault="005A7DD2" w:rsidP="005A7DD2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 </w:t>
      </w:r>
      <w:r w:rsidR="008C3444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8C3444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</w:t>
      </w:r>
      <w:r w:rsidR="00671BFE">
        <w:rPr>
          <w:rFonts w:hint="eastAsia"/>
          <w:b/>
          <w:i/>
          <w:sz w:val="22"/>
          <w:highlight w:val="yellow"/>
          <w:lang w:eastAsia="ko-KR"/>
        </w:rPr>
        <w:t>4</w:t>
      </w:r>
      <w:r w:rsidR="008C3444"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671BFE">
        <w:rPr>
          <w:rFonts w:hint="eastAsia"/>
          <w:b/>
          <w:i/>
          <w:sz w:val="22"/>
          <w:highlight w:val="yellow"/>
          <w:lang w:eastAsia="ko-KR"/>
        </w:rPr>
        <w:t>18</w:t>
      </w:r>
      <w:r w:rsidR="008C3444"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5A7DD2" w:rsidP="00190130">
      <w:pPr>
        <w:rPr>
          <w:rFonts w:ascii="Arial" w:hAnsi="Arial" w:cs="Arial"/>
          <w:b/>
          <w:sz w:val="24"/>
          <w:szCs w:val="24"/>
        </w:rPr>
      </w:pPr>
      <w:r w:rsidRPr="005A7DD2">
        <w:rPr>
          <w:rFonts w:ascii="Arial" w:hAnsi="Arial" w:cs="Arial"/>
          <w:b/>
          <w:sz w:val="24"/>
          <w:szCs w:val="24"/>
        </w:rPr>
        <w:t>6.2.3.65.1 AAI-MM-ADV message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A7DD2" w:rsidRPr="005A7DD2" w:rsidRDefault="005A7DD2" w:rsidP="005A7DD2">
      <w:pPr>
        <w:pStyle w:val="Body"/>
        <w:rPr>
          <w:szCs w:val="24"/>
        </w:rPr>
      </w:pPr>
      <w:r w:rsidRPr="005A7DD2">
        <w:rPr>
          <w:szCs w:val="24"/>
        </w:rPr>
        <w:t xml:space="preserve">Infrastructure stations and HR-MS acting as HR-BS or HR-RS may transmit AAI-MM-ADV message to support multimode operation in the case </w:t>
      </w:r>
      <w:bookmarkStart w:id="0" w:name="_GoBack"/>
      <w:bookmarkEnd w:id="0"/>
      <w:r w:rsidRPr="005A7DD2">
        <w:rPr>
          <w:szCs w:val="24"/>
        </w:rPr>
        <w:t>as follows:</w:t>
      </w:r>
    </w:p>
    <w:p w:rsidR="005A7DD2" w:rsidRPr="005A7DD2" w:rsidRDefault="005A7DD2" w:rsidP="005A7DD2">
      <w:pPr>
        <w:pStyle w:val="Body"/>
        <w:rPr>
          <w:szCs w:val="24"/>
        </w:rPr>
      </w:pP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When the backhaul link is down or up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During maintaining relay link due to unavailable backhaul link, PHY/MAC layer parameters need be reconfigured such as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down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reduction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FA change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Multimode service establish/release/change to inform subordinate stations to perform handover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Scanning operation for HR-MS acting as relay to maintain synchronization with the serving HR-BS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Neighbor cell scanning operation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color w:val="0000FF"/>
          <w:szCs w:val="24"/>
          <w:u w:val="single"/>
        </w:rPr>
      </w:pPr>
      <w:r w:rsidRPr="005A7DD2">
        <w:rPr>
          <w:color w:val="0000FF"/>
          <w:szCs w:val="24"/>
          <w:u w:val="single"/>
        </w:rPr>
        <w:t>Report status information of multimode station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5A7DD2" w:rsidP="005A7DD2">
      <w:pPr>
        <w:jc w:val="center"/>
        <w:rPr>
          <w:rFonts w:ascii="Arial" w:hAnsi="Arial" w:cs="Arial"/>
          <w:b/>
          <w:lang w:eastAsia="ko-KR"/>
        </w:rPr>
      </w:pPr>
      <w:r w:rsidRPr="005A7DD2">
        <w:rPr>
          <w:rFonts w:ascii="Arial" w:hAnsi="Arial" w:cs="Arial"/>
          <w:b/>
          <w:lang w:eastAsia="ko-KR"/>
        </w:rPr>
        <w:t>Table 106a – AAI-MM-ADV message field description</w:t>
      </w:r>
    </w:p>
    <w:p w:rsidR="00190130" w:rsidRPr="00190130" w:rsidRDefault="00190130" w:rsidP="00190130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991"/>
        <w:gridCol w:w="4252"/>
        <w:gridCol w:w="2119"/>
      </w:tblGrid>
      <w:tr w:rsidR="005A7DD2" w:rsidRPr="00FD195B" w:rsidTr="006B2437">
        <w:trPr>
          <w:trHeight w:val="212"/>
          <w:tblHeader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b/>
                <w:bCs/>
                <w:sz w:val="22"/>
                <w:szCs w:val="22"/>
                <w:lang w:val="en-SG" w:eastAsia="ko-KR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Size</w:t>
            </w:r>
          </w:p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(bits)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Condition</w:t>
            </w:r>
          </w:p>
        </w:tc>
      </w:tr>
      <w:tr w:rsidR="005A7DD2" w:rsidRPr="00FD195B" w:rsidTr="006B2437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t>Action Type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6B2437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val="en-SG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Used to indicate the purpose of this message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0b0000: Reconfiguration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0b0001: Restart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0b0010: Power down (including FA down)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0b0011: Power reduction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0b0100: Backhaul link down of HR-BS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0b0101: Backhaul link up of HRBS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0b0110: FA change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0b0111: Multimode service end of HR-MS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0b1000: Scanning operation for HR-MS acting as relay to maintain synchronization with the serving HR-BS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0b1001: Neighbor cell scanning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0b1010 : Handover of multimode station with access link reconfiguration</w:t>
            </w:r>
          </w:p>
          <w:p w:rsidR="005A7DD2" w:rsidRPr="00FD195B" w:rsidRDefault="005A7DD2" w:rsidP="00FD195B">
            <w:pPr>
              <w:pStyle w:val="Body"/>
              <w:rPr>
                <w:color w:val="0000FF"/>
                <w:sz w:val="22"/>
                <w:szCs w:val="24"/>
                <w:u w:val="single"/>
              </w:rPr>
            </w:pPr>
            <w:r w:rsidRPr="00FD195B">
              <w:rPr>
                <w:color w:val="0000FF"/>
                <w:sz w:val="22"/>
                <w:szCs w:val="24"/>
                <w:u w:val="single"/>
              </w:rPr>
              <w:lastRenderedPageBreak/>
              <w:t>0b1011: Report status information of multimode station</w:t>
            </w:r>
          </w:p>
          <w:p w:rsidR="005A7DD2" w:rsidRPr="00FD195B" w:rsidRDefault="005A7DD2" w:rsidP="00FD195B">
            <w:pPr>
              <w:pStyle w:val="Body"/>
              <w:rPr>
                <w:color w:val="0000FF"/>
                <w:sz w:val="22"/>
                <w:szCs w:val="24"/>
                <w:u w:val="single"/>
              </w:rPr>
            </w:pPr>
            <w:r w:rsidRPr="00FD195B">
              <w:rPr>
                <w:color w:val="0000FF"/>
                <w:sz w:val="22"/>
                <w:szCs w:val="24"/>
                <w:u w:val="single"/>
              </w:rPr>
              <w:t>0b1100 – 0b1111: reserved</w:t>
            </w:r>
          </w:p>
          <w:p w:rsidR="005A7DD2" w:rsidRPr="00FD195B" w:rsidRDefault="005A7DD2" w:rsidP="00FD195B">
            <w:pPr>
              <w:pStyle w:val="Body"/>
              <w:rPr>
                <w:rFonts w:ascii="Times New Roman" w:eastAsia="AppleGothic" w:hAnsi="Times New Roman"/>
                <w:strike/>
                <w:color w:val="FF0000"/>
                <w:sz w:val="22"/>
                <w:szCs w:val="22"/>
              </w:rPr>
            </w:pPr>
            <w:r w:rsidRPr="00FD195B">
              <w:rPr>
                <w:strike/>
                <w:color w:val="FF0000"/>
                <w:sz w:val="22"/>
                <w:szCs w:val="24"/>
              </w:rPr>
              <w:t xml:space="preserve">0b1011 – 0b1111: </w:t>
            </w:r>
            <w:r w:rsidRPr="00FD195B">
              <w:rPr>
                <w:i/>
                <w:strike/>
                <w:color w:val="FF0000"/>
                <w:sz w:val="22"/>
                <w:szCs w:val="24"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6B2437">
            <w:pPr>
              <w:jc w:val="both"/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lastRenderedPageBreak/>
              <w:t>Mandatory</w:t>
            </w:r>
          </w:p>
        </w:tc>
      </w:tr>
      <w:tr w:rsidR="005A7DD2" w:rsidRPr="00FD195B" w:rsidTr="006B2437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lastRenderedPageBreak/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</w:tr>
    </w:tbl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sectPr w:rsidR="00FF6C18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09" w:rsidRDefault="00CB2109">
      <w:r>
        <w:separator/>
      </w:r>
    </w:p>
  </w:endnote>
  <w:endnote w:type="continuationSeparator" w:id="0">
    <w:p w:rsidR="00CB2109" w:rsidRDefault="00C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Default="00671BF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7F3CC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71BF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09" w:rsidRDefault="00CB2109">
      <w:r>
        <w:separator/>
      </w:r>
    </w:p>
  </w:footnote>
  <w:footnote w:type="continuationSeparator" w:id="0">
    <w:p w:rsidR="00CB2109" w:rsidRDefault="00CB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6E65C4" w:rsidRPr="006E65C4">
      <w:rPr>
        <w:lang w:eastAsia="ko-KR"/>
      </w:rPr>
      <w:t>0425</w:t>
    </w:r>
    <w:r w:rsidRPr="006932E7">
      <w:t>-</w:t>
    </w:r>
    <w:r w:rsidR="00671BFE">
      <w:rPr>
        <w:rFonts w:hint="eastAsia"/>
        <w:lang w:eastAsia="ko-KR"/>
      </w:rPr>
      <w:t>01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879EA"/>
    <w:multiLevelType w:val="hybridMultilevel"/>
    <w:tmpl w:val="D4229A1C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35C2B070">
      <w:numFmt w:val="bullet"/>
      <w:lvlText w:val="―"/>
      <w:lvlJc w:val="left"/>
      <w:pPr>
        <w:ind w:left="1200" w:hanging="400"/>
      </w:pPr>
      <w:rPr>
        <w:rFonts w:ascii="Book Antiqua" w:eastAsia="굴림" w:hAnsi="Book Antiqua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301A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0B36"/>
    <w:rsid w:val="003B11A3"/>
    <w:rsid w:val="003B33A2"/>
    <w:rsid w:val="003C6C81"/>
    <w:rsid w:val="003D5DA7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94D6E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47B0B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A7DD2"/>
    <w:rsid w:val="005B0369"/>
    <w:rsid w:val="005B2A89"/>
    <w:rsid w:val="005C76F6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1BFE"/>
    <w:rsid w:val="00672A1A"/>
    <w:rsid w:val="00675A03"/>
    <w:rsid w:val="0069256E"/>
    <w:rsid w:val="006932E7"/>
    <w:rsid w:val="006A6C4C"/>
    <w:rsid w:val="006B2437"/>
    <w:rsid w:val="006C12F6"/>
    <w:rsid w:val="006C54A6"/>
    <w:rsid w:val="006E15CC"/>
    <w:rsid w:val="006E65C4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183B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3CC9"/>
    <w:rsid w:val="007F4C81"/>
    <w:rsid w:val="007F5FBF"/>
    <w:rsid w:val="00813684"/>
    <w:rsid w:val="008208EC"/>
    <w:rsid w:val="0082579F"/>
    <w:rsid w:val="00845B74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701D"/>
    <w:rsid w:val="00931504"/>
    <w:rsid w:val="00932590"/>
    <w:rsid w:val="00936442"/>
    <w:rsid w:val="0093770A"/>
    <w:rsid w:val="00937949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7DCF"/>
    <w:rsid w:val="00A12974"/>
    <w:rsid w:val="00A22986"/>
    <w:rsid w:val="00A26E23"/>
    <w:rsid w:val="00A277C3"/>
    <w:rsid w:val="00A33DD4"/>
    <w:rsid w:val="00A349A9"/>
    <w:rsid w:val="00A36864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F79"/>
    <w:rsid w:val="00C724AF"/>
    <w:rsid w:val="00C7266A"/>
    <w:rsid w:val="00C9695B"/>
    <w:rsid w:val="00CA0644"/>
    <w:rsid w:val="00CB2109"/>
    <w:rsid w:val="00CB4B4F"/>
    <w:rsid w:val="00CB4FBA"/>
    <w:rsid w:val="00CC2C3D"/>
    <w:rsid w:val="00CC423D"/>
    <w:rsid w:val="00CC6404"/>
    <w:rsid w:val="00CC6FA8"/>
    <w:rsid w:val="00CF093A"/>
    <w:rsid w:val="00CF0E2F"/>
    <w:rsid w:val="00CF3650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B610C"/>
    <w:rsid w:val="00EC3708"/>
    <w:rsid w:val="00EC50E8"/>
    <w:rsid w:val="00EE2CA9"/>
    <w:rsid w:val="00F030F1"/>
    <w:rsid w:val="00F1267E"/>
    <w:rsid w:val="00F170C9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7D86"/>
    <w:rsid w:val="00FC43AF"/>
    <w:rsid w:val="00FC451D"/>
    <w:rsid w:val="00FC6178"/>
    <w:rsid w:val="00FD0ABA"/>
    <w:rsid w:val="00FD1387"/>
    <w:rsid w:val="00FD195B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8E51-FB90-40D9-AC13-F8DFDF86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5280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5</cp:revision>
  <cp:lastPrinted>2012-05-04T08:46:00Z</cp:lastPrinted>
  <dcterms:created xsi:type="dcterms:W3CDTF">2012-07-10T04:24:00Z</dcterms:created>
  <dcterms:modified xsi:type="dcterms:W3CDTF">2012-07-10T08:14:00Z</dcterms:modified>
</cp:coreProperties>
</file>