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578" w:rsidRDefault="00E47578">
      <w:pPr>
        <w:rPr>
          <w:rFonts w:hint="eastAsia"/>
          <w:lang w:eastAsia="ja-JP"/>
        </w:rPr>
      </w:pPr>
      <w:bookmarkStart w:id="0" w:name="_GoBack"/>
      <w:bookmarkEnd w:id="0"/>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E47578" w:rsidRPr="008F0720">
        <w:trPr>
          <w:cantSplit/>
        </w:trPr>
        <w:tc>
          <w:tcPr>
            <w:tcW w:w="6580" w:type="dxa"/>
            <w:vAlign w:val="center"/>
          </w:tcPr>
          <w:p w:rsidR="00E47578" w:rsidRPr="008F0720" w:rsidRDefault="00E47578" w:rsidP="00E47578">
            <w:pPr>
              <w:shd w:val="solid" w:color="FFFFFF" w:fill="FFFFFF"/>
              <w:spacing w:before="0"/>
              <w:rPr>
                <w:rFonts w:ascii="Verdana" w:hAnsi="Verdana" w:cs="Times New Roman Bold"/>
                <w:b/>
                <w:bCs/>
                <w:sz w:val="26"/>
                <w:szCs w:val="26"/>
              </w:rPr>
            </w:pPr>
            <w:r w:rsidRPr="008F0720">
              <w:rPr>
                <w:rFonts w:ascii="Verdana" w:hAnsi="Verdana" w:cs="Times New Roman Bold"/>
                <w:b/>
                <w:bCs/>
                <w:sz w:val="26"/>
                <w:szCs w:val="26"/>
              </w:rPr>
              <w:t>Radiocommunication Study Groups</w:t>
            </w:r>
          </w:p>
        </w:tc>
        <w:tc>
          <w:tcPr>
            <w:tcW w:w="3451" w:type="dxa"/>
          </w:tcPr>
          <w:p w:rsidR="00E47578" w:rsidRPr="008F0720" w:rsidRDefault="0056586C" w:rsidP="00E47578">
            <w:pPr>
              <w:shd w:val="solid" w:color="FFFFFF" w:fill="FFFFFF"/>
              <w:spacing w:before="0" w:line="240" w:lineRule="atLeast"/>
            </w:pPr>
            <w:bookmarkStart w:id="1" w:name="ditulogo"/>
            <w:bookmarkEnd w:id="1"/>
            <w:r>
              <w:rPr>
                <w:noProof/>
                <w:lang w:val="en-US" w:eastAsia="zh-CN"/>
              </w:rPr>
              <w:drawing>
                <wp:inline distT="0" distB="0" distL="0" distR="0" wp14:anchorId="09CE8092" wp14:editId="522726DF">
                  <wp:extent cx="1757045" cy="74739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7045" cy="747395"/>
                          </a:xfrm>
                          <a:prstGeom prst="rect">
                            <a:avLst/>
                          </a:prstGeom>
                          <a:noFill/>
                          <a:ln>
                            <a:noFill/>
                          </a:ln>
                        </pic:spPr>
                      </pic:pic>
                    </a:graphicData>
                  </a:graphic>
                </wp:inline>
              </w:drawing>
            </w:r>
          </w:p>
        </w:tc>
      </w:tr>
      <w:tr w:rsidR="00E47578" w:rsidRPr="008F0720">
        <w:trPr>
          <w:cantSplit/>
        </w:trPr>
        <w:tc>
          <w:tcPr>
            <w:tcW w:w="6580" w:type="dxa"/>
            <w:tcBorders>
              <w:bottom w:val="single" w:sz="12" w:space="0" w:color="auto"/>
            </w:tcBorders>
          </w:tcPr>
          <w:p w:rsidR="00E47578" w:rsidRPr="008F0720" w:rsidRDefault="00E47578" w:rsidP="00E47578">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E47578" w:rsidRPr="008F0720" w:rsidRDefault="00E47578" w:rsidP="00E47578">
            <w:pPr>
              <w:shd w:val="solid" w:color="FFFFFF" w:fill="FFFFFF"/>
              <w:spacing w:before="0" w:after="48" w:line="240" w:lineRule="atLeast"/>
              <w:rPr>
                <w:rFonts w:hint="eastAsia"/>
                <w:b/>
                <w:color w:val="FF0000"/>
                <w:sz w:val="22"/>
                <w:szCs w:val="22"/>
                <w:lang w:val="en-US" w:eastAsia="ja-JP"/>
              </w:rPr>
            </w:pPr>
          </w:p>
        </w:tc>
      </w:tr>
      <w:tr w:rsidR="00E47578" w:rsidRPr="008F0720">
        <w:trPr>
          <w:cantSplit/>
        </w:trPr>
        <w:tc>
          <w:tcPr>
            <w:tcW w:w="6580" w:type="dxa"/>
            <w:tcBorders>
              <w:top w:val="single" w:sz="12" w:space="0" w:color="auto"/>
            </w:tcBorders>
          </w:tcPr>
          <w:p w:rsidR="00E47578" w:rsidRPr="008F0720" w:rsidRDefault="00E47578" w:rsidP="00E47578">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E47578" w:rsidRPr="008F0720" w:rsidRDefault="00E47578" w:rsidP="00E47578">
            <w:pPr>
              <w:shd w:val="solid" w:color="FFFFFF" w:fill="FFFFFF"/>
              <w:spacing w:before="0" w:after="48" w:line="240" w:lineRule="atLeast"/>
              <w:rPr>
                <w:lang w:val="en-US"/>
              </w:rPr>
            </w:pPr>
          </w:p>
        </w:tc>
      </w:tr>
      <w:tr w:rsidR="00E47578" w:rsidRPr="008F0720">
        <w:trPr>
          <w:cantSplit/>
        </w:trPr>
        <w:tc>
          <w:tcPr>
            <w:tcW w:w="6580" w:type="dxa"/>
            <w:vMerge w:val="restart"/>
          </w:tcPr>
          <w:p w:rsidR="00E47578" w:rsidRPr="008F0720" w:rsidRDefault="00E47578" w:rsidP="00974BAD">
            <w:pPr>
              <w:shd w:val="solid" w:color="FFFFFF" w:fill="FFFFFF"/>
              <w:tabs>
                <w:tab w:val="clear" w:pos="1134"/>
                <w:tab w:val="clear" w:pos="1871"/>
                <w:tab w:val="clear" w:pos="2268"/>
              </w:tabs>
              <w:spacing w:before="0" w:after="240"/>
              <w:ind w:left="1134" w:hanging="1134"/>
              <w:rPr>
                <w:rFonts w:ascii="Verdana" w:hAnsi="Verdana" w:hint="eastAsia"/>
                <w:sz w:val="20"/>
                <w:lang w:eastAsia="ja-JP"/>
              </w:rPr>
            </w:pPr>
            <w:bookmarkStart w:id="2" w:name="recibido"/>
            <w:bookmarkStart w:id="3" w:name="dnum" w:colFirst="1" w:colLast="1"/>
            <w:bookmarkEnd w:id="2"/>
            <w:r w:rsidRPr="008F0720">
              <w:rPr>
                <w:rFonts w:ascii="Verdana" w:hAnsi="Verdana"/>
                <w:sz w:val="20"/>
              </w:rPr>
              <w:t>Received:</w:t>
            </w:r>
            <w:r w:rsidRPr="008F0720">
              <w:rPr>
                <w:rFonts w:ascii="Verdana" w:hAnsi="Verdana"/>
                <w:sz w:val="20"/>
              </w:rPr>
              <w:tab/>
            </w:r>
            <w:r w:rsidR="00974BAD">
              <w:rPr>
                <w:rFonts w:ascii="Verdana" w:hAnsi="Verdana"/>
                <w:sz w:val="20"/>
                <w:lang w:eastAsia="ja-JP"/>
              </w:rPr>
              <w:t>6</w:t>
            </w:r>
            <w:r w:rsidR="005070CE">
              <w:rPr>
                <w:rFonts w:ascii="Verdana" w:hAnsi="Verdana"/>
                <w:sz w:val="20"/>
                <w:lang w:eastAsia="ja-JP"/>
              </w:rPr>
              <w:t xml:space="preserve"> July 2012</w:t>
            </w:r>
          </w:p>
          <w:p w:rsidR="00E47578" w:rsidRPr="008F0720" w:rsidRDefault="00E47578" w:rsidP="00E47578">
            <w:pPr>
              <w:shd w:val="solid" w:color="FFFFFF" w:fill="FFFFFF"/>
              <w:tabs>
                <w:tab w:val="clear" w:pos="1134"/>
                <w:tab w:val="clear" w:pos="1871"/>
                <w:tab w:val="clear" w:pos="2268"/>
              </w:tabs>
              <w:spacing w:before="0" w:after="240"/>
              <w:ind w:left="1134" w:hanging="1134"/>
              <w:rPr>
                <w:rFonts w:ascii="Verdana" w:hAnsi="Verdana"/>
                <w:sz w:val="20"/>
              </w:rPr>
            </w:pPr>
            <w:r w:rsidRPr="008F0720">
              <w:rPr>
                <w:rFonts w:ascii="Verdana" w:hAnsi="Verdana"/>
                <w:sz w:val="20"/>
              </w:rPr>
              <w:t>Subject:</w:t>
            </w:r>
            <w:r w:rsidRPr="008F0720">
              <w:rPr>
                <w:rFonts w:ascii="Verdana" w:hAnsi="Verdana"/>
                <w:sz w:val="20"/>
              </w:rPr>
              <w:tab/>
            </w:r>
            <w:hyperlink r:id="rId9" w:history="1">
              <w:r>
                <w:rPr>
                  <w:rStyle w:val="Hyperlink"/>
                  <w:rFonts w:ascii="Verdana" w:hAnsi="Verdana"/>
                  <w:sz w:val="20"/>
                  <w:u w:val="single"/>
                </w:rPr>
                <w:t>Question ITU-R 229-3/5</w:t>
              </w:r>
            </w:hyperlink>
          </w:p>
        </w:tc>
        <w:tc>
          <w:tcPr>
            <w:tcW w:w="3451" w:type="dxa"/>
          </w:tcPr>
          <w:p w:rsidR="00E47578" w:rsidRPr="008F0720" w:rsidRDefault="00E47578" w:rsidP="0056586C">
            <w:pPr>
              <w:shd w:val="solid" w:color="FFFFFF" w:fill="FFFFFF"/>
              <w:spacing w:before="0" w:line="240" w:lineRule="atLeast"/>
              <w:rPr>
                <w:rFonts w:ascii="Verdana" w:hAnsi="Verdana" w:hint="eastAsia"/>
                <w:sz w:val="20"/>
                <w:lang w:eastAsia="ja-JP"/>
              </w:rPr>
            </w:pPr>
            <w:r w:rsidRPr="008F0720">
              <w:rPr>
                <w:rFonts w:ascii="Verdana" w:hAnsi="Verdana"/>
                <w:b/>
                <w:sz w:val="20"/>
                <w:lang w:eastAsia="zh-CN"/>
              </w:rPr>
              <w:t>Document 5D</w:t>
            </w:r>
            <w:r w:rsidR="005A0472">
              <w:rPr>
                <w:rFonts w:ascii="Verdana" w:hAnsi="Verdana"/>
                <w:b/>
                <w:sz w:val="20"/>
                <w:lang w:eastAsia="zh-CN"/>
              </w:rPr>
              <w:t>/</w:t>
            </w:r>
            <w:r w:rsidR="0056586C">
              <w:rPr>
                <w:rFonts w:ascii="Verdana" w:hAnsi="Verdana"/>
                <w:b/>
                <w:sz w:val="20"/>
                <w:lang w:eastAsia="zh-CN"/>
              </w:rPr>
              <w:t>65</w:t>
            </w:r>
            <w:r w:rsidR="005A0472">
              <w:rPr>
                <w:rFonts w:ascii="Verdana" w:hAnsi="Verdana"/>
                <w:b/>
                <w:sz w:val="20"/>
                <w:lang w:eastAsia="zh-CN"/>
              </w:rPr>
              <w:t>-E</w:t>
            </w:r>
          </w:p>
        </w:tc>
      </w:tr>
      <w:tr w:rsidR="00E47578" w:rsidRPr="008F0720">
        <w:trPr>
          <w:cantSplit/>
        </w:trPr>
        <w:tc>
          <w:tcPr>
            <w:tcW w:w="6580" w:type="dxa"/>
            <w:vMerge/>
          </w:tcPr>
          <w:p w:rsidR="00E47578" w:rsidRPr="008F0720" w:rsidRDefault="00E47578" w:rsidP="00E47578">
            <w:pPr>
              <w:spacing w:before="60"/>
              <w:jc w:val="center"/>
              <w:rPr>
                <w:b/>
                <w:smallCaps/>
                <w:sz w:val="32"/>
                <w:lang w:eastAsia="zh-CN"/>
              </w:rPr>
            </w:pPr>
            <w:bookmarkStart w:id="4" w:name="ddate" w:colFirst="1" w:colLast="1"/>
            <w:bookmarkEnd w:id="3"/>
          </w:p>
        </w:tc>
        <w:tc>
          <w:tcPr>
            <w:tcW w:w="3451" w:type="dxa"/>
          </w:tcPr>
          <w:p w:rsidR="00E47578" w:rsidRPr="008F0720" w:rsidRDefault="00974BAD" w:rsidP="00E47578">
            <w:pPr>
              <w:shd w:val="solid" w:color="FFFFFF" w:fill="FFFFFF"/>
              <w:spacing w:before="0" w:line="240" w:lineRule="atLeast"/>
              <w:rPr>
                <w:rFonts w:ascii="Verdana" w:hAnsi="Verdana" w:hint="eastAsia"/>
                <w:sz w:val="20"/>
                <w:lang w:eastAsia="ja-JP"/>
              </w:rPr>
            </w:pPr>
            <w:r>
              <w:rPr>
                <w:rFonts w:ascii="Verdana" w:hAnsi="Verdana"/>
                <w:b/>
                <w:sz w:val="20"/>
                <w:lang w:eastAsia="ja-JP"/>
              </w:rPr>
              <w:t>6</w:t>
            </w:r>
            <w:r w:rsidR="00E47578" w:rsidRPr="008F0720">
              <w:rPr>
                <w:rFonts w:ascii="Verdana" w:hAnsi="Verdana"/>
                <w:b/>
                <w:sz w:val="20"/>
                <w:lang w:eastAsia="zh-CN"/>
              </w:rPr>
              <w:t xml:space="preserve"> </w:t>
            </w:r>
            <w:r w:rsidR="005070CE">
              <w:rPr>
                <w:rFonts w:ascii="Verdana" w:hAnsi="Verdana"/>
                <w:b/>
                <w:sz w:val="20"/>
                <w:lang w:eastAsia="zh-CN"/>
              </w:rPr>
              <w:t xml:space="preserve">July </w:t>
            </w:r>
            <w:r w:rsidR="00E47578" w:rsidRPr="008F0720">
              <w:rPr>
                <w:rFonts w:ascii="Verdana" w:hAnsi="Verdana"/>
                <w:b/>
                <w:sz w:val="20"/>
                <w:lang w:eastAsia="zh-CN"/>
              </w:rPr>
              <w:t>201</w:t>
            </w:r>
            <w:r w:rsidR="00E47578" w:rsidRPr="008F0720">
              <w:rPr>
                <w:rFonts w:ascii="Verdana" w:hAnsi="Verdana" w:hint="eastAsia"/>
                <w:b/>
                <w:sz w:val="20"/>
                <w:lang w:eastAsia="ja-JP"/>
              </w:rPr>
              <w:t>2</w:t>
            </w:r>
          </w:p>
        </w:tc>
      </w:tr>
      <w:tr w:rsidR="00E47578" w:rsidRPr="008F0720">
        <w:trPr>
          <w:cantSplit/>
        </w:trPr>
        <w:tc>
          <w:tcPr>
            <w:tcW w:w="6580" w:type="dxa"/>
            <w:vMerge/>
          </w:tcPr>
          <w:p w:rsidR="00E47578" w:rsidRPr="008F0720" w:rsidRDefault="00E47578" w:rsidP="00E47578">
            <w:pPr>
              <w:spacing w:before="60"/>
              <w:jc w:val="center"/>
              <w:rPr>
                <w:b/>
                <w:smallCaps/>
                <w:sz w:val="32"/>
                <w:lang w:eastAsia="zh-CN"/>
              </w:rPr>
            </w:pPr>
            <w:bookmarkStart w:id="5" w:name="dorlang" w:colFirst="1" w:colLast="1"/>
            <w:bookmarkEnd w:id="4"/>
          </w:p>
        </w:tc>
        <w:tc>
          <w:tcPr>
            <w:tcW w:w="3451" w:type="dxa"/>
          </w:tcPr>
          <w:p w:rsidR="00974BAD" w:rsidRDefault="00E47578" w:rsidP="00974BAD">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974BAD" w:rsidRDefault="00974BAD" w:rsidP="00974BAD">
            <w:pPr>
              <w:shd w:val="solid" w:color="FFFFFF" w:fill="FFFFFF"/>
              <w:spacing w:before="0" w:line="240" w:lineRule="atLeast"/>
              <w:rPr>
                <w:rFonts w:ascii="Verdana" w:eastAsia="SimSun" w:hAnsi="Verdana"/>
                <w:b/>
                <w:sz w:val="20"/>
                <w:lang w:eastAsia="zh-CN"/>
              </w:rPr>
            </w:pPr>
          </w:p>
          <w:p w:rsidR="00E47578" w:rsidRPr="00951DE7" w:rsidRDefault="00714A02" w:rsidP="00974BAD">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ASPECTS</w:t>
            </w:r>
          </w:p>
        </w:tc>
      </w:tr>
      <w:tr w:rsidR="00E47578" w:rsidRPr="008F0720">
        <w:trPr>
          <w:cantSplit/>
        </w:trPr>
        <w:tc>
          <w:tcPr>
            <w:tcW w:w="10031" w:type="dxa"/>
            <w:gridSpan w:val="2"/>
          </w:tcPr>
          <w:p w:rsidR="00E47578" w:rsidRPr="008F0720" w:rsidRDefault="00E47578" w:rsidP="00E47578">
            <w:pPr>
              <w:pStyle w:val="Source"/>
              <w:rPr>
                <w:lang w:eastAsia="zh-CN"/>
              </w:rPr>
            </w:pPr>
            <w:bookmarkStart w:id="6" w:name="dsource" w:colFirst="0" w:colLast="0"/>
            <w:bookmarkEnd w:id="5"/>
            <w:r w:rsidRPr="008F0720">
              <w:t>Institute of Electrical and Electronics Engineers, Inc.</w:t>
            </w:r>
          </w:p>
        </w:tc>
      </w:tr>
      <w:tr w:rsidR="00E47578" w:rsidRPr="008F0720">
        <w:trPr>
          <w:cantSplit/>
        </w:trPr>
        <w:tc>
          <w:tcPr>
            <w:tcW w:w="10031" w:type="dxa"/>
            <w:gridSpan w:val="2"/>
          </w:tcPr>
          <w:p w:rsidR="00E47578" w:rsidRPr="008F0720" w:rsidRDefault="00E47578" w:rsidP="00E47578">
            <w:pPr>
              <w:pStyle w:val="Title1"/>
              <w:rPr>
                <w:lang w:eastAsia="zh-CN"/>
              </w:rPr>
            </w:pPr>
            <w:bookmarkStart w:id="7" w:name="drec" w:colFirst="0" w:colLast="0"/>
            <w:bookmarkEnd w:id="6"/>
            <w:r w:rsidRPr="008F0720">
              <w:t>IMT-2000 OFDMA TDD WMAN submission toward revision 1</w:t>
            </w:r>
            <w:r w:rsidRPr="008F0720">
              <w:rPr>
                <w:rFonts w:hint="eastAsia"/>
                <w:lang w:eastAsia="ja-JP"/>
              </w:rPr>
              <w:t>1</w:t>
            </w:r>
            <w:r w:rsidR="009221CE">
              <w:br/>
            </w:r>
            <w:r w:rsidRPr="008F0720">
              <w:t>of recommendation itu-r m.1457 (meeting x+2)</w:t>
            </w:r>
          </w:p>
        </w:tc>
      </w:tr>
    </w:tbl>
    <w:p w:rsidR="00E47578" w:rsidRDefault="00E47578" w:rsidP="00E47578">
      <w:pPr>
        <w:pStyle w:val="Heading1"/>
        <w:rPr>
          <w:lang w:val="en-US"/>
        </w:rPr>
      </w:pPr>
      <w:bookmarkStart w:id="8" w:name="dbreak"/>
      <w:bookmarkEnd w:id="7"/>
      <w:bookmarkEnd w:id="8"/>
      <w:r>
        <w:rPr>
          <w:lang w:val="en-US"/>
        </w:rPr>
        <w:t>1</w:t>
      </w:r>
      <w:r>
        <w:rPr>
          <w:lang w:val="en-US"/>
        </w:rPr>
        <w:tab/>
        <w:t>Source information</w:t>
      </w:r>
    </w:p>
    <w:p w:rsidR="00E47578" w:rsidRDefault="00E47578" w:rsidP="00E47578">
      <w:pPr>
        <w:rPr>
          <w:lang w:val="en-US"/>
        </w:rPr>
      </w:pPr>
      <w:r>
        <w:rPr>
          <w:lang w:val="en-US"/>
        </w:rPr>
        <w:t>This contribution was developed by IEEE Project 802</w:t>
      </w:r>
      <w:r>
        <w:rPr>
          <w:rFonts w:eastAsia="SimSun"/>
          <w:lang w:val="en-US" w:eastAsia="zh-CN"/>
        </w:rPr>
        <w:t>®</w:t>
      </w:r>
      <w:r>
        <w:rPr>
          <w:lang w:val="en-US"/>
        </w:rPr>
        <w:t>, the Local and Metropolitan Area Network Standards Committee (“IEEE 802”), an international standards development committee organized under the IEEE and the IEEE Standards Association (“IEEE-SA”).</w:t>
      </w:r>
    </w:p>
    <w:p w:rsidR="00E47578" w:rsidRDefault="00E47578" w:rsidP="00E47578">
      <w:pPr>
        <w:rPr>
          <w:b/>
          <w:lang w:val="en-US"/>
        </w:rPr>
      </w:pPr>
      <w:r>
        <w:rPr>
          <w:lang w:val="en-US"/>
        </w:rPr>
        <w:t>The content herein was prepared by a group of technical experts in IEEE 802 and industry and was approved for submission by the IEEE 802.16™ Working Group on Wireless Metropolitan Area Networks, the IEEE 802.18 Radio Regulatory Technical Advisory Group, and the IEEE 802 Executive Committee, in accordance with the IEEE 802 policies and procedures, and represents the view of IEEE 802.</w:t>
      </w:r>
    </w:p>
    <w:p w:rsidR="00E47578" w:rsidRDefault="00E47578" w:rsidP="00E47578">
      <w:pPr>
        <w:pStyle w:val="Heading1"/>
      </w:pPr>
      <w:r>
        <w:rPr>
          <w:lang w:val="en-US"/>
        </w:rPr>
        <w:t>2</w:t>
      </w:r>
      <w:r>
        <w:rPr>
          <w:lang w:val="en-US"/>
        </w:rPr>
        <w:tab/>
        <w:t>Discussion</w:t>
      </w:r>
    </w:p>
    <w:p w:rsidR="00E47578" w:rsidRDefault="00E47578" w:rsidP="00E47578">
      <w:pPr>
        <w:rPr>
          <w:rFonts w:hint="eastAsia"/>
          <w:lang w:val="en-US" w:eastAsia="ja-JP"/>
        </w:rPr>
      </w:pPr>
      <w:r>
        <w:t>Following Documents 5D/</w:t>
      </w:r>
      <w:r>
        <w:rPr>
          <w:rFonts w:hint="eastAsia"/>
          <w:lang w:eastAsia="ja-JP"/>
        </w:rPr>
        <w:t>908</w:t>
      </w:r>
      <w:r>
        <w:t xml:space="preserve"> and 5D/</w:t>
      </w:r>
      <w:r>
        <w:rPr>
          <w:rFonts w:hint="eastAsia"/>
          <w:lang w:eastAsia="ja-JP"/>
        </w:rPr>
        <w:t>1117</w:t>
      </w:r>
      <w:r>
        <w:t>, this contribution contains updated material on IMT</w:t>
      </w:r>
      <w:r>
        <w:noBreakHyphen/>
        <w:t>2000 OFDMA TDD WMAN for Revision 1</w:t>
      </w:r>
      <w:r>
        <w:rPr>
          <w:rFonts w:hint="eastAsia"/>
          <w:lang w:eastAsia="ja-JP"/>
        </w:rPr>
        <w:t>1</w:t>
      </w:r>
      <w:r>
        <w:t xml:space="preserve"> of Recommendation ITU-R M.1457 in line with Circular Letter 8/LCCE/95 and the schedule received from ITU-R Working Party 5D contained in Att. </w:t>
      </w:r>
      <w:r>
        <w:rPr>
          <w:rFonts w:hint="eastAsia"/>
          <w:lang w:eastAsia="ja-JP"/>
        </w:rPr>
        <w:t>5.2</w:t>
      </w:r>
      <w:r>
        <w:t xml:space="preserve"> of Document 5D/</w:t>
      </w:r>
      <w:r>
        <w:rPr>
          <w:rFonts w:hint="eastAsia"/>
          <w:lang w:eastAsia="ja-JP"/>
        </w:rPr>
        <w:t>870</w:t>
      </w:r>
      <w:r>
        <w:t>. This material represents the update for approval at the final (“X+2”) meeting addressing the development of Revision 1</w:t>
      </w:r>
      <w:r>
        <w:rPr>
          <w:rFonts w:hint="eastAsia"/>
          <w:lang w:eastAsia="ja-JP"/>
        </w:rPr>
        <w:t>1</w:t>
      </w:r>
      <w:r>
        <w:t>.</w:t>
      </w:r>
    </w:p>
    <w:p w:rsidR="00E47578" w:rsidRDefault="00E47578" w:rsidP="00974BAD">
      <w:pPr>
        <w:ind w:right="-426"/>
      </w:pPr>
      <w:r>
        <w:t>In particular, the material required as specified in the update procedure for revisions of Recommendation ITU-R M.1457 (8/LCCE/95) is addressed in the following annexes:</w:t>
      </w:r>
    </w:p>
    <w:p w:rsidR="00E47578" w:rsidRDefault="00E47578" w:rsidP="009221CE">
      <w:pPr>
        <w:pStyle w:val="enumlev1"/>
        <w:spacing w:before="240"/>
      </w:pPr>
      <w:hyperlink w:anchor="a1" w:history="1">
        <w:r w:rsidRPr="00974BAD">
          <w:rPr>
            <w:rStyle w:val="Hyperlink"/>
            <w:u w:val="single"/>
          </w:rPr>
          <w:t>Annex 1</w:t>
        </w:r>
      </w:hyperlink>
      <w:r w:rsidRPr="00974BAD">
        <w:rPr>
          <w:u w:val="single"/>
        </w:rPr>
        <w:t>:</w:t>
      </w:r>
      <w:r>
        <w:tab/>
        <w:t>Update of Section 5.6.2</w:t>
      </w:r>
    </w:p>
    <w:p w:rsidR="00E47578" w:rsidRDefault="00E47578" w:rsidP="00E47578">
      <w:pPr>
        <w:pStyle w:val="enumlev1"/>
      </w:pPr>
      <w:hyperlink w:anchor="a2" w:history="1">
        <w:r w:rsidRPr="00974BAD">
          <w:rPr>
            <w:rStyle w:val="Hyperlink"/>
            <w:u w:val="single"/>
          </w:rPr>
          <w:t>Annex 2</w:t>
        </w:r>
      </w:hyperlink>
      <w:r w:rsidRPr="00974BAD">
        <w:rPr>
          <w:u w:val="single"/>
        </w:rPr>
        <w:t>:</w:t>
      </w:r>
      <w:r>
        <w:tab/>
        <w:t>Modifications to Section 5.6.1</w:t>
      </w:r>
    </w:p>
    <w:p w:rsidR="00E47578" w:rsidRDefault="00E47578" w:rsidP="00E47578">
      <w:pPr>
        <w:pStyle w:val="enumlev1"/>
      </w:pPr>
      <w:hyperlink w:anchor="a3" w:history="1">
        <w:r w:rsidRPr="00974BAD">
          <w:rPr>
            <w:rStyle w:val="Hyperlink"/>
            <w:u w:val="single"/>
          </w:rPr>
          <w:t>Annex 3</w:t>
        </w:r>
      </w:hyperlink>
      <w:r w:rsidRPr="00974BAD">
        <w:rPr>
          <w:u w:val="single"/>
        </w:rPr>
        <w:t>:</w:t>
      </w:r>
      <w:r>
        <w:tab/>
        <w:t>Updated GCS</w:t>
      </w:r>
    </w:p>
    <w:p w:rsidR="00E47578" w:rsidRDefault="00E47578" w:rsidP="00E47578">
      <w:pPr>
        <w:pStyle w:val="enumlev1"/>
      </w:pPr>
      <w:hyperlink w:anchor="a4" w:history="1">
        <w:r w:rsidRPr="00974BAD">
          <w:rPr>
            <w:rStyle w:val="Hyperlink"/>
            <w:u w:val="single"/>
          </w:rPr>
          <w:t>Annex 4</w:t>
        </w:r>
      </w:hyperlink>
      <w:r w:rsidRPr="00974BAD">
        <w:rPr>
          <w:u w:val="single"/>
        </w:rPr>
        <w:t>:</w:t>
      </w:r>
      <w:r>
        <w:tab/>
        <w:t>Summary and r</w:t>
      </w:r>
      <w:r w:rsidR="00974BAD">
        <w:t>ationale of the proposed update</w:t>
      </w:r>
    </w:p>
    <w:p w:rsidR="00E47578" w:rsidRDefault="00E47578" w:rsidP="00E47578">
      <w:pPr>
        <w:pStyle w:val="enumlev1"/>
      </w:pPr>
      <w:hyperlink w:anchor="a5" w:history="1">
        <w:r w:rsidRPr="00974BAD">
          <w:rPr>
            <w:rStyle w:val="Hyperlink"/>
            <w:u w:val="single"/>
          </w:rPr>
          <w:t>Annex 5</w:t>
        </w:r>
      </w:hyperlink>
      <w:r w:rsidRPr="00974BAD">
        <w:rPr>
          <w:u w:val="single"/>
        </w:rPr>
        <w:t>:</w:t>
      </w:r>
      <w:r>
        <w:tab/>
        <w:t xml:space="preserve">Self-evaluation of the proposed update against the evaluation criteria (identical </w:t>
      </w:r>
      <w:r>
        <w:br/>
        <w:t>to Annex 5 of Document 5D/</w:t>
      </w:r>
      <w:r w:rsidRPr="008E1673">
        <w:rPr>
          <w:rFonts w:hint="eastAsia"/>
          <w:lang w:eastAsia="ja-JP"/>
        </w:rPr>
        <w:t>1117</w:t>
      </w:r>
      <w:r>
        <w:t>)</w:t>
      </w:r>
    </w:p>
    <w:p w:rsidR="00E47578" w:rsidRDefault="00E47578" w:rsidP="00E47578">
      <w:pPr>
        <w:pStyle w:val="enumlev1"/>
      </w:pPr>
      <w:hyperlink w:anchor="a6" w:history="1">
        <w:r w:rsidRPr="00974BAD">
          <w:rPr>
            <w:rStyle w:val="Hyperlink"/>
            <w:u w:val="single"/>
          </w:rPr>
          <w:t>Annex 6</w:t>
        </w:r>
      </w:hyperlink>
      <w:r w:rsidRPr="00974BAD">
        <w:rPr>
          <w:u w:val="single"/>
        </w:rPr>
        <w:t>:</w:t>
      </w:r>
      <w:r>
        <w:tab/>
        <w:t xml:space="preserve">Self-declaration that the proposed amendments are self-consistent between </w:t>
      </w:r>
      <w:r>
        <w:br/>
        <w:t>Section 5.6.1, Section 5.6.2, and the GCS.</w:t>
      </w:r>
    </w:p>
    <w:p w:rsidR="00E47578" w:rsidRDefault="00E47578" w:rsidP="00E47578">
      <w:pPr>
        <w:pStyle w:val="enumlev1"/>
        <w:spacing w:before="100" w:beforeAutospacing="1"/>
        <w:ind w:left="0" w:firstLine="0"/>
      </w:pPr>
      <w:r>
        <w:lastRenderedPageBreak/>
        <w:t>Please note that content referenced in 5D/</w:t>
      </w:r>
      <w:r w:rsidRPr="008E1673">
        <w:rPr>
          <w:rFonts w:hint="eastAsia"/>
          <w:lang w:eastAsia="ja-JP"/>
        </w:rPr>
        <w:t>1117</w:t>
      </w:r>
      <w:r>
        <w:rPr>
          <w:lang w:eastAsia="ja-JP"/>
        </w:rPr>
        <w:t xml:space="preserve"> as “IEEE </w:t>
      </w:r>
      <w:proofErr w:type="spellStart"/>
      <w:r>
        <w:rPr>
          <w:lang w:eastAsia="ja-JP"/>
        </w:rPr>
        <w:t>Std</w:t>
      </w:r>
      <w:proofErr w:type="spellEnd"/>
      <w:r>
        <w:rPr>
          <w:lang w:eastAsia="ja-JP"/>
        </w:rPr>
        <w:t xml:space="preserve"> 802.</w:t>
      </w:r>
      <w:r w:rsidR="00974BAD">
        <w:rPr>
          <w:lang w:eastAsia="ja-JP"/>
        </w:rPr>
        <w:t>16m” is being introduced into a </w:t>
      </w:r>
      <w:r>
        <w:rPr>
          <w:lang w:eastAsia="ja-JP"/>
        </w:rPr>
        <w:t xml:space="preserve">new standalone standard IEEE </w:t>
      </w:r>
      <w:proofErr w:type="spellStart"/>
      <w:r>
        <w:rPr>
          <w:lang w:eastAsia="ja-JP"/>
        </w:rPr>
        <w:t>Std</w:t>
      </w:r>
      <w:proofErr w:type="spellEnd"/>
      <w:r>
        <w:rPr>
          <w:lang w:eastAsia="ja-JP"/>
        </w:rPr>
        <w:t xml:space="preserve"> 802.16.1, with the content accordingly removed from IEEE </w:t>
      </w:r>
      <w:proofErr w:type="spellStart"/>
      <w:r>
        <w:rPr>
          <w:lang w:eastAsia="ja-JP"/>
        </w:rPr>
        <w:t>Std</w:t>
      </w:r>
      <w:proofErr w:type="spellEnd"/>
      <w:r>
        <w:rPr>
          <w:lang w:eastAsia="ja-JP"/>
        </w:rPr>
        <w:t xml:space="preserve"> 802.16 in the current revision IEEE </w:t>
      </w:r>
      <w:proofErr w:type="spellStart"/>
      <w:r>
        <w:rPr>
          <w:lang w:eastAsia="ja-JP"/>
        </w:rPr>
        <w:t>Std</w:t>
      </w:r>
      <w:proofErr w:type="spellEnd"/>
      <w:r>
        <w:rPr>
          <w:lang w:eastAsia="ja-JP"/>
        </w:rPr>
        <w:t xml:space="preserve"> 802.16-2012. Accordingly, both IEEE </w:t>
      </w:r>
      <w:proofErr w:type="spellStart"/>
      <w:r>
        <w:rPr>
          <w:lang w:eastAsia="ja-JP"/>
        </w:rPr>
        <w:t>Std</w:t>
      </w:r>
      <w:proofErr w:type="spellEnd"/>
      <w:r>
        <w:rPr>
          <w:lang w:eastAsia="ja-JP"/>
        </w:rPr>
        <w:t xml:space="preserve"> 802.16-2012 and IEEE </w:t>
      </w:r>
      <w:proofErr w:type="spellStart"/>
      <w:r>
        <w:rPr>
          <w:lang w:eastAsia="ja-JP"/>
        </w:rPr>
        <w:t>Std</w:t>
      </w:r>
      <w:proofErr w:type="spellEnd"/>
      <w:r>
        <w:rPr>
          <w:lang w:eastAsia="ja-JP"/>
        </w:rPr>
        <w:t xml:space="preserve"> 802.16.1-2012 are being proposed for the GCS.</w:t>
      </w:r>
    </w:p>
    <w:p w:rsidR="00E47578" w:rsidRDefault="00E47578" w:rsidP="00E47578">
      <w:pPr>
        <w:pStyle w:val="Heading1"/>
        <w:rPr>
          <w:lang w:val="en-US"/>
        </w:rPr>
      </w:pPr>
      <w:r>
        <w:t>3</w:t>
      </w:r>
      <w:r>
        <w:tab/>
        <w:t>Proposal</w:t>
      </w:r>
    </w:p>
    <w:p w:rsidR="00E47578" w:rsidRDefault="00E47578" w:rsidP="00E47578">
      <w:r>
        <w:t>We propose that the information contained in this contribution, including electronic attachments in Annexes 1 and 2, be agreed for incorporation in Revision 1</w:t>
      </w:r>
      <w:r>
        <w:rPr>
          <w:rFonts w:hint="eastAsia"/>
          <w:lang w:eastAsia="ja-JP"/>
        </w:rPr>
        <w:t>1</w:t>
      </w:r>
      <w:r>
        <w:t xml:space="preserve"> of Recommendation ITU-R M.1457.</w:t>
      </w:r>
    </w:p>
    <w:p w:rsidR="00974BAD" w:rsidRDefault="00E47578" w:rsidP="00974BAD">
      <w:pPr>
        <w:spacing w:before="240"/>
        <w:rPr>
          <w:lang w:val="en-US"/>
        </w:rPr>
      </w:pPr>
      <w:r>
        <w:rPr>
          <w:b/>
          <w:lang w:val="en-US"/>
        </w:rPr>
        <w:t>Contact:</w:t>
      </w:r>
      <w:r>
        <w:rPr>
          <w:lang w:val="en-US"/>
        </w:rPr>
        <w:tab/>
        <w:t>Michael Lynch</w:t>
      </w:r>
      <w:r w:rsidR="00974BAD">
        <w:rPr>
          <w:lang w:val="en-US"/>
        </w:rPr>
        <w:tab/>
      </w:r>
      <w:r w:rsidR="00974BAD">
        <w:rPr>
          <w:lang w:val="en-US"/>
        </w:rPr>
        <w:tab/>
      </w:r>
      <w:r w:rsidR="00974BAD">
        <w:rPr>
          <w:lang w:val="en-US"/>
        </w:rPr>
        <w:tab/>
      </w:r>
      <w:r w:rsidR="00974BAD">
        <w:rPr>
          <w:lang w:val="en-US"/>
        </w:rPr>
        <w:tab/>
      </w:r>
      <w:r w:rsidR="00974BAD" w:rsidRPr="00974BAD">
        <w:rPr>
          <w:b/>
          <w:bCs/>
          <w:lang w:val="en-US"/>
        </w:rPr>
        <w:t>E-mail:</w:t>
      </w:r>
      <w:r w:rsidR="00974BAD">
        <w:rPr>
          <w:lang w:val="en-US"/>
        </w:rPr>
        <w:t xml:space="preserve">  </w:t>
      </w:r>
      <w:hyperlink r:id="rId10" w:history="1">
        <w:r w:rsidR="00974BAD" w:rsidRPr="002F17C7">
          <w:rPr>
            <w:rStyle w:val="Hyperlink"/>
            <w:u w:val="single"/>
            <w:lang w:val="en-US"/>
          </w:rPr>
          <w:t>freqmgr@ieee.org</w:t>
        </w:r>
      </w:hyperlink>
    </w:p>
    <w:p w:rsidR="00E47578" w:rsidRDefault="00E47578" w:rsidP="00E47578"/>
    <w:p w:rsidR="00E47578" w:rsidRDefault="00E47578" w:rsidP="00E47578"/>
    <w:p w:rsidR="00E47578" w:rsidRDefault="00E47578" w:rsidP="00E47578">
      <w:pPr>
        <w:pStyle w:val="Annextitle"/>
      </w:pPr>
      <w:r>
        <w:br w:type="page"/>
      </w:r>
      <w:r>
        <w:lastRenderedPageBreak/>
        <w:t>Annex</w:t>
      </w:r>
      <w:bookmarkStart w:id="9" w:name="a1"/>
      <w:bookmarkEnd w:id="9"/>
      <w:r>
        <w:t xml:space="preserve"> 1</w:t>
      </w:r>
      <w:r>
        <w:br/>
      </w:r>
      <w:r>
        <w:br/>
        <w:t>Update of Section 5.6.2</w:t>
      </w:r>
    </w:p>
    <w:p w:rsidR="00E47578" w:rsidRDefault="00E47578" w:rsidP="007F154F">
      <w:pPr>
        <w:pStyle w:val="Normalaftertitle0"/>
        <w:spacing w:before="480"/>
      </w:pPr>
      <w:r>
        <w:t>The content of the electronic attachment is to replace Section 5.6.2 of Rec. ITU-R M.1457-10.</w:t>
      </w:r>
    </w:p>
    <w:bookmarkStart w:id="10" w:name="_MON_1403086369"/>
    <w:bookmarkEnd w:id="10"/>
    <w:p w:rsidR="00E47578" w:rsidRDefault="00974BAD" w:rsidP="00AD1A10">
      <w:pPr>
        <w:spacing w:before="240"/>
        <w:jc w:val="center"/>
      </w:pPr>
      <w: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7pt;height:50.1pt" o:ole="">
            <v:imagedata r:id="rId11" o:title=""/>
          </v:shape>
          <o:OLEObject Type="Embed" ProgID="Word.Document.8" ShapeID="_x0000_i1040" DrawAspect="Icon" ObjectID="_1403087135" r:id="rId12">
            <o:FieldCodes>\s</o:FieldCodes>
          </o:OLEObject>
        </w:object>
      </w:r>
    </w:p>
    <w:p w:rsidR="00974BAD" w:rsidRDefault="00974BAD" w:rsidP="00974BAD"/>
    <w:p w:rsidR="00E47578" w:rsidRDefault="00E47578" w:rsidP="00E47578">
      <w:pPr>
        <w:pStyle w:val="Annextitle"/>
      </w:pPr>
      <w:r>
        <w:t>Annex</w:t>
      </w:r>
      <w:bookmarkStart w:id="11" w:name="a2"/>
      <w:bookmarkEnd w:id="11"/>
      <w:r>
        <w:t xml:space="preserve"> 2</w:t>
      </w:r>
      <w:r>
        <w:br/>
      </w:r>
      <w:r>
        <w:br/>
        <w:t>Modifications to Section 5.6.1</w:t>
      </w:r>
    </w:p>
    <w:p w:rsidR="00E47578" w:rsidRDefault="00E47578" w:rsidP="007F154F">
      <w:pPr>
        <w:pStyle w:val="Normalaftertitle0"/>
        <w:spacing w:before="480"/>
      </w:pPr>
      <w:r>
        <w:t>The content of the electronic attachment is to replace Section 5.6.1 of Rec. ITU-R M.1457-10.</w:t>
      </w:r>
    </w:p>
    <w:bookmarkStart w:id="12" w:name="_MON_1403086386"/>
    <w:bookmarkEnd w:id="12"/>
    <w:p w:rsidR="00AB418E" w:rsidRDefault="00974BAD" w:rsidP="00974BAD">
      <w:pPr>
        <w:spacing w:before="240"/>
        <w:jc w:val="center"/>
      </w:pPr>
      <w:r>
        <w:object w:dxaOrig="1539" w:dyaOrig="996">
          <v:shape id="_x0000_i1046" type="#_x0000_t75" style="width:77pt;height:50.1pt" o:ole="">
            <v:imagedata r:id="rId13" o:title=""/>
          </v:shape>
          <o:OLEObject Type="Embed" ProgID="Word.Document.8" ShapeID="_x0000_i1046" DrawAspect="Icon" ObjectID="_1403087136" r:id="rId14">
            <o:FieldCodes>\s</o:FieldCodes>
          </o:OLEObject>
        </w:object>
      </w:r>
    </w:p>
    <w:p w:rsidR="00974BAD" w:rsidRDefault="00974BAD" w:rsidP="00974BAD"/>
    <w:p w:rsidR="00E47578" w:rsidRDefault="00E47578" w:rsidP="00E47578">
      <w:pPr>
        <w:pStyle w:val="Annextitle"/>
      </w:pPr>
      <w:r>
        <w:t>Annex</w:t>
      </w:r>
      <w:bookmarkStart w:id="13" w:name="a3"/>
      <w:bookmarkEnd w:id="13"/>
      <w:r>
        <w:t xml:space="preserve"> 3</w:t>
      </w:r>
      <w:r>
        <w:br/>
      </w:r>
      <w:r>
        <w:br/>
        <w:t>Updated GCS</w:t>
      </w:r>
    </w:p>
    <w:p w:rsidR="00E47578" w:rsidRDefault="00E47578" w:rsidP="007F154F">
      <w:pPr>
        <w:pStyle w:val="Normalaftertitle0"/>
        <w:spacing w:before="480"/>
      </w:pPr>
      <w:r>
        <w:t>The updated set of the Global Core Specifications (GCS) for IMT-2000 OFDMA TDD WMAN will be provided separately per established procedures.</w:t>
      </w:r>
    </w:p>
    <w:p w:rsidR="00E47578" w:rsidRDefault="00E47578" w:rsidP="00E47578">
      <w:pPr>
        <w:spacing w:before="240"/>
      </w:pPr>
    </w:p>
    <w:p w:rsidR="00E47578" w:rsidRDefault="00E47578" w:rsidP="00E47578">
      <w:pPr>
        <w:pStyle w:val="Annextitle"/>
      </w:pPr>
      <w:r>
        <w:t>Annex</w:t>
      </w:r>
      <w:bookmarkStart w:id="14" w:name="a4"/>
      <w:bookmarkEnd w:id="14"/>
      <w:r>
        <w:t xml:space="preserve"> 4</w:t>
      </w:r>
      <w:r>
        <w:br/>
      </w:r>
      <w:r>
        <w:br/>
        <w:t>Summary and rationale of the proposed update</w:t>
      </w:r>
    </w:p>
    <w:p w:rsidR="00E47578" w:rsidRDefault="00E47578" w:rsidP="007F154F">
      <w:pPr>
        <w:pStyle w:val="Normalaftertitle0"/>
        <w:spacing w:before="480"/>
      </w:pPr>
      <w:r>
        <w:t>The main purpose of this update is to align Recommendation ITU-R M.1457 to the most updated versions of the specifications underlying the radio interface IMT-2000 OFDMA TDD WMAN. The main enhancement</w:t>
      </w:r>
      <w:r>
        <w:rPr>
          <w:rFonts w:hint="eastAsia"/>
          <w:lang w:eastAsia="ja-JP"/>
        </w:rPr>
        <w:t>s</w:t>
      </w:r>
      <w:r>
        <w:t xml:space="preserve"> </w:t>
      </w:r>
      <w:r>
        <w:rPr>
          <w:rFonts w:hint="eastAsia"/>
          <w:lang w:eastAsia="ja-JP"/>
        </w:rPr>
        <w:t>are</w:t>
      </w:r>
      <w:r>
        <w:t xml:space="preserve"> the addition</w:t>
      </w:r>
      <w:r>
        <w:rPr>
          <w:rFonts w:hint="eastAsia"/>
          <w:lang w:eastAsia="ja-JP"/>
        </w:rPr>
        <w:t>s</w:t>
      </w:r>
      <w:r>
        <w:t xml:space="preserve"> of a </w:t>
      </w:r>
      <w:r>
        <w:rPr>
          <w:rFonts w:hint="eastAsia"/>
          <w:lang w:eastAsia="ja-JP"/>
        </w:rPr>
        <w:t xml:space="preserve">license-exempt </w:t>
      </w:r>
      <w:r>
        <w:rPr>
          <w:lang w:eastAsia="ja-JP"/>
        </w:rPr>
        <w:t xml:space="preserve">coexistence </w:t>
      </w:r>
      <w:r>
        <w:rPr>
          <w:rFonts w:hint="eastAsia"/>
          <w:lang w:eastAsia="ja-JP"/>
        </w:rPr>
        <w:t xml:space="preserve">specification as well as </w:t>
      </w:r>
      <w:r>
        <w:rPr>
          <w:lang w:eastAsia="ja-JP"/>
        </w:rPr>
        <w:t xml:space="preserve">the </w:t>
      </w:r>
      <w:proofErr w:type="spellStart"/>
      <w:r>
        <w:rPr>
          <w:rFonts w:hint="eastAsia"/>
          <w:lang w:eastAsia="ja-JP"/>
        </w:rPr>
        <w:t>WirelessMAN</w:t>
      </w:r>
      <w:proofErr w:type="spellEnd"/>
      <w:r>
        <w:rPr>
          <w:rFonts w:hint="eastAsia"/>
          <w:lang w:eastAsia="ja-JP"/>
        </w:rPr>
        <w:t>-Advanced specification</w:t>
      </w:r>
      <w:r>
        <w:t>.</w:t>
      </w:r>
    </w:p>
    <w:p w:rsidR="00974BAD" w:rsidRPr="00974BAD" w:rsidRDefault="00974BAD" w:rsidP="00974BAD"/>
    <w:p w:rsidR="00974BAD" w:rsidRDefault="00974BAD">
      <w:pPr>
        <w:tabs>
          <w:tab w:val="clear" w:pos="1134"/>
          <w:tab w:val="clear" w:pos="1871"/>
          <w:tab w:val="clear" w:pos="2268"/>
        </w:tabs>
        <w:overflowPunct/>
        <w:autoSpaceDE/>
        <w:autoSpaceDN/>
        <w:adjustRightInd/>
        <w:spacing w:before="0"/>
        <w:textAlignment w:val="auto"/>
        <w:rPr>
          <w:rFonts w:ascii="Times New Roman Bold" w:hAnsi="Times New Roman Bold"/>
          <w:b/>
          <w:sz w:val="28"/>
        </w:rPr>
      </w:pPr>
      <w:r>
        <w:br w:type="page"/>
      </w:r>
    </w:p>
    <w:p w:rsidR="00E47578" w:rsidRDefault="00E47578" w:rsidP="00E47578">
      <w:pPr>
        <w:pStyle w:val="Annextitle"/>
      </w:pPr>
      <w:r>
        <w:lastRenderedPageBreak/>
        <w:t>Annex</w:t>
      </w:r>
      <w:bookmarkStart w:id="15" w:name="a5"/>
      <w:bookmarkEnd w:id="15"/>
      <w:r>
        <w:t xml:space="preserve"> 5</w:t>
      </w:r>
      <w:r>
        <w:br/>
      </w:r>
      <w:r>
        <w:br/>
        <w:t>Self-evaluation of the proposed update against the evaluation criteria</w:t>
      </w:r>
    </w:p>
    <w:p w:rsidR="00E47578" w:rsidRDefault="00E47578" w:rsidP="007F154F">
      <w:pPr>
        <w:pStyle w:val="Normalaftertitle0"/>
        <w:spacing w:before="480"/>
      </w:pPr>
      <w:r>
        <w:t>The self-evaluation of the “total” radio interface update of IMT-2000 OFDMA TDD WMAN has been made against all evaluation criteria listed in the update procedure contained in Circular Letter 8/LCCE/95. The results are that the proposed updates meet the evaluation criteria as follows:</w:t>
      </w:r>
    </w:p>
    <w:p w:rsidR="00E47578" w:rsidRDefault="00E47578" w:rsidP="00E47578">
      <w:pPr>
        <w:pStyle w:val="Heading2"/>
      </w:pPr>
      <w:r>
        <w:t>7.1</w:t>
      </w:r>
      <w:r>
        <w:tab/>
        <w:t>“The Evaluation criteria” (Section 7.1 in Circular Letter 8/LCCE/95)</w:t>
      </w:r>
    </w:p>
    <w:p w:rsidR="00E47578" w:rsidRDefault="00E47578" w:rsidP="00E47578">
      <w:r>
        <w:t>The “requirements and objectives of IMT-2000” and the “Minimum performance capabilities for IMT-2000” as per Attachments 4 and 6 of Circular Letter 8/LCCE/47 were considered. The values included in Circular Letter 8/LCCE/47 were used. The proposed update consists of enhancements to the existing IMT-2000 OFDMA TDD WMAN radio interface. The evaluation of the proposed update was done in the context of the “total” radio interface. As</w:t>
      </w:r>
      <w:r w:rsidR="00974BAD">
        <w:t xml:space="preserve"> shown in the tables below, the </w:t>
      </w:r>
      <w:r>
        <w:t>conclusion is that the IMT-2000 OFDMA TDD WMAN radio interfaces with the proposed enhancements continue to meet all evaluation criteria in “Requirements and objectives of IMT</w:t>
      </w:r>
      <w:r>
        <w:noBreakHyphen/>
        <w:t>2000” and “Minimum performance capabilities for IMT-2000”.</w:t>
      </w:r>
    </w:p>
    <w:p w:rsidR="00E47578" w:rsidRDefault="00E47578" w:rsidP="00E47578">
      <w:pPr>
        <w:pStyle w:val="TableNo"/>
      </w:pPr>
      <w:r>
        <w:t>TABLE 1</w:t>
      </w:r>
    </w:p>
    <w:p w:rsidR="00E47578" w:rsidRDefault="00E47578" w:rsidP="00E47578">
      <w:pPr>
        <w:pStyle w:val="Tabletitle"/>
      </w:pPr>
      <w:r>
        <w:t xml:space="preserve">Requirements and objectives relevant to the evaluation </w:t>
      </w:r>
      <w:r>
        <w:br/>
        <w:t>of candidate radio transmission technologies</w:t>
      </w:r>
    </w:p>
    <w:tbl>
      <w:tblPr>
        <w:tblW w:w="0" w:type="auto"/>
        <w:jc w:val="center"/>
        <w:tblLayout w:type="fixed"/>
        <w:tblCellMar>
          <w:left w:w="72" w:type="dxa"/>
          <w:right w:w="72" w:type="dxa"/>
        </w:tblCellMar>
        <w:tblLook w:val="0000" w:firstRow="0" w:lastRow="0" w:firstColumn="0" w:lastColumn="0" w:noHBand="0" w:noVBand="0"/>
      </w:tblPr>
      <w:tblGrid>
        <w:gridCol w:w="6030"/>
        <w:gridCol w:w="1152"/>
        <w:gridCol w:w="1170"/>
        <w:gridCol w:w="900"/>
      </w:tblGrid>
      <w:tr w:rsidR="00E47578" w:rsidRPr="001D6A78" w:rsidTr="009221CE">
        <w:trPr>
          <w:tblHeader/>
          <w:jc w:val="center"/>
        </w:trPr>
        <w:tc>
          <w:tcPr>
            <w:tcW w:w="6030" w:type="dxa"/>
            <w:tcBorders>
              <w:top w:val="single" w:sz="4" w:space="0" w:color="auto"/>
              <w:left w:val="single" w:sz="4" w:space="0" w:color="auto"/>
              <w:bottom w:val="single" w:sz="4" w:space="0" w:color="auto"/>
              <w:right w:val="single" w:sz="4" w:space="0" w:color="auto"/>
            </w:tcBorders>
          </w:tcPr>
          <w:p w:rsidR="00E47578" w:rsidRPr="001D6A78" w:rsidRDefault="00E47578" w:rsidP="00E47578">
            <w:pPr>
              <w:pStyle w:val="Tablehead"/>
            </w:pPr>
            <w:r w:rsidRPr="001D6A78">
              <w:t>IMT-2000 Item Description</w:t>
            </w:r>
          </w:p>
        </w:tc>
        <w:tc>
          <w:tcPr>
            <w:tcW w:w="1152" w:type="dxa"/>
            <w:tcBorders>
              <w:top w:val="single" w:sz="4" w:space="0" w:color="auto"/>
              <w:left w:val="nil"/>
              <w:bottom w:val="single" w:sz="4" w:space="0" w:color="auto"/>
              <w:right w:val="single" w:sz="6" w:space="0" w:color="auto"/>
            </w:tcBorders>
          </w:tcPr>
          <w:p w:rsidR="00E47578" w:rsidRPr="001D6A78" w:rsidRDefault="00E47578" w:rsidP="00E47578">
            <w:pPr>
              <w:pStyle w:val="Tablehead"/>
            </w:pPr>
            <w:proofErr w:type="spellStart"/>
            <w:r w:rsidRPr="001D6A78">
              <w:t>Obj</w:t>
            </w:r>
            <w:proofErr w:type="spellEnd"/>
            <w:r w:rsidRPr="001D6A78">
              <w:t>/</w:t>
            </w:r>
            <w:proofErr w:type="spellStart"/>
            <w:r w:rsidRPr="001D6A78">
              <w:t>Req</w:t>
            </w:r>
            <w:proofErr w:type="spellEnd"/>
          </w:p>
        </w:tc>
        <w:tc>
          <w:tcPr>
            <w:tcW w:w="1170" w:type="dxa"/>
            <w:tcBorders>
              <w:top w:val="single" w:sz="4" w:space="0" w:color="auto"/>
              <w:left w:val="nil"/>
              <w:bottom w:val="single" w:sz="4" w:space="0" w:color="auto"/>
              <w:right w:val="single" w:sz="6" w:space="0" w:color="auto"/>
            </w:tcBorders>
          </w:tcPr>
          <w:p w:rsidR="00E47578" w:rsidRPr="001D6A78" w:rsidRDefault="00E47578" w:rsidP="00E47578">
            <w:pPr>
              <w:pStyle w:val="Tablehead"/>
            </w:pPr>
            <w:r w:rsidRPr="001D6A78">
              <w:t>Source</w:t>
            </w:r>
          </w:p>
        </w:tc>
        <w:tc>
          <w:tcPr>
            <w:tcW w:w="900" w:type="dxa"/>
            <w:tcBorders>
              <w:top w:val="single" w:sz="4" w:space="0" w:color="auto"/>
              <w:left w:val="nil"/>
              <w:bottom w:val="single" w:sz="4" w:space="0" w:color="auto"/>
              <w:right w:val="single" w:sz="4" w:space="0" w:color="auto"/>
            </w:tcBorders>
          </w:tcPr>
          <w:p w:rsidR="00E47578" w:rsidRPr="001D6A78" w:rsidRDefault="00E47578" w:rsidP="00E47578">
            <w:pPr>
              <w:pStyle w:val="Tablehead"/>
            </w:pPr>
            <w:r w:rsidRPr="001D6A78">
              <w:t>Meets</w:t>
            </w:r>
          </w:p>
        </w:tc>
      </w:tr>
      <w:tr w:rsidR="00E47578" w:rsidRPr="001D6A78" w:rsidTr="009221CE">
        <w:trPr>
          <w:jc w:val="center"/>
        </w:trPr>
        <w:tc>
          <w:tcPr>
            <w:tcW w:w="9252" w:type="dxa"/>
            <w:gridSpan w:val="4"/>
            <w:tcBorders>
              <w:left w:val="single" w:sz="6" w:space="0" w:color="auto"/>
              <w:bottom w:val="single" w:sz="6" w:space="0" w:color="auto"/>
              <w:right w:val="single" w:sz="6" w:space="0" w:color="auto"/>
            </w:tcBorders>
          </w:tcPr>
          <w:p w:rsidR="00E47578" w:rsidRPr="001D6A78" w:rsidRDefault="00E47578" w:rsidP="00E47578">
            <w:pPr>
              <w:pStyle w:val="Tablehead"/>
            </w:pPr>
            <w:r w:rsidRPr="001D6A78">
              <w:t>Voice and data performance requirements</w:t>
            </w:r>
          </w:p>
        </w:tc>
      </w:tr>
      <w:tr w:rsidR="00E47578" w:rsidRPr="001D6A78" w:rsidTr="009221CE">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rPr>
                <w:sz w:val="20"/>
                <w:szCs w:val="20"/>
                <w:lang w:val="en-US"/>
              </w:rPr>
            </w:pPr>
            <w:r w:rsidRPr="001D6A78">
              <w:rPr>
                <w:sz w:val="20"/>
                <w:szCs w:val="20"/>
                <w:lang w:val="en-US"/>
              </w:rPr>
              <w:t>1.</w:t>
            </w:r>
            <w:r w:rsidRPr="001D6A78">
              <w:rPr>
                <w:sz w:val="20"/>
                <w:szCs w:val="20"/>
                <w:lang w:val="en-US"/>
              </w:rPr>
              <w:tab/>
              <w:t xml:space="preserve">One-way end to end delay less than 40 </w:t>
            </w:r>
            <w:proofErr w:type="spellStart"/>
            <w:r w:rsidRPr="001D6A78">
              <w:rPr>
                <w:sz w:val="20"/>
                <w:szCs w:val="20"/>
                <w:lang w:val="en-US"/>
              </w:rPr>
              <w:t>ms</w:t>
            </w:r>
            <w:proofErr w:type="spellEnd"/>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G.174,</w:t>
            </w:r>
            <w:r w:rsidRPr="001D6A78">
              <w:rPr>
                <w:sz w:val="20"/>
                <w:szCs w:val="20"/>
                <w:lang w:val="en-US"/>
              </w:rPr>
              <w:br/>
              <w:t>§ 7.5</w:t>
            </w:r>
          </w:p>
        </w:tc>
        <w:tc>
          <w:tcPr>
            <w:tcW w:w="90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Yes</w:t>
            </w:r>
          </w:p>
          <w:p w:rsidR="00E47578" w:rsidRPr="001D6A78" w:rsidRDefault="00E47578" w:rsidP="00E47578">
            <w:pPr>
              <w:pStyle w:val="TableText0"/>
              <w:jc w:val="center"/>
              <w:rPr>
                <w:sz w:val="20"/>
                <w:szCs w:val="20"/>
                <w:lang w:val="en-US"/>
              </w:rPr>
            </w:pPr>
          </w:p>
        </w:tc>
      </w:tr>
      <w:tr w:rsidR="00E47578" w:rsidRPr="001D6A78" w:rsidTr="009221CE">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1D6A78">
            <w:pPr>
              <w:pStyle w:val="TableText0"/>
              <w:ind w:left="284" w:hanging="284"/>
              <w:rPr>
                <w:sz w:val="20"/>
                <w:szCs w:val="20"/>
                <w:lang w:val="en-US"/>
              </w:rPr>
            </w:pPr>
            <w:r w:rsidRPr="001D6A78">
              <w:rPr>
                <w:sz w:val="20"/>
                <w:szCs w:val="20"/>
                <w:lang w:val="en-US"/>
              </w:rPr>
              <w:t>2.</w:t>
            </w:r>
            <w:r w:rsidRPr="001D6A78">
              <w:rPr>
                <w:sz w:val="20"/>
                <w:szCs w:val="20"/>
                <w:lang w:val="en-US"/>
              </w:rPr>
              <w:tab/>
              <w:t xml:space="preserve">For mobile </w:t>
            </w:r>
            <w:proofErr w:type="spellStart"/>
            <w:r w:rsidRPr="001D6A78">
              <w:rPr>
                <w:sz w:val="20"/>
                <w:szCs w:val="20"/>
                <w:lang w:val="en-US"/>
              </w:rPr>
              <w:t>videotelephony</w:t>
            </w:r>
            <w:proofErr w:type="spellEnd"/>
            <w:r w:rsidRPr="001D6A78">
              <w:rPr>
                <w:sz w:val="20"/>
                <w:szCs w:val="20"/>
                <w:lang w:val="en-US"/>
              </w:rPr>
              <w:t xml:space="preserve"> services, the IMT-2000 terrestrial component should operate so that the maximum overall delay </w:t>
            </w:r>
            <w:r w:rsidRPr="001D6A78">
              <w:rPr>
                <w:sz w:val="20"/>
                <w:szCs w:val="20"/>
                <w:lang w:val="en-US"/>
              </w:rPr>
              <w:br/>
              <w:t xml:space="preserve">(as defined in Recommendation </w:t>
            </w:r>
            <w:r w:rsidR="001D6A78" w:rsidRPr="001D6A78">
              <w:rPr>
                <w:sz w:val="20"/>
                <w:szCs w:val="20"/>
                <w:lang w:val="en-US"/>
              </w:rPr>
              <w:t xml:space="preserve">ITU-T </w:t>
            </w:r>
            <w:r w:rsidR="009221CE">
              <w:rPr>
                <w:sz w:val="20"/>
                <w:szCs w:val="20"/>
                <w:lang w:val="en-US"/>
              </w:rPr>
              <w:t>F.720) should not exceed 400 </w:t>
            </w:r>
            <w:proofErr w:type="spellStart"/>
            <w:r w:rsidRPr="001D6A78">
              <w:rPr>
                <w:sz w:val="20"/>
                <w:szCs w:val="20"/>
                <w:lang w:val="en-US"/>
              </w:rPr>
              <w:t>ms</w:t>
            </w:r>
            <w:proofErr w:type="spellEnd"/>
            <w:r w:rsidRPr="001D6A78">
              <w:rPr>
                <w:sz w:val="20"/>
                <w:szCs w:val="20"/>
                <w:lang w:val="en-US"/>
              </w:rPr>
              <w:t xml:space="preserve">, with the one way delay of the transmission path not exceeding 150 </w:t>
            </w:r>
            <w:proofErr w:type="spellStart"/>
            <w:r w:rsidRPr="001D6A78">
              <w:rPr>
                <w:sz w:val="20"/>
                <w:szCs w:val="20"/>
                <w:lang w:val="en-US"/>
              </w:rPr>
              <w:t>ms</w:t>
            </w:r>
            <w:proofErr w:type="spellEnd"/>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Suppl.</w:t>
            </w:r>
            <w:r w:rsidRPr="001D6A78">
              <w:rPr>
                <w:sz w:val="20"/>
                <w:szCs w:val="20"/>
                <w:lang w:val="en-US"/>
              </w:rPr>
              <w:br/>
              <w:t>F.720,</w:t>
            </w:r>
            <w:r w:rsidRPr="001D6A78">
              <w:rPr>
                <w:sz w:val="20"/>
                <w:szCs w:val="20"/>
                <w:lang w:val="en-US"/>
              </w:rPr>
              <w:br/>
              <w:t>F.723,</w:t>
            </w:r>
            <w:r w:rsidRPr="001D6A78">
              <w:rPr>
                <w:sz w:val="20"/>
                <w:szCs w:val="20"/>
                <w:lang w:val="en-US"/>
              </w:rPr>
              <w:br/>
              <w:t>G.114</w:t>
            </w:r>
          </w:p>
        </w:tc>
        <w:tc>
          <w:tcPr>
            <w:tcW w:w="90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rsidTr="009221CE">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ind w:left="284" w:hanging="284"/>
              <w:rPr>
                <w:sz w:val="20"/>
                <w:szCs w:val="20"/>
                <w:lang w:val="en-US"/>
              </w:rPr>
            </w:pPr>
            <w:r w:rsidRPr="001D6A78">
              <w:rPr>
                <w:sz w:val="20"/>
                <w:szCs w:val="20"/>
                <w:lang w:val="en-US"/>
              </w:rPr>
              <w:t>3.</w:t>
            </w:r>
            <w:r w:rsidRPr="001D6A78">
              <w:rPr>
                <w:sz w:val="20"/>
                <w:szCs w:val="20"/>
                <w:lang w:val="en-US"/>
              </w:rPr>
              <w:tab/>
              <w:t xml:space="preserve">Speech quality should be maintained during </w:t>
            </w:r>
            <w:r w:rsidRPr="001D6A78">
              <w:rPr>
                <w:sz w:val="20"/>
                <w:szCs w:val="20"/>
                <w:u w:val="single"/>
                <w:lang w:val="en-US"/>
              </w:rPr>
              <w:t>&lt; </w:t>
            </w:r>
            <w:r w:rsidRPr="001D6A78">
              <w:rPr>
                <w:sz w:val="20"/>
                <w:szCs w:val="20"/>
                <w:lang w:val="en-US"/>
              </w:rPr>
              <w:t xml:space="preserve">3% frame erasures over any 10 second period. The speech quality criterion is a reduction of </w:t>
            </w:r>
            <w:r w:rsidRPr="001D6A78">
              <w:rPr>
                <w:sz w:val="20"/>
                <w:szCs w:val="20"/>
                <w:u w:val="single"/>
                <w:lang w:val="en-US"/>
              </w:rPr>
              <w:t>&lt; </w:t>
            </w:r>
            <w:r w:rsidRPr="001D6A78">
              <w:rPr>
                <w:sz w:val="20"/>
                <w:szCs w:val="20"/>
                <w:lang w:val="en-US"/>
              </w:rPr>
              <w:t>0.5 mean opinion score unit (5 point scale) relative to the error-free condition (G.726 at 32 </w:t>
            </w:r>
            <w:proofErr w:type="spellStart"/>
            <w:r w:rsidRPr="001D6A78">
              <w:rPr>
                <w:sz w:val="20"/>
                <w:szCs w:val="20"/>
                <w:lang w:val="en-US"/>
              </w:rPr>
              <w:t>kbit</w:t>
            </w:r>
            <w:proofErr w:type="spellEnd"/>
            <w:r w:rsidRPr="001D6A78">
              <w:rPr>
                <w:sz w:val="20"/>
                <w:szCs w:val="20"/>
                <w:lang w:val="en-US"/>
              </w:rPr>
              <w:t>/s)</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G.174,</w:t>
            </w:r>
            <w:r w:rsidRPr="001D6A78">
              <w:rPr>
                <w:sz w:val="20"/>
                <w:szCs w:val="20"/>
                <w:lang w:val="en-US"/>
              </w:rPr>
              <w:br/>
              <w:t>§ 7.11 and</w:t>
            </w:r>
            <w:r w:rsidRPr="001D6A78">
              <w:rPr>
                <w:sz w:val="20"/>
                <w:szCs w:val="20"/>
                <w:lang w:val="en-US"/>
              </w:rPr>
              <w:br/>
              <w:t>M.1079</w:t>
            </w:r>
            <w:r w:rsidRPr="001D6A78">
              <w:rPr>
                <w:sz w:val="20"/>
                <w:szCs w:val="20"/>
                <w:lang w:val="en-US"/>
              </w:rPr>
              <w:br/>
              <w:t>§ 7.3.1</w:t>
            </w:r>
          </w:p>
        </w:tc>
        <w:tc>
          <w:tcPr>
            <w:tcW w:w="90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rsidTr="009221CE">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ind w:left="284" w:hanging="284"/>
              <w:rPr>
                <w:sz w:val="20"/>
                <w:szCs w:val="20"/>
                <w:lang w:val="en-US"/>
              </w:rPr>
            </w:pPr>
            <w:r w:rsidRPr="001D6A78">
              <w:rPr>
                <w:sz w:val="20"/>
                <w:szCs w:val="20"/>
                <w:lang w:val="en-US"/>
              </w:rPr>
              <w:t>4.</w:t>
            </w:r>
            <w:r w:rsidRPr="001D6A78">
              <w:rPr>
                <w:sz w:val="20"/>
                <w:szCs w:val="20"/>
                <w:lang w:val="en-US"/>
              </w:rPr>
              <w:tab/>
              <w:t>DTMF signal reliable transport (for PSTN is typically less than one DTMF error signal in 10</w:t>
            </w:r>
            <w:r w:rsidRPr="001D6A78">
              <w:rPr>
                <w:sz w:val="20"/>
                <w:szCs w:val="20"/>
                <w:vertAlign w:val="superscript"/>
                <w:lang w:val="en-US"/>
              </w:rPr>
              <w:t>4</w:t>
            </w:r>
            <w:r w:rsidRPr="001D6A78">
              <w:rPr>
                <w:sz w:val="20"/>
                <w:szCs w:val="20"/>
                <w:lang w:val="en-US"/>
              </w:rPr>
              <w:t xml:space="preserve">) </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G.174, § 7.11 and</w:t>
            </w:r>
            <w:r w:rsidRPr="001D6A78">
              <w:rPr>
                <w:sz w:val="20"/>
                <w:szCs w:val="20"/>
                <w:lang w:val="en-US"/>
              </w:rPr>
              <w:br/>
              <w:t>M.1079</w:t>
            </w:r>
            <w:r w:rsidRPr="001D6A78">
              <w:rPr>
                <w:sz w:val="20"/>
                <w:szCs w:val="20"/>
                <w:lang w:val="en-US"/>
              </w:rPr>
              <w:br/>
              <w:t>§ 7.3.1</w:t>
            </w:r>
          </w:p>
        </w:tc>
        <w:tc>
          <w:tcPr>
            <w:tcW w:w="90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rsidTr="009221CE">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rPr>
                <w:sz w:val="20"/>
                <w:szCs w:val="20"/>
                <w:lang w:val="en-US"/>
              </w:rPr>
            </w:pPr>
            <w:r w:rsidRPr="001D6A78">
              <w:rPr>
                <w:sz w:val="20"/>
                <w:szCs w:val="20"/>
                <w:lang w:val="en-US"/>
              </w:rPr>
              <w:t>5.</w:t>
            </w:r>
            <w:r w:rsidRPr="001D6A78">
              <w:rPr>
                <w:sz w:val="20"/>
                <w:szCs w:val="20"/>
                <w:lang w:val="en-US"/>
              </w:rPr>
              <w:tab/>
            </w:r>
            <w:proofErr w:type="spellStart"/>
            <w:r w:rsidRPr="001D6A78">
              <w:rPr>
                <w:sz w:val="20"/>
                <w:szCs w:val="20"/>
                <w:lang w:val="en-US"/>
              </w:rPr>
              <w:t>Voiceband</w:t>
            </w:r>
            <w:proofErr w:type="spellEnd"/>
            <w:r w:rsidRPr="001D6A78">
              <w:rPr>
                <w:sz w:val="20"/>
                <w:szCs w:val="20"/>
                <w:lang w:val="en-US"/>
              </w:rPr>
              <w:t xml:space="preserve"> data support including G3 facsimile</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M.1079</w:t>
            </w:r>
            <w:r w:rsidRPr="001D6A78">
              <w:rPr>
                <w:sz w:val="20"/>
                <w:szCs w:val="20"/>
                <w:lang w:val="en-US"/>
              </w:rPr>
              <w:br/>
              <w:t>§ 7.2.2,</w:t>
            </w:r>
          </w:p>
        </w:tc>
        <w:tc>
          <w:tcPr>
            <w:tcW w:w="90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rsidTr="009221CE">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ind w:left="284" w:hanging="284"/>
              <w:rPr>
                <w:sz w:val="20"/>
                <w:szCs w:val="20"/>
                <w:lang w:val="en-US"/>
              </w:rPr>
            </w:pPr>
            <w:r w:rsidRPr="001D6A78">
              <w:rPr>
                <w:sz w:val="20"/>
                <w:szCs w:val="20"/>
                <w:lang w:val="en-US"/>
              </w:rPr>
              <w:t>6.</w:t>
            </w:r>
            <w:r w:rsidRPr="001D6A78">
              <w:rPr>
                <w:sz w:val="20"/>
                <w:szCs w:val="20"/>
                <w:lang w:val="en-US"/>
              </w:rPr>
              <w:tab/>
              <w:t xml:space="preserve">Support packet switched data services as well as circuit switched data; requirements for data performance given in </w:t>
            </w:r>
            <w:r w:rsidR="001D6A78" w:rsidRPr="001D6A78">
              <w:rPr>
                <w:sz w:val="20"/>
                <w:szCs w:val="20"/>
                <w:lang w:val="en-US"/>
              </w:rPr>
              <w:t xml:space="preserve">Recommendation </w:t>
            </w:r>
            <w:r w:rsidRPr="001D6A78">
              <w:rPr>
                <w:sz w:val="20"/>
                <w:szCs w:val="20"/>
                <w:lang w:val="en-US"/>
              </w:rPr>
              <w:t>ITU-T</w:t>
            </w:r>
            <w:r w:rsidR="001D6A78" w:rsidRPr="001D6A78">
              <w:rPr>
                <w:sz w:val="20"/>
                <w:szCs w:val="20"/>
                <w:lang w:val="en-US"/>
              </w:rPr>
              <w:t xml:space="preserve"> </w:t>
            </w:r>
            <w:r w:rsidRPr="001D6A78">
              <w:rPr>
                <w:sz w:val="20"/>
                <w:szCs w:val="20"/>
                <w:lang w:val="en-US"/>
              </w:rPr>
              <w:t>G.174</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M.1034</w:t>
            </w:r>
            <w:r w:rsidRPr="001D6A78">
              <w:rPr>
                <w:sz w:val="20"/>
                <w:szCs w:val="20"/>
                <w:lang w:val="en-US"/>
              </w:rPr>
              <w:br/>
              <w:t>§§ 10.8,</w:t>
            </w:r>
            <w:r w:rsidRPr="001D6A78">
              <w:rPr>
                <w:sz w:val="20"/>
                <w:szCs w:val="20"/>
                <w:lang w:val="en-US"/>
              </w:rPr>
              <w:br/>
              <w:t>10.9</w:t>
            </w:r>
          </w:p>
        </w:tc>
        <w:tc>
          <w:tcPr>
            <w:tcW w:w="90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bl>
    <w:p w:rsidR="00E47578" w:rsidRDefault="00E47578">
      <w:r>
        <w:br w:type="page"/>
      </w:r>
    </w:p>
    <w:tbl>
      <w:tblPr>
        <w:tblW w:w="0" w:type="auto"/>
        <w:tblLayout w:type="fixed"/>
        <w:tblCellMar>
          <w:left w:w="72" w:type="dxa"/>
          <w:right w:w="72" w:type="dxa"/>
        </w:tblCellMar>
        <w:tblLook w:val="0000" w:firstRow="0" w:lastRow="0" w:firstColumn="0" w:lastColumn="0" w:noHBand="0" w:noVBand="0"/>
      </w:tblPr>
      <w:tblGrid>
        <w:gridCol w:w="6030"/>
        <w:gridCol w:w="1152"/>
        <w:gridCol w:w="1170"/>
        <w:gridCol w:w="900"/>
      </w:tblGrid>
      <w:tr w:rsidR="00E47578" w:rsidRPr="001D6A78">
        <w:trPr>
          <w:tblHeader/>
        </w:trPr>
        <w:tc>
          <w:tcPr>
            <w:tcW w:w="6030" w:type="dxa"/>
            <w:tcBorders>
              <w:top w:val="single" w:sz="4" w:space="0" w:color="auto"/>
              <w:left w:val="single" w:sz="4" w:space="0" w:color="auto"/>
              <w:bottom w:val="single" w:sz="4" w:space="0" w:color="auto"/>
              <w:right w:val="single" w:sz="4" w:space="0" w:color="auto"/>
            </w:tcBorders>
          </w:tcPr>
          <w:p w:rsidR="00E47578" w:rsidRPr="001D6A78" w:rsidRDefault="00E47578" w:rsidP="00E47578">
            <w:pPr>
              <w:pStyle w:val="Tablehead"/>
            </w:pPr>
            <w:r w:rsidRPr="001D6A78">
              <w:lastRenderedPageBreak/>
              <w:t>IMT-2000 Item Description</w:t>
            </w:r>
          </w:p>
        </w:tc>
        <w:tc>
          <w:tcPr>
            <w:tcW w:w="1152" w:type="dxa"/>
            <w:tcBorders>
              <w:top w:val="single" w:sz="4" w:space="0" w:color="auto"/>
              <w:left w:val="nil"/>
              <w:bottom w:val="single" w:sz="4" w:space="0" w:color="auto"/>
              <w:right w:val="single" w:sz="6" w:space="0" w:color="auto"/>
            </w:tcBorders>
          </w:tcPr>
          <w:p w:rsidR="00E47578" w:rsidRPr="001D6A78" w:rsidRDefault="00E47578" w:rsidP="00E47578">
            <w:pPr>
              <w:pStyle w:val="Tablehead"/>
            </w:pPr>
            <w:proofErr w:type="spellStart"/>
            <w:r w:rsidRPr="001D6A78">
              <w:t>Obj</w:t>
            </w:r>
            <w:proofErr w:type="spellEnd"/>
            <w:r w:rsidRPr="001D6A78">
              <w:t>/</w:t>
            </w:r>
            <w:proofErr w:type="spellStart"/>
            <w:r w:rsidRPr="001D6A78">
              <w:t>Req</w:t>
            </w:r>
            <w:proofErr w:type="spellEnd"/>
          </w:p>
        </w:tc>
        <w:tc>
          <w:tcPr>
            <w:tcW w:w="1170" w:type="dxa"/>
            <w:tcBorders>
              <w:top w:val="single" w:sz="4" w:space="0" w:color="auto"/>
              <w:left w:val="nil"/>
              <w:bottom w:val="single" w:sz="4" w:space="0" w:color="auto"/>
              <w:right w:val="single" w:sz="6" w:space="0" w:color="auto"/>
            </w:tcBorders>
          </w:tcPr>
          <w:p w:rsidR="00E47578" w:rsidRPr="001D6A78" w:rsidRDefault="00E47578" w:rsidP="00E47578">
            <w:pPr>
              <w:pStyle w:val="Tablehead"/>
            </w:pPr>
            <w:r w:rsidRPr="001D6A78">
              <w:t>Source</w:t>
            </w:r>
          </w:p>
        </w:tc>
        <w:tc>
          <w:tcPr>
            <w:tcW w:w="900" w:type="dxa"/>
            <w:tcBorders>
              <w:top w:val="single" w:sz="4" w:space="0" w:color="auto"/>
              <w:left w:val="nil"/>
              <w:bottom w:val="single" w:sz="4" w:space="0" w:color="auto"/>
              <w:right w:val="single" w:sz="4" w:space="0" w:color="auto"/>
            </w:tcBorders>
          </w:tcPr>
          <w:p w:rsidR="00E47578" w:rsidRPr="001D6A78" w:rsidRDefault="00E47578" w:rsidP="00E47578">
            <w:pPr>
              <w:pStyle w:val="Tablehead"/>
            </w:pPr>
            <w:r w:rsidRPr="001D6A78">
              <w:t>Meets</w:t>
            </w:r>
          </w:p>
        </w:tc>
      </w:tr>
      <w:tr w:rsidR="00E47578" w:rsidRPr="001D6A78">
        <w:tblPrEx>
          <w:tblLook w:val="0040" w:firstRow="0" w:lastRow="1" w:firstColumn="0" w:lastColumn="0" w:noHBand="0" w:noVBand="0"/>
        </w:tblPrEx>
        <w:tc>
          <w:tcPr>
            <w:tcW w:w="9252" w:type="dxa"/>
            <w:gridSpan w:val="4"/>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b/>
                <w:sz w:val="20"/>
                <w:lang w:val="en-US"/>
              </w:rPr>
              <w:t>Radio interfaces and subsystems, network related performance requirements</w:t>
            </w:r>
          </w:p>
        </w:tc>
      </w:tr>
      <w:tr w:rsidR="00E47578" w:rsidRPr="001D6A78">
        <w:tblPrEx>
          <w:tblLook w:val="0040" w:firstRow="0" w:lastRow="1" w:firstColumn="0" w:lastColumn="0" w:noHBand="0" w:noVBand="0"/>
        </w:tblPrEx>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clear" w:pos="567"/>
                <w:tab w:val="left" w:pos="602"/>
              </w:tabs>
              <w:ind w:left="602" w:hanging="602"/>
              <w:rPr>
                <w:sz w:val="20"/>
                <w:szCs w:val="20"/>
                <w:lang w:val="en-US"/>
              </w:rPr>
            </w:pPr>
            <w:r w:rsidRPr="001D6A78">
              <w:rPr>
                <w:sz w:val="20"/>
                <w:szCs w:val="20"/>
                <w:lang w:val="en-US"/>
              </w:rPr>
              <w:t>7.</w:t>
            </w:r>
            <w:r w:rsidRPr="001D6A78">
              <w:rPr>
                <w:sz w:val="20"/>
                <w:szCs w:val="20"/>
                <w:lang w:val="en-US"/>
              </w:rPr>
              <w:tab/>
              <w:t xml:space="preserve">Network interworking with PSTN and ISDN in accordance </w:t>
            </w:r>
            <w:r w:rsidRPr="001D6A78">
              <w:rPr>
                <w:sz w:val="20"/>
                <w:szCs w:val="20"/>
                <w:lang w:val="en-US"/>
              </w:rPr>
              <w:br/>
              <w:t>with Q.1031 and Q.1032</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M.687-1.</w:t>
            </w:r>
            <w:r w:rsidRPr="001D6A78">
              <w:rPr>
                <w:sz w:val="20"/>
                <w:szCs w:val="20"/>
                <w:lang w:val="en-US"/>
              </w:rPr>
              <w:br/>
              <w:t>§ 5.4</w:t>
            </w:r>
          </w:p>
        </w:tc>
        <w:tc>
          <w:tcPr>
            <w:tcW w:w="90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blPrEx>
          <w:tblLook w:val="0040" w:firstRow="0" w:lastRow="1" w:firstColumn="0" w:lastColumn="0" w:noHBand="0" w:noVBand="0"/>
        </w:tblPrEx>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clear" w:pos="567"/>
                <w:tab w:val="left" w:pos="602"/>
              </w:tabs>
              <w:ind w:left="602" w:hanging="602"/>
              <w:rPr>
                <w:sz w:val="20"/>
                <w:szCs w:val="20"/>
                <w:lang w:val="en-US"/>
              </w:rPr>
            </w:pPr>
            <w:r w:rsidRPr="001D6A78">
              <w:rPr>
                <w:sz w:val="20"/>
                <w:szCs w:val="20"/>
                <w:lang w:val="en-US"/>
              </w:rPr>
              <w:t>8.</w:t>
            </w:r>
            <w:r w:rsidRPr="001D6A78">
              <w:rPr>
                <w:sz w:val="20"/>
                <w:szCs w:val="20"/>
                <w:lang w:val="en-US"/>
              </w:rPr>
              <w:tab/>
              <w:t xml:space="preserve">Meet spectral efficiency and radio channel performance requirements of </w:t>
            </w:r>
            <w:r w:rsidR="001D6A78" w:rsidRPr="001D6A78">
              <w:rPr>
                <w:sz w:val="20"/>
                <w:szCs w:val="20"/>
                <w:lang w:val="en-US"/>
              </w:rPr>
              <w:t xml:space="preserve">Recommendation ITU-R </w:t>
            </w:r>
            <w:r w:rsidRPr="001D6A78">
              <w:rPr>
                <w:sz w:val="20"/>
                <w:szCs w:val="20"/>
                <w:lang w:val="en-US"/>
              </w:rPr>
              <w:t>M.1079</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M.1034.</w:t>
            </w:r>
            <w:r w:rsidRPr="001D6A78">
              <w:rPr>
                <w:sz w:val="20"/>
                <w:szCs w:val="20"/>
                <w:lang w:val="en-US"/>
              </w:rPr>
              <w:br/>
              <w:t>§ 12.3.3/4</w:t>
            </w:r>
          </w:p>
        </w:tc>
        <w:tc>
          <w:tcPr>
            <w:tcW w:w="90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blPrEx>
          <w:tblLook w:val="0040" w:firstRow="0" w:lastRow="1" w:firstColumn="0" w:lastColumn="0" w:noHBand="0" w:noVBand="0"/>
        </w:tblPrEx>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clear" w:pos="567"/>
                <w:tab w:val="left" w:pos="602"/>
              </w:tabs>
              <w:ind w:left="602" w:hanging="602"/>
              <w:rPr>
                <w:sz w:val="20"/>
                <w:szCs w:val="20"/>
                <w:lang w:val="en-US"/>
              </w:rPr>
            </w:pPr>
            <w:r w:rsidRPr="001D6A78">
              <w:rPr>
                <w:sz w:val="20"/>
                <w:szCs w:val="20"/>
                <w:lang w:val="en-US"/>
              </w:rPr>
              <w:t>9.</w:t>
            </w:r>
            <w:r w:rsidRPr="001D6A78">
              <w:rPr>
                <w:sz w:val="20"/>
                <w:szCs w:val="20"/>
                <w:lang w:val="en-US"/>
              </w:rPr>
              <w:tab/>
              <w:t>Provide phased approach with data rates up to 2 Mbit/s in phase 1</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Obj</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M.687,</w:t>
            </w:r>
            <w:r w:rsidRPr="001D6A78">
              <w:rPr>
                <w:sz w:val="20"/>
                <w:szCs w:val="20"/>
                <w:lang w:val="en-US"/>
              </w:rPr>
              <w:br/>
              <w:t>§ 1.1.14</w:t>
            </w:r>
          </w:p>
        </w:tc>
        <w:tc>
          <w:tcPr>
            <w:tcW w:w="90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blPrEx>
          <w:tblLook w:val="0040" w:firstRow="0" w:lastRow="1" w:firstColumn="0" w:lastColumn="0" w:noHBand="0" w:noVBand="0"/>
        </w:tblPrEx>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clear" w:pos="567"/>
                <w:tab w:val="left" w:pos="602"/>
              </w:tabs>
              <w:rPr>
                <w:sz w:val="20"/>
                <w:szCs w:val="20"/>
                <w:lang w:val="en-US"/>
              </w:rPr>
            </w:pPr>
            <w:r w:rsidRPr="001D6A78">
              <w:rPr>
                <w:sz w:val="20"/>
                <w:szCs w:val="20"/>
                <w:lang w:val="en-US"/>
              </w:rPr>
              <w:t>10.</w:t>
            </w:r>
            <w:r w:rsidRPr="001D6A78">
              <w:rPr>
                <w:sz w:val="20"/>
                <w:szCs w:val="20"/>
                <w:lang w:val="en-US"/>
              </w:rPr>
              <w:tab/>
              <w:t>Maintain bearer channe</w:t>
            </w:r>
            <w:r w:rsidR="009221CE">
              <w:rPr>
                <w:sz w:val="20"/>
                <w:szCs w:val="20"/>
                <w:lang w:val="en-US"/>
              </w:rPr>
              <w:t>l bit-count integrity (e.g. syn</w:t>
            </w:r>
            <w:r w:rsidRPr="001D6A78">
              <w:rPr>
                <w:sz w:val="20"/>
                <w:szCs w:val="20"/>
                <w:lang w:val="en-US"/>
              </w:rPr>
              <w:t>chronous data services and many encryption techniques)</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Obj</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M.1034,</w:t>
            </w:r>
            <w:r w:rsidRPr="001D6A78">
              <w:rPr>
                <w:sz w:val="20"/>
                <w:szCs w:val="20"/>
                <w:lang w:val="en-US"/>
              </w:rPr>
              <w:br/>
              <w:t>§ 10.12</w:t>
            </w:r>
          </w:p>
        </w:tc>
        <w:tc>
          <w:tcPr>
            <w:tcW w:w="90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blPrEx>
          <w:tblLook w:val="0040" w:firstRow="0" w:lastRow="1" w:firstColumn="0" w:lastColumn="0" w:noHBand="0" w:noVBand="0"/>
        </w:tblPrEx>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clear" w:pos="567"/>
                <w:tab w:val="left" w:pos="602"/>
              </w:tabs>
              <w:rPr>
                <w:sz w:val="20"/>
                <w:szCs w:val="20"/>
                <w:lang w:val="en-US"/>
              </w:rPr>
            </w:pPr>
            <w:r w:rsidRPr="001D6A78">
              <w:rPr>
                <w:sz w:val="20"/>
                <w:szCs w:val="20"/>
                <w:lang w:val="en-US"/>
              </w:rPr>
              <w:t>11.</w:t>
            </w:r>
            <w:r w:rsidRPr="001D6A78">
              <w:rPr>
                <w:sz w:val="20"/>
                <w:szCs w:val="20"/>
                <w:lang w:val="en-US"/>
              </w:rPr>
              <w:tab/>
              <w:t>Support for different cell sizes, for example:</w:t>
            </w:r>
          </w:p>
          <w:p w:rsidR="00E47578" w:rsidRPr="001D6A78" w:rsidRDefault="00E47578" w:rsidP="00E47578">
            <w:pPr>
              <w:pStyle w:val="TableText0"/>
              <w:tabs>
                <w:tab w:val="clear" w:pos="284"/>
                <w:tab w:val="clear" w:pos="567"/>
                <w:tab w:val="left" w:pos="602"/>
              </w:tabs>
              <w:rPr>
                <w:sz w:val="20"/>
                <w:szCs w:val="20"/>
                <w:lang w:val="en-US"/>
              </w:rPr>
            </w:pPr>
            <w:r w:rsidRPr="001D6A78">
              <w:rPr>
                <w:sz w:val="20"/>
                <w:szCs w:val="20"/>
                <w:lang w:val="en-US"/>
              </w:rPr>
              <w:tab/>
              <w:t>Mega cell Radius~100-500 km</w:t>
            </w:r>
            <w:r w:rsidRPr="001D6A78">
              <w:rPr>
                <w:sz w:val="20"/>
                <w:szCs w:val="20"/>
                <w:lang w:val="en-US"/>
              </w:rPr>
              <w:br/>
            </w:r>
            <w:r w:rsidRPr="001D6A78">
              <w:rPr>
                <w:sz w:val="20"/>
                <w:szCs w:val="20"/>
                <w:lang w:val="en-US"/>
              </w:rPr>
              <w:tab/>
              <w:t xml:space="preserve">Macro cell Radius </w:t>
            </w:r>
            <w:r w:rsidRPr="001D6A78">
              <w:rPr>
                <w:sz w:val="20"/>
                <w:szCs w:val="20"/>
                <w:u w:val="single"/>
                <w:lang w:val="en-US"/>
              </w:rPr>
              <w:t xml:space="preserve">&lt; </w:t>
            </w:r>
            <w:r w:rsidRPr="001D6A78">
              <w:rPr>
                <w:sz w:val="20"/>
                <w:szCs w:val="20"/>
                <w:lang w:val="en-US"/>
              </w:rPr>
              <w:t>35</w:t>
            </w:r>
            <w:r w:rsidR="001D6A78" w:rsidRPr="001D6A78">
              <w:rPr>
                <w:sz w:val="20"/>
                <w:szCs w:val="20"/>
                <w:lang w:val="en-US"/>
              </w:rPr>
              <w:t xml:space="preserve"> </w:t>
            </w:r>
            <w:r w:rsidRPr="001D6A78">
              <w:rPr>
                <w:sz w:val="20"/>
                <w:szCs w:val="20"/>
                <w:lang w:val="en-US"/>
              </w:rPr>
              <w:t>km,</w:t>
            </w:r>
            <w:r w:rsidRPr="001D6A78">
              <w:rPr>
                <w:sz w:val="20"/>
                <w:szCs w:val="20"/>
                <w:lang w:val="en-US"/>
              </w:rPr>
              <w:tab/>
              <w:t xml:space="preserve">Speed </w:t>
            </w:r>
            <w:r w:rsidRPr="001D6A78">
              <w:rPr>
                <w:sz w:val="20"/>
                <w:szCs w:val="20"/>
                <w:u w:val="single"/>
                <w:lang w:val="en-US"/>
              </w:rPr>
              <w:t xml:space="preserve">&lt; </w:t>
            </w:r>
            <w:r w:rsidRPr="001D6A78">
              <w:rPr>
                <w:sz w:val="20"/>
                <w:szCs w:val="20"/>
                <w:lang w:val="en-US"/>
              </w:rPr>
              <w:t>500 km/h</w:t>
            </w:r>
            <w:r w:rsidRPr="001D6A78">
              <w:rPr>
                <w:sz w:val="20"/>
                <w:szCs w:val="20"/>
                <w:lang w:val="en-US"/>
              </w:rPr>
              <w:br/>
            </w:r>
            <w:r w:rsidRPr="001D6A78">
              <w:rPr>
                <w:sz w:val="20"/>
                <w:szCs w:val="20"/>
                <w:lang w:val="en-US"/>
              </w:rPr>
              <w:tab/>
            </w:r>
            <w:r w:rsidRPr="001D6A78">
              <w:rPr>
                <w:sz w:val="20"/>
                <w:szCs w:val="20"/>
                <w:lang w:val="nl-NL"/>
              </w:rPr>
              <w:t xml:space="preserve">Micro </w:t>
            </w:r>
            <w:proofErr w:type="spellStart"/>
            <w:r w:rsidRPr="001D6A78">
              <w:rPr>
                <w:sz w:val="20"/>
                <w:szCs w:val="20"/>
                <w:lang w:val="nl-NL"/>
              </w:rPr>
              <w:t>cell</w:t>
            </w:r>
            <w:proofErr w:type="spellEnd"/>
            <w:r w:rsidRPr="001D6A78">
              <w:rPr>
                <w:sz w:val="20"/>
                <w:szCs w:val="20"/>
                <w:lang w:val="nl-NL"/>
              </w:rPr>
              <w:t xml:space="preserve"> Radius </w:t>
            </w:r>
            <w:r w:rsidRPr="001D6A78">
              <w:rPr>
                <w:sz w:val="20"/>
                <w:szCs w:val="20"/>
                <w:u w:val="single"/>
                <w:lang w:val="nl-NL"/>
              </w:rPr>
              <w:t xml:space="preserve">&lt; </w:t>
            </w:r>
            <w:r w:rsidRPr="001D6A78">
              <w:rPr>
                <w:sz w:val="20"/>
                <w:szCs w:val="20"/>
                <w:lang w:val="nl-NL"/>
              </w:rPr>
              <w:t>1</w:t>
            </w:r>
            <w:r w:rsidR="001D6A78" w:rsidRPr="001D6A78">
              <w:rPr>
                <w:sz w:val="20"/>
                <w:szCs w:val="20"/>
                <w:lang w:val="nl-NL"/>
              </w:rPr>
              <w:t xml:space="preserve"> </w:t>
            </w:r>
            <w:r w:rsidRPr="001D6A78">
              <w:rPr>
                <w:sz w:val="20"/>
                <w:szCs w:val="20"/>
                <w:lang w:val="nl-NL"/>
              </w:rPr>
              <w:t>km,</w:t>
            </w:r>
            <w:r w:rsidRPr="001D6A78">
              <w:rPr>
                <w:sz w:val="20"/>
                <w:szCs w:val="20"/>
                <w:lang w:val="nl-NL"/>
              </w:rPr>
              <w:tab/>
            </w:r>
            <w:r w:rsidR="009221CE">
              <w:rPr>
                <w:sz w:val="20"/>
                <w:szCs w:val="20"/>
                <w:lang w:val="nl-NL"/>
              </w:rPr>
              <w:tab/>
            </w:r>
            <w:r w:rsidRPr="001D6A78">
              <w:rPr>
                <w:sz w:val="20"/>
                <w:szCs w:val="20"/>
                <w:lang w:val="nl-NL"/>
              </w:rPr>
              <w:t xml:space="preserve">Speed </w:t>
            </w:r>
            <w:r w:rsidRPr="001D6A78">
              <w:rPr>
                <w:sz w:val="20"/>
                <w:szCs w:val="20"/>
                <w:u w:val="single"/>
                <w:lang w:val="nl-NL"/>
              </w:rPr>
              <w:t xml:space="preserve">&lt; </w:t>
            </w:r>
            <w:r w:rsidRPr="001D6A78">
              <w:rPr>
                <w:sz w:val="20"/>
                <w:szCs w:val="20"/>
                <w:lang w:val="nl-NL"/>
              </w:rPr>
              <w:t>100 km/h</w:t>
            </w:r>
            <w:r w:rsidRPr="001D6A78">
              <w:rPr>
                <w:sz w:val="20"/>
                <w:szCs w:val="20"/>
                <w:lang w:val="nl-NL"/>
              </w:rPr>
              <w:br/>
            </w:r>
            <w:r w:rsidRPr="001D6A78">
              <w:rPr>
                <w:sz w:val="20"/>
                <w:szCs w:val="20"/>
                <w:lang w:val="nl-NL"/>
              </w:rPr>
              <w:tab/>
            </w:r>
            <w:r w:rsidRPr="001D6A78">
              <w:rPr>
                <w:sz w:val="20"/>
                <w:szCs w:val="20"/>
                <w:lang w:val="en-US"/>
              </w:rPr>
              <w:t xml:space="preserve">Pico cell Radius </w:t>
            </w:r>
            <w:r w:rsidRPr="001D6A78">
              <w:rPr>
                <w:sz w:val="20"/>
                <w:szCs w:val="20"/>
                <w:u w:val="single"/>
                <w:lang w:val="en-US"/>
              </w:rPr>
              <w:t xml:space="preserve">&lt; </w:t>
            </w:r>
            <w:r w:rsidRPr="001D6A78">
              <w:rPr>
                <w:sz w:val="20"/>
                <w:szCs w:val="20"/>
                <w:lang w:val="en-US"/>
              </w:rPr>
              <w:t>50</w:t>
            </w:r>
            <w:r w:rsidR="001D6A78" w:rsidRPr="001D6A78">
              <w:rPr>
                <w:sz w:val="20"/>
                <w:szCs w:val="20"/>
                <w:lang w:val="en-US"/>
              </w:rPr>
              <w:t xml:space="preserve"> </w:t>
            </w:r>
            <w:r w:rsidRPr="001D6A78">
              <w:rPr>
                <w:sz w:val="20"/>
                <w:szCs w:val="20"/>
                <w:lang w:val="en-US"/>
              </w:rPr>
              <w:t>m,</w:t>
            </w:r>
            <w:r w:rsidRPr="001D6A78">
              <w:rPr>
                <w:sz w:val="20"/>
                <w:szCs w:val="20"/>
                <w:lang w:val="en-US"/>
              </w:rPr>
              <w:tab/>
            </w:r>
            <w:r w:rsidRPr="001D6A78">
              <w:rPr>
                <w:sz w:val="20"/>
                <w:szCs w:val="20"/>
                <w:lang w:val="en-US"/>
              </w:rPr>
              <w:tab/>
              <w:t xml:space="preserve">Speed </w:t>
            </w:r>
            <w:r w:rsidRPr="001D6A78">
              <w:rPr>
                <w:sz w:val="20"/>
                <w:szCs w:val="20"/>
                <w:u w:val="single"/>
                <w:lang w:val="en-US"/>
              </w:rPr>
              <w:t xml:space="preserve">&lt; </w:t>
            </w:r>
            <w:r w:rsidRPr="001D6A78">
              <w:rPr>
                <w:sz w:val="20"/>
                <w:szCs w:val="20"/>
                <w:lang w:val="en-US"/>
              </w:rPr>
              <w:t>10 km/h</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Obj</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M.1035,</w:t>
            </w:r>
            <w:r w:rsidRPr="001D6A78">
              <w:rPr>
                <w:sz w:val="20"/>
                <w:szCs w:val="20"/>
                <w:lang w:val="en-US"/>
              </w:rPr>
              <w:br/>
              <w:t>§ 10.1</w:t>
            </w:r>
          </w:p>
        </w:tc>
        <w:tc>
          <w:tcPr>
            <w:tcW w:w="90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blPrEx>
          <w:tblLook w:val="0040" w:firstRow="0" w:lastRow="1" w:firstColumn="0" w:lastColumn="0" w:noHBand="0" w:noVBand="0"/>
        </w:tblPrEx>
        <w:tc>
          <w:tcPr>
            <w:tcW w:w="9252" w:type="dxa"/>
            <w:gridSpan w:val="4"/>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clear" w:pos="567"/>
                <w:tab w:val="left" w:pos="602"/>
              </w:tabs>
              <w:jc w:val="center"/>
              <w:rPr>
                <w:sz w:val="20"/>
                <w:szCs w:val="20"/>
                <w:lang w:val="en-US"/>
              </w:rPr>
            </w:pPr>
            <w:r w:rsidRPr="001D6A78">
              <w:rPr>
                <w:b/>
                <w:sz w:val="20"/>
                <w:szCs w:val="20"/>
                <w:lang w:val="en-US"/>
              </w:rPr>
              <w:t>Application of IMT-2000 for fixed services and developing countries</w:t>
            </w:r>
          </w:p>
        </w:tc>
      </w:tr>
      <w:tr w:rsidR="00E47578" w:rsidRPr="001D6A78">
        <w:tblPrEx>
          <w:tblLook w:val="0040" w:firstRow="0" w:lastRow="1" w:firstColumn="0" w:lastColumn="0" w:noHBand="0" w:noVBand="0"/>
        </w:tblPrEx>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clear" w:pos="567"/>
                <w:tab w:val="left" w:pos="602"/>
              </w:tabs>
              <w:ind w:left="567" w:hanging="567"/>
              <w:rPr>
                <w:sz w:val="20"/>
                <w:szCs w:val="20"/>
                <w:lang w:val="en-US"/>
              </w:rPr>
            </w:pPr>
            <w:r w:rsidRPr="001D6A78">
              <w:rPr>
                <w:sz w:val="20"/>
                <w:szCs w:val="20"/>
                <w:lang w:val="en-US"/>
              </w:rPr>
              <w:t>12.</w:t>
            </w:r>
            <w:r w:rsidRPr="001D6A78">
              <w:rPr>
                <w:sz w:val="20"/>
                <w:szCs w:val="20"/>
                <w:lang w:val="en-US"/>
              </w:rPr>
              <w:tab/>
              <w:t>Circuit noise- idle noise levels in 99% of the time about 100 </w:t>
            </w:r>
            <w:proofErr w:type="spellStart"/>
            <w:r w:rsidRPr="001D6A78">
              <w:rPr>
                <w:sz w:val="20"/>
                <w:szCs w:val="20"/>
                <w:lang w:val="en-US"/>
              </w:rPr>
              <w:t>pWp</w:t>
            </w:r>
            <w:proofErr w:type="spellEnd"/>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Obj</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M.819-1,</w:t>
            </w:r>
            <w:r w:rsidRPr="001D6A78">
              <w:rPr>
                <w:sz w:val="20"/>
                <w:szCs w:val="20"/>
                <w:lang w:val="en-US"/>
              </w:rPr>
              <w:br/>
              <w:t>§ 10.3</w:t>
            </w:r>
          </w:p>
        </w:tc>
        <w:tc>
          <w:tcPr>
            <w:tcW w:w="90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blPrEx>
          <w:tblLook w:val="0040" w:firstRow="0" w:lastRow="1" w:firstColumn="0" w:lastColumn="0" w:noHBand="0" w:noVBand="0"/>
        </w:tblPrEx>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1D6A78">
            <w:pPr>
              <w:pStyle w:val="TableText0"/>
              <w:tabs>
                <w:tab w:val="clear" w:pos="284"/>
                <w:tab w:val="clear" w:pos="567"/>
                <w:tab w:val="left" w:pos="602"/>
              </w:tabs>
              <w:ind w:left="602" w:hanging="602"/>
              <w:rPr>
                <w:sz w:val="20"/>
                <w:szCs w:val="20"/>
                <w:lang w:val="en-US"/>
              </w:rPr>
            </w:pPr>
            <w:r w:rsidRPr="001D6A78">
              <w:rPr>
                <w:sz w:val="20"/>
                <w:szCs w:val="20"/>
                <w:lang w:val="en-US"/>
              </w:rPr>
              <w:t>13.</w:t>
            </w:r>
            <w:r w:rsidRPr="001D6A78">
              <w:rPr>
                <w:sz w:val="20"/>
                <w:szCs w:val="20"/>
                <w:lang w:val="en-US"/>
              </w:rPr>
              <w:tab/>
              <w:t xml:space="preserve">Error performance </w:t>
            </w:r>
            <w:r w:rsidR="001D6A78" w:rsidRPr="001D6A78">
              <w:rPr>
                <w:sz w:val="20"/>
                <w:szCs w:val="20"/>
                <w:lang w:val="en-US"/>
              </w:rPr>
              <w:t>–</w:t>
            </w:r>
            <w:r w:rsidRPr="001D6A78">
              <w:rPr>
                <w:sz w:val="20"/>
                <w:szCs w:val="20"/>
                <w:lang w:val="en-US"/>
              </w:rPr>
              <w:t xml:space="preserve"> as specified in </w:t>
            </w:r>
            <w:r w:rsidR="001D6A78" w:rsidRPr="001D6A78">
              <w:rPr>
                <w:sz w:val="20"/>
                <w:szCs w:val="20"/>
                <w:lang w:val="en-US"/>
              </w:rPr>
              <w:t>Recommendation ITU</w:t>
            </w:r>
            <w:r w:rsidR="001D6A78" w:rsidRPr="001D6A78">
              <w:rPr>
                <w:sz w:val="20"/>
                <w:szCs w:val="20"/>
                <w:lang w:val="en-US"/>
              </w:rPr>
              <w:noBreakHyphen/>
            </w:r>
            <w:r w:rsidR="009221CE">
              <w:rPr>
                <w:sz w:val="20"/>
                <w:szCs w:val="20"/>
                <w:lang w:val="en-US"/>
              </w:rPr>
              <w:t>R </w:t>
            </w:r>
            <w:r w:rsidRPr="001D6A78">
              <w:rPr>
                <w:sz w:val="20"/>
                <w:szCs w:val="20"/>
                <w:lang w:val="en-US"/>
              </w:rPr>
              <w:t>F.697</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Obj</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M.819-1,</w:t>
            </w:r>
            <w:r w:rsidRPr="001D6A78">
              <w:rPr>
                <w:sz w:val="20"/>
                <w:szCs w:val="20"/>
                <w:lang w:val="en-US"/>
              </w:rPr>
              <w:br/>
              <w:t>§ 10.4</w:t>
            </w:r>
          </w:p>
        </w:tc>
        <w:tc>
          <w:tcPr>
            <w:tcW w:w="90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blPrEx>
          <w:tblLook w:val="0040" w:firstRow="0" w:lastRow="1" w:firstColumn="0" w:lastColumn="0" w:noHBand="0" w:noVBand="0"/>
        </w:tblPrEx>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clear" w:pos="567"/>
                <w:tab w:val="left" w:pos="602"/>
              </w:tabs>
              <w:rPr>
                <w:sz w:val="20"/>
                <w:szCs w:val="20"/>
                <w:lang w:val="en-US"/>
              </w:rPr>
            </w:pPr>
            <w:r w:rsidRPr="001D6A78">
              <w:rPr>
                <w:sz w:val="20"/>
                <w:szCs w:val="20"/>
                <w:lang w:val="en-US"/>
              </w:rPr>
              <w:t>14.</w:t>
            </w:r>
            <w:r w:rsidRPr="001D6A78">
              <w:rPr>
                <w:sz w:val="20"/>
                <w:szCs w:val="20"/>
                <w:lang w:val="en-US"/>
              </w:rPr>
              <w:tab/>
              <w:t>Grade of service better than 1%</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Obj</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M.819-1,</w:t>
            </w:r>
            <w:r w:rsidRPr="001D6A78">
              <w:rPr>
                <w:sz w:val="20"/>
                <w:szCs w:val="20"/>
                <w:lang w:val="en-US"/>
              </w:rPr>
              <w:br/>
              <w:t>§ 10.5</w:t>
            </w:r>
          </w:p>
        </w:tc>
        <w:tc>
          <w:tcPr>
            <w:tcW w:w="90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bl>
    <w:p w:rsidR="007F154F" w:rsidRDefault="007F154F" w:rsidP="00E47578">
      <w:pPr>
        <w:pStyle w:val="TableNo"/>
      </w:pPr>
    </w:p>
    <w:p w:rsidR="00E47578" w:rsidRDefault="00E47578" w:rsidP="00E47578">
      <w:pPr>
        <w:pStyle w:val="TableNo"/>
      </w:pPr>
      <w:r>
        <w:t>TABLE 2</w:t>
      </w:r>
    </w:p>
    <w:p w:rsidR="00E47578" w:rsidRDefault="00E47578" w:rsidP="00E47578">
      <w:pPr>
        <w:pStyle w:val="Tabletitle"/>
      </w:pPr>
      <w:r>
        <w:t xml:space="preserve">Generic requirements and objectives relevant to the evaluation of </w:t>
      </w:r>
      <w:r>
        <w:br/>
        <w:t>candidate radio transmission technologies</w:t>
      </w:r>
    </w:p>
    <w:tbl>
      <w:tblPr>
        <w:tblW w:w="0" w:type="auto"/>
        <w:jc w:val="center"/>
        <w:tblLayout w:type="fixed"/>
        <w:tblCellMar>
          <w:left w:w="72" w:type="dxa"/>
          <w:right w:w="72" w:type="dxa"/>
        </w:tblCellMar>
        <w:tblLook w:val="0000" w:firstRow="0" w:lastRow="0" w:firstColumn="0" w:lastColumn="0" w:noHBand="0" w:noVBand="0"/>
      </w:tblPr>
      <w:tblGrid>
        <w:gridCol w:w="6030"/>
        <w:gridCol w:w="1152"/>
        <w:gridCol w:w="1170"/>
        <w:gridCol w:w="810"/>
      </w:tblGrid>
      <w:tr w:rsidR="00E47578" w:rsidRPr="001D6A78">
        <w:trPr>
          <w:tblHeader/>
          <w:jc w:val="center"/>
        </w:trPr>
        <w:tc>
          <w:tcPr>
            <w:tcW w:w="6030" w:type="dxa"/>
            <w:tcBorders>
              <w:top w:val="single" w:sz="4" w:space="0" w:color="auto"/>
              <w:left w:val="single" w:sz="4" w:space="0" w:color="auto"/>
              <w:bottom w:val="single" w:sz="4" w:space="0" w:color="auto"/>
              <w:right w:val="single" w:sz="4" w:space="0" w:color="auto"/>
            </w:tcBorders>
          </w:tcPr>
          <w:p w:rsidR="00E47578" w:rsidRPr="001D6A78" w:rsidRDefault="00E47578" w:rsidP="00E47578">
            <w:pPr>
              <w:pStyle w:val="Tablehead"/>
            </w:pPr>
            <w:r w:rsidRPr="001D6A78">
              <w:t>IMT-2000 Item Description</w:t>
            </w:r>
          </w:p>
        </w:tc>
        <w:tc>
          <w:tcPr>
            <w:tcW w:w="1152" w:type="dxa"/>
            <w:tcBorders>
              <w:top w:val="single" w:sz="4" w:space="0" w:color="auto"/>
              <w:left w:val="nil"/>
              <w:bottom w:val="single" w:sz="4" w:space="0" w:color="auto"/>
              <w:right w:val="single" w:sz="6" w:space="0" w:color="auto"/>
            </w:tcBorders>
          </w:tcPr>
          <w:p w:rsidR="00E47578" w:rsidRPr="001D6A78" w:rsidRDefault="00E47578" w:rsidP="00E47578">
            <w:pPr>
              <w:pStyle w:val="Tablehead"/>
            </w:pPr>
            <w:proofErr w:type="spellStart"/>
            <w:r w:rsidRPr="001D6A78">
              <w:t>Obj</w:t>
            </w:r>
            <w:proofErr w:type="spellEnd"/>
            <w:r w:rsidRPr="001D6A78">
              <w:t>/</w:t>
            </w:r>
            <w:proofErr w:type="spellStart"/>
            <w:r w:rsidRPr="001D6A78">
              <w:t>Req</w:t>
            </w:r>
            <w:proofErr w:type="spellEnd"/>
          </w:p>
        </w:tc>
        <w:tc>
          <w:tcPr>
            <w:tcW w:w="1170" w:type="dxa"/>
            <w:tcBorders>
              <w:top w:val="single" w:sz="4" w:space="0" w:color="auto"/>
              <w:left w:val="nil"/>
              <w:bottom w:val="single" w:sz="4" w:space="0" w:color="auto"/>
              <w:right w:val="single" w:sz="6" w:space="0" w:color="auto"/>
            </w:tcBorders>
          </w:tcPr>
          <w:p w:rsidR="00E47578" w:rsidRPr="001D6A78" w:rsidRDefault="00E47578" w:rsidP="00E47578">
            <w:pPr>
              <w:pStyle w:val="Tablehead"/>
            </w:pPr>
            <w:r w:rsidRPr="001D6A78">
              <w:t>Source</w:t>
            </w:r>
          </w:p>
        </w:tc>
        <w:tc>
          <w:tcPr>
            <w:tcW w:w="810" w:type="dxa"/>
            <w:tcBorders>
              <w:top w:val="single" w:sz="4" w:space="0" w:color="auto"/>
              <w:left w:val="nil"/>
              <w:bottom w:val="single" w:sz="4" w:space="0" w:color="auto"/>
              <w:right w:val="single" w:sz="4" w:space="0" w:color="auto"/>
            </w:tcBorders>
          </w:tcPr>
          <w:p w:rsidR="00E47578" w:rsidRPr="001D6A78" w:rsidRDefault="00E47578" w:rsidP="00E47578">
            <w:pPr>
              <w:pStyle w:val="Tablehead"/>
            </w:pPr>
            <w:r w:rsidRPr="001D6A78">
              <w:t>Meets</w:t>
            </w:r>
          </w:p>
        </w:tc>
      </w:tr>
      <w:tr w:rsidR="00E47578" w:rsidRPr="001D6A78">
        <w:trPr>
          <w:jc w:val="center"/>
        </w:trPr>
        <w:tc>
          <w:tcPr>
            <w:tcW w:w="9162" w:type="dxa"/>
            <w:gridSpan w:val="4"/>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head"/>
            </w:pPr>
            <w:r w:rsidRPr="001D6A78">
              <w:t>Radio interfaces and subsystems, network related performance requirements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390"/>
              </w:tabs>
              <w:rPr>
                <w:sz w:val="20"/>
                <w:szCs w:val="20"/>
                <w:lang w:val="en-US"/>
              </w:rPr>
            </w:pPr>
            <w:r w:rsidRPr="001D6A78">
              <w:rPr>
                <w:sz w:val="20"/>
                <w:szCs w:val="20"/>
                <w:lang w:val="en-US"/>
              </w:rPr>
              <w:t>1.</w:t>
            </w:r>
            <w:r w:rsidRPr="001D6A78">
              <w:rPr>
                <w:sz w:val="20"/>
                <w:szCs w:val="20"/>
                <w:lang w:val="en-US"/>
              </w:rPr>
              <w:tab/>
              <w:t>Security comparable to that of PSTN/ISDN</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Obj</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M.687-1,</w:t>
            </w:r>
            <w:r w:rsidRPr="001D6A78">
              <w:rPr>
                <w:sz w:val="20"/>
                <w:szCs w:val="20"/>
                <w:lang w:val="en-US"/>
              </w:rPr>
              <w:br/>
              <w:t>§ 4.4</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390"/>
              </w:tabs>
              <w:rPr>
                <w:sz w:val="20"/>
                <w:szCs w:val="20"/>
                <w:lang w:val="en-US"/>
              </w:rPr>
            </w:pPr>
            <w:r w:rsidRPr="001D6A78">
              <w:rPr>
                <w:sz w:val="20"/>
                <w:szCs w:val="20"/>
                <w:lang w:val="en-US"/>
              </w:rPr>
              <w:t>2.</w:t>
            </w:r>
            <w:r w:rsidRPr="001D6A78">
              <w:rPr>
                <w:sz w:val="20"/>
                <w:szCs w:val="20"/>
                <w:lang w:val="en-US"/>
              </w:rPr>
              <w:tab/>
              <w:t>Support mobility, interactive and distribution services</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M.816,</w:t>
            </w:r>
            <w:r w:rsidRPr="001D6A78">
              <w:rPr>
                <w:sz w:val="20"/>
                <w:szCs w:val="20"/>
                <w:lang w:val="en-US"/>
              </w:rPr>
              <w:br/>
              <w:t>§ 6</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390"/>
              </w:tabs>
              <w:rPr>
                <w:sz w:val="20"/>
                <w:szCs w:val="20"/>
                <w:lang w:val="en-US"/>
              </w:rPr>
            </w:pPr>
            <w:r w:rsidRPr="001D6A78">
              <w:rPr>
                <w:sz w:val="20"/>
                <w:szCs w:val="20"/>
                <w:lang w:val="en-US"/>
              </w:rPr>
              <w:t>3.</w:t>
            </w:r>
            <w:r w:rsidRPr="001D6A78">
              <w:rPr>
                <w:sz w:val="20"/>
                <w:szCs w:val="20"/>
                <w:lang w:val="en-US"/>
              </w:rPr>
              <w:tab/>
              <w:t>Support UPT and maintain common presentation to users</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Obj</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M.816,</w:t>
            </w:r>
            <w:r w:rsidRPr="001D6A78">
              <w:rPr>
                <w:sz w:val="20"/>
                <w:szCs w:val="20"/>
                <w:lang w:val="en-US"/>
              </w:rPr>
              <w:br/>
              <w:t>§ 4</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390"/>
              </w:tabs>
              <w:ind w:left="390" w:hanging="390"/>
              <w:rPr>
                <w:sz w:val="20"/>
                <w:szCs w:val="20"/>
                <w:lang w:val="en-US"/>
              </w:rPr>
            </w:pPr>
            <w:r w:rsidRPr="001D6A78">
              <w:rPr>
                <w:sz w:val="20"/>
                <w:szCs w:val="20"/>
                <w:lang w:val="en-US"/>
              </w:rPr>
              <w:t>4.</w:t>
            </w:r>
            <w:r w:rsidRPr="001D6A78">
              <w:rPr>
                <w:sz w:val="20"/>
                <w:szCs w:val="20"/>
                <w:lang w:val="en-US"/>
              </w:rPr>
              <w:tab/>
              <w:t>Voice quality comparable to the fixed network (applies to both mobile and fixed service)</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rPr>
            </w:pPr>
            <w:r w:rsidRPr="001D6A78">
              <w:rPr>
                <w:sz w:val="20"/>
                <w:szCs w:val="20"/>
                <w:lang w:val="en-US"/>
              </w:rPr>
              <w:t>M819-1,</w:t>
            </w:r>
            <w:r w:rsidRPr="001D6A78">
              <w:rPr>
                <w:sz w:val="20"/>
                <w:szCs w:val="20"/>
                <w:lang w:val="en-US"/>
              </w:rPr>
              <w:br/>
              <w:t>Tab</w:t>
            </w:r>
            <w:r w:rsidRPr="001D6A78">
              <w:rPr>
                <w:sz w:val="20"/>
                <w:szCs w:val="20"/>
              </w:rPr>
              <w:t>le 1,</w:t>
            </w:r>
            <w:r w:rsidRPr="001D6A78">
              <w:rPr>
                <w:sz w:val="20"/>
                <w:szCs w:val="20"/>
              </w:rPr>
              <w:br/>
              <w:t>M.1079,</w:t>
            </w:r>
            <w:r w:rsidRPr="001D6A78">
              <w:rPr>
                <w:sz w:val="20"/>
                <w:szCs w:val="20"/>
              </w:rPr>
              <w:br/>
              <w:t>§ 7.1</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390"/>
              </w:tabs>
              <w:ind w:left="390" w:hanging="390"/>
              <w:rPr>
                <w:sz w:val="20"/>
                <w:szCs w:val="20"/>
                <w:lang w:val="en-US"/>
              </w:rPr>
            </w:pPr>
            <w:r w:rsidRPr="001D6A78">
              <w:rPr>
                <w:sz w:val="20"/>
                <w:szCs w:val="20"/>
                <w:lang w:val="en-US"/>
              </w:rPr>
              <w:t>5.</w:t>
            </w:r>
            <w:r w:rsidRPr="001D6A78">
              <w:rPr>
                <w:sz w:val="20"/>
                <w:szCs w:val="20"/>
                <w:lang w:val="en-US"/>
              </w:rPr>
              <w:tab/>
              <w:t>Support encryption and maintain encryption when roaming and during handover</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M.1034</w:t>
            </w:r>
            <w:r w:rsidRPr="001D6A78">
              <w:rPr>
                <w:sz w:val="20"/>
                <w:szCs w:val="20"/>
                <w:lang w:val="en-US"/>
              </w:rPr>
              <w:br/>
              <w:t>§ 11.3</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390"/>
              </w:tabs>
              <w:rPr>
                <w:sz w:val="20"/>
                <w:szCs w:val="20"/>
                <w:lang w:val="en-US"/>
              </w:rPr>
            </w:pPr>
            <w:r w:rsidRPr="001D6A78">
              <w:rPr>
                <w:sz w:val="20"/>
                <w:szCs w:val="20"/>
                <w:lang w:val="en-US"/>
              </w:rPr>
              <w:t>6.</w:t>
            </w:r>
            <w:r w:rsidRPr="001D6A78">
              <w:rPr>
                <w:sz w:val="20"/>
                <w:szCs w:val="20"/>
                <w:lang w:val="en-US"/>
              </w:rPr>
              <w:tab/>
              <w:t xml:space="preserve">Network access indication similar to PSTN (e.g. </w:t>
            </w:r>
            <w:proofErr w:type="spellStart"/>
            <w:r w:rsidRPr="001D6A78">
              <w:rPr>
                <w:sz w:val="20"/>
                <w:szCs w:val="20"/>
                <w:lang w:val="en-US"/>
              </w:rPr>
              <w:t>dialtone</w:t>
            </w:r>
            <w:proofErr w:type="spellEnd"/>
            <w:r w:rsidRPr="001D6A78">
              <w:rPr>
                <w:sz w:val="20"/>
                <w:szCs w:val="20"/>
                <w:lang w:val="en-US"/>
              </w:rPr>
              <w:t>)</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M.1034</w:t>
            </w:r>
            <w:r w:rsidRPr="001D6A78">
              <w:rPr>
                <w:sz w:val="20"/>
                <w:szCs w:val="20"/>
                <w:lang w:val="en-US"/>
              </w:rPr>
              <w:br/>
              <w:t>§§ 11.5</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390"/>
              </w:tabs>
              <w:rPr>
                <w:sz w:val="20"/>
                <w:szCs w:val="20"/>
                <w:lang w:val="en-US"/>
              </w:rPr>
            </w:pPr>
            <w:r w:rsidRPr="001D6A78">
              <w:rPr>
                <w:sz w:val="20"/>
                <w:szCs w:val="20"/>
                <w:lang w:val="en-US"/>
              </w:rPr>
              <w:t>7.</w:t>
            </w:r>
            <w:r w:rsidRPr="001D6A78">
              <w:rPr>
                <w:sz w:val="20"/>
                <w:szCs w:val="20"/>
                <w:lang w:val="en-US"/>
              </w:rPr>
              <w:tab/>
              <w:t>Meet safety requirements and legislation</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M.1034,</w:t>
            </w:r>
            <w:r w:rsidRPr="001D6A78">
              <w:rPr>
                <w:sz w:val="20"/>
                <w:szCs w:val="20"/>
                <w:lang w:val="en-US"/>
              </w:rPr>
              <w:br/>
              <w:t>§ 11.6</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390"/>
              </w:tabs>
              <w:rPr>
                <w:sz w:val="20"/>
                <w:szCs w:val="20"/>
                <w:lang w:val="en-US"/>
              </w:rPr>
            </w:pPr>
            <w:r w:rsidRPr="001D6A78">
              <w:rPr>
                <w:sz w:val="20"/>
                <w:szCs w:val="20"/>
                <w:lang w:val="en-US"/>
              </w:rPr>
              <w:lastRenderedPageBreak/>
              <w:t>8.</w:t>
            </w:r>
            <w:r w:rsidRPr="001D6A78">
              <w:rPr>
                <w:sz w:val="20"/>
                <w:szCs w:val="20"/>
                <w:lang w:val="en-US"/>
              </w:rPr>
              <w:tab/>
              <w:t>Meet appropriate EMC regulations</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M.1034,</w:t>
            </w:r>
            <w:r w:rsidRPr="001D6A78">
              <w:rPr>
                <w:sz w:val="20"/>
                <w:szCs w:val="20"/>
                <w:lang w:val="en-US"/>
              </w:rPr>
              <w:br/>
              <w:t>§ 11.7</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390"/>
              </w:tabs>
              <w:ind w:left="390" w:hanging="390"/>
              <w:rPr>
                <w:sz w:val="20"/>
                <w:szCs w:val="20"/>
                <w:lang w:val="en-US"/>
              </w:rPr>
            </w:pPr>
            <w:r w:rsidRPr="001D6A78">
              <w:rPr>
                <w:sz w:val="20"/>
                <w:szCs w:val="20"/>
                <w:lang w:val="en-US"/>
              </w:rPr>
              <w:t>9.</w:t>
            </w:r>
            <w:r w:rsidRPr="001D6A78">
              <w:rPr>
                <w:sz w:val="20"/>
                <w:szCs w:val="20"/>
                <w:lang w:val="en-US"/>
              </w:rPr>
              <w:tab/>
              <w:t>Support multiple public/private/residential IMT-2000 operators in the same locality</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M.1034,</w:t>
            </w:r>
            <w:r w:rsidRPr="001D6A78">
              <w:rPr>
                <w:sz w:val="20"/>
                <w:szCs w:val="20"/>
                <w:lang w:val="en-US"/>
              </w:rPr>
              <w:br/>
              <w:t>§ 12.1.2</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390"/>
              </w:tabs>
              <w:rPr>
                <w:sz w:val="20"/>
                <w:szCs w:val="20"/>
                <w:lang w:val="fr-CH"/>
              </w:rPr>
            </w:pPr>
            <w:r w:rsidRPr="001D6A78">
              <w:rPr>
                <w:sz w:val="20"/>
                <w:szCs w:val="20"/>
                <w:lang w:val="fr-CH"/>
              </w:rPr>
              <w:t>10.</w:t>
            </w:r>
            <w:r w:rsidRPr="001D6A78">
              <w:rPr>
                <w:sz w:val="20"/>
                <w:szCs w:val="20"/>
                <w:lang w:val="fr-CH"/>
              </w:rPr>
              <w:tab/>
              <w:t>Support multiple mobile station types</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M.1034,</w:t>
            </w:r>
            <w:r w:rsidRPr="001D6A78">
              <w:rPr>
                <w:sz w:val="20"/>
                <w:szCs w:val="20"/>
                <w:lang w:val="en-US"/>
              </w:rPr>
              <w:br/>
              <w:t>§ 12.1.4</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390"/>
              </w:tabs>
              <w:ind w:left="390" w:hanging="390"/>
              <w:rPr>
                <w:sz w:val="20"/>
                <w:szCs w:val="20"/>
                <w:lang w:val="en-US"/>
              </w:rPr>
            </w:pPr>
            <w:r w:rsidRPr="001D6A78">
              <w:rPr>
                <w:sz w:val="20"/>
                <w:szCs w:val="20"/>
                <w:lang w:val="en-US"/>
              </w:rPr>
              <w:t>11.</w:t>
            </w:r>
            <w:r w:rsidRPr="001D6A78">
              <w:rPr>
                <w:sz w:val="20"/>
                <w:szCs w:val="20"/>
                <w:lang w:val="en-US"/>
              </w:rPr>
              <w:tab/>
              <w:t>Support roaming between IMT-2000 operators and between different IMT-2000 radio interfaces/environments</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M.1034,</w:t>
            </w:r>
            <w:r w:rsidRPr="001D6A78">
              <w:rPr>
                <w:sz w:val="20"/>
                <w:szCs w:val="20"/>
                <w:lang w:val="en-US"/>
              </w:rPr>
              <w:br/>
              <w:t>§ 12.2.2</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390"/>
              </w:tabs>
              <w:ind w:left="390" w:hanging="390"/>
              <w:rPr>
                <w:sz w:val="20"/>
                <w:szCs w:val="20"/>
                <w:lang w:val="en-US"/>
              </w:rPr>
            </w:pPr>
            <w:r w:rsidRPr="001D6A78">
              <w:rPr>
                <w:sz w:val="20"/>
                <w:szCs w:val="20"/>
                <w:lang w:val="en-US"/>
              </w:rPr>
              <w:t>12.</w:t>
            </w:r>
            <w:r w:rsidRPr="001D6A78">
              <w:rPr>
                <w:sz w:val="20"/>
                <w:szCs w:val="20"/>
                <w:lang w:val="en-US"/>
              </w:rPr>
              <w:tab/>
              <w:t>Support seamless handover between different IMT-2000 environments such that service quality is maintained and signaling is minimized</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M.1034,</w:t>
            </w:r>
            <w:r w:rsidRPr="001D6A78">
              <w:rPr>
                <w:sz w:val="20"/>
                <w:szCs w:val="20"/>
                <w:lang w:val="en-US"/>
              </w:rPr>
              <w:br/>
              <w:t>§ 12.2.3</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390"/>
              </w:tabs>
              <w:ind w:left="390" w:hanging="390"/>
              <w:rPr>
                <w:sz w:val="20"/>
                <w:szCs w:val="20"/>
                <w:lang w:val="en-US"/>
              </w:rPr>
            </w:pPr>
            <w:r w:rsidRPr="001D6A78">
              <w:rPr>
                <w:sz w:val="20"/>
                <w:szCs w:val="20"/>
                <w:lang w:val="en-US"/>
              </w:rPr>
              <w:t>13.</w:t>
            </w:r>
            <w:r w:rsidRPr="001D6A78">
              <w:rPr>
                <w:sz w:val="20"/>
                <w:szCs w:val="20"/>
                <w:lang w:val="en-US"/>
              </w:rPr>
              <w:tab/>
              <w:t>Simultaneously support multiple cell sizes with flexible base location, support use of repeaters and umbrella cells as well as deployment in low capacity areas</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M.1034,</w:t>
            </w:r>
            <w:r w:rsidRPr="001D6A78">
              <w:rPr>
                <w:sz w:val="20"/>
                <w:szCs w:val="20"/>
                <w:lang w:val="en-US"/>
              </w:rPr>
              <w:br/>
              <w:t>§ 12.2.5</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390"/>
              </w:tabs>
              <w:rPr>
                <w:sz w:val="20"/>
                <w:szCs w:val="20"/>
                <w:lang w:val="en-US"/>
              </w:rPr>
            </w:pPr>
            <w:r w:rsidRPr="001D6A78">
              <w:rPr>
                <w:sz w:val="20"/>
                <w:szCs w:val="20"/>
                <w:lang w:val="en-US"/>
              </w:rPr>
              <w:t>14.</w:t>
            </w:r>
            <w:r w:rsidRPr="001D6A78">
              <w:rPr>
                <w:sz w:val="20"/>
                <w:szCs w:val="20"/>
                <w:lang w:val="en-US"/>
              </w:rPr>
              <w:tab/>
              <w:t>Support multiple operator coexistence in a geographic area</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M.1034,</w:t>
            </w:r>
            <w:r w:rsidRPr="001D6A78">
              <w:rPr>
                <w:sz w:val="20"/>
                <w:szCs w:val="20"/>
                <w:lang w:val="en-US"/>
              </w:rPr>
              <w:br/>
              <w:t>§ 12.2.5</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390"/>
              </w:tabs>
              <w:ind w:left="390" w:hanging="390"/>
              <w:rPr>
                <w:sz w:val="20"/>
                <w:szCs w:val="20"/>
                <w:lang w:val="en-US"/>
              </w:rPr>
            </w:pPr>
            <w:r w:rsidRPr="001D6A78">
              <w:rPr>
                <w:sz w:val="20"/>
                <w:szCs w:val="20"/>
                <w:lang w:val="en-US"/>
              </w:rPr>
              <w:t>15.</w:t>
            </w:r>
            <w:r w:rsidRPr="001D6A78">
              <w:rPr>
                <w:sz w:val="20"/>
                <w:szCs w:val="20"/>
                <w:lang w:val="en-US"/>
              </w:rPr>
              <w:tab/>
              <w:t xml:space="preserve">Support different spectrum and flexible band sharing in different countries including flexible spectrum sharing between different IMT-2000 operators (see </w:t>
            </w:r>
            <w:r w:rsidR="001D6A78">
              <w:rPr>
                <w:sz w:val="20"/>
                <w:szCs w:val="20"/>
                <w:lang w:val="en-US"/>
              </w:rPr>
              <w:t xml:space="preserve">Recommendation ITU-R </w:t>
            </w:r>
            <w:r w:rsidRPr="001D6A78">
              <w:rPr>
                <w:sz w:val="20"/>
                <w:szCs w:val="20"/>
                <w:lang w:val="en-US"/>
              </w:rPr>
              <w:t>M.1036)</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M.1034,</w:t>
            </w:r>
            <w:r w:rsidRPr="001D6A78">
              <w:rPr>
                <w:sz w:val="20"/>
                <w:szCs w:val="20"/>
                <w:lang w:val="en-US"/>
              </w:rPr>
              <w:br/>
              <w:t>§ 12.2.8</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390"/>
              </w:tabs>
              <w:ind w:left="390" w:hanging="390"/>
              <w:rPr>
                <w:sz w:val="20"/>
                <w:szCs w:val="20"/>
                <w:lang w:val="en-US"/>
              </w:rPr>
            </w:pPr>
            <w:r w:rsidRPr="001D6A78">
              <w:rPr>
                <w:sz w:val="20"/>
                <w:szCs w:val="20"/>
                <w:lang w:val="en-US"/>
              </w:rPr>
              <w:t>16.</w:t>
            </w:r>
            <w:r w:rsidRPr="001D6A78">
              <w:rPr>
                <w:sz w:val="20"/>
                <w:szCs w:val="20"/>
                <w:lang w:val="en-US"/>
              </w:rPr>
              <w:tab/>
              <w:t>Support mechanisms for minimizing power and interference between mobile and base stations</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rPr>
            </w:pPr>
            <w:r w:rsidRPr="001D6A78">
              <w:rPr>
                <w:sz w:val="20"/>
                <w:szCs w:val="20"/>
                <w:lang w:val="en-US"/>
              </w:rPr>
              <w:t>M.1</w:t>
            </w:r>
            <w:r w:rsidRPr="001D6A78">
              <w:rPr>
                <w:sz w:val="20"/>
                <w:szCs w:val="20"/>
              </w:rPr>
              <w:t>034,</w:t>
            </w:r>
            <w:r w:rsidRPr="001D6A78">
              <w:rPr>
                <w:sz w:val="20"/>
                <w:szCs w:val="20"/>
              </w:rPr>
              <w:br/>
              <w:t>§ 12.2.8.3</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390"/>
              </w:tabs>
              <w:ind w:left="390" w:hanging="390"/>
              <w:rPr>
                <w:sz w:val="20"/>
                <w:szCs w:val="20"/>
                <w:lang w:val="en-US"/>
              </w:rPr>
            </w:pPr>
            <w:r w:rsidRPr="001D6A78">
              <w:rPr>
                <w:sz w:val="20"/>
                <w:szCs w:val="20"/>
                <w:lang w:val="en-US"/>
              </w:rPr>
              <w:t>17.</w:t>
            </w:r>
            <w:r w:rsidRPr="001D6A78">
              <w:rPr>
                <w:sz w:val="20"/>
                <w:szCs w:val="20"/>
                <w:lang w:val="en-US"/>
              </w:rPr>
              <w:tab/>
              <w:t xml:space="preserve">Support various cell types dependent on environment </w:t>
            </w:r>
            <w:r w:rsidRPr="001D6A78">
              <w:rPr>
                <w:sz w:val="20"/>
                <w:szCs w:val="20"/>
                <w:lang w:val="en-US"/>
              </w:rPr>
              <w:br/>
              <w:t>(</w:t>
            </w:r>
            <w:r w:rsidR="001D6A78">
              <w:rPr>
                <w:sz w:val="20"/>
                <w:szCs w:val="20"/>
                <w:lang w:val="en-US"/>
              </w:rPr>
              <w:t xml:space="preserve">Recommendation ITU-R </w:t>
            </w:r>
            <w:r w:rsidRPr="001D6A78">
              <w:rPr>
                <w:sz w:val="20"/>
                <w:szCs w:val="20"/>
                <w:lang w:val="en-US"/>
              </w:rPr>
              <w:t>M.1035 § 10.1)</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M.1034,</w:t>
            </w:r>
            <w:r w:rsidRPr="001D6A78">
              <w:rPr>
                <w:sz w:val="20"/>
                <w:szCs w:val="20"/>
                <w:lang w:val="en-US"/>
              </w:rPr>
              <w:br/>
              <w:t>§ 12.2.9</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446"/>
              </w:tabs>
              <w:rPr>
                <w:sz w:val="20"/>
                <w:szCs w:val="20"/>
                <w:lang w:val="en-US"/>
              </w:rPr>
            </w:pPr>
            <w:r w:rsidRPr="001D6A78">
              <w:rPr>
                <w:sz w:val="20"/>
                <w:szCs w:val="20"/>
                <w:lang w:val="en-US"/>
              </w:rPr>
              <w:t>18.</w:t>
            </w:r>
            <w:r w:rsidRPr="001D6A78">
              <w:rPr>
                <w:sz w:val="20"/>
                <w:szCs w:val="20"/>
                <w:lang w:val="en-US"/>
              </w:rPr>
              <w:tab/>
              <w:t>High resistance to multipath effects</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M.1034,</w:t>
            </w:r>
            <w:r w:rsidRPr="001D6A78">
              <w:rPr>
                <w:sz w:val="20"/>
                <w:szCs w:val="20"/>
                <w:lang w:val="en-US"/>
              </w:rPr>
              <w:br/>
              <w:t>§ 12.3.1</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446"/>
              </w:tabs>
              <w:ind w:left="446" w:hanging="446"/>
              <w:rPr>
                <w:sz w:val="20"/>
                <w:szCs w:val="20"/>
                <w:lang w:val="en-US"/>
              </w:rPr>
            </w:pPr>
            <w:r w:rsidRPr="001D6A78">
              <w:rPr>
                <w:sz w:val="20"/>
                <w:szCs w:val="20"/>
                <w:lang w:val="en-US"/>
              </w:rPr>
              <w:t>19.</w:t>
            </w:r>
            <w:r w:rsidRPr="001D6A78">
              <w:rPr>
                <w:sz w:val="20"/>
                <w:szCs w:val="20"/>
                <w:lang w:val="en-US"/>
              </w:rPr>
              <w:tab/>
              <w:t>Support appropriate vehicle speeds (as per § 7)</w:t>
            </w:r>
            <w:r w:rsidRPr="001D6A78">
              <w:rPr>
                <w:sz w:val="20"/>
                <w:szCs w:val="20"/>
                <w:lang w:val="en-US"/>
              </w:rPr>
              <w:br/>
              <w:t>NOTE − Applicable to both terrestrial and satellite proposals</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M.1034.</w:t>
            </w:r>
            <w:r w:rsidRPr="001D6A78">
              <w:rPr>
                <w:sz w:val="20"/>
                <w:szCs w:val="20"/>
                <w:lang w:val="en-US"/>
              </w:rPr>
              <w:br/>
              <w:t>§ 12.3.2</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446"/>
              </w:tabs>
              <w:rPr>
                <w:sz w:val="20"/>
                <w:szCs w:val="20"/>
                <w:lang w:val="en-US"/>
              </w:rPr>
            </w:pPr>
            <w:r w:rsidRPr="001D6A78">
              <w:rPr>
                <w:sz w:val="20"/>
                <w:szCs w:val="20"/>
                <w:lang w:val="en-US"/>
              </w:rPr>
              <w:t>20.</w:t>
            </w:r>
            <w:r w:rsidRPr="001D6A78">
              <w:rPr>
                <w:sz w:val="20"/>
                <w:szCs w:val="20"/>
                <w:lang w:val="en-US"/>
              </w:rPr>
              <w:tab/>
              <w:t>Support possibility of equipment from different vendors</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M.1034,</w:t>
            </w:r>
            <w:r w:rsidRPr="001D6A78">
              <w:rPr>
                <w:sz w:val="20"/>
                <w:szCs w:val="20"/>
                <w:lang w:val="en-US"/>
              </w:rPr>
              <w:br/>
              <w:t>§ 12.1.3</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446"/>
              </w:tabs>
              <w:ind w:left="446" w:hanging="446"/>
              <w:rPr>
                <w:sz w:val="20"/>
                <w:szCs w:val="20"/>
                <w:lang w:val="en-US"/>
              </w:rPr>
            </w:pPr>
            <w:r w:rsidRPr="001D6A78">
              <w:rPr>
                <w:sz w:val="20"/>
                <w:szCs w:val="20"/>
                <w:lang w:val="en-US"/>
              </w:rPr>
              <w:t>21.</w:t>
            </w:r>
            <w:r w:rsidRPr="001D6A78">
              <w:rPr>
                <w:sz w:val="20"/>
                <w:szCs w:val="20"/>
                <w:lang w:val="en-US"/>
              </w:rPr>
              <w:tab/>
              <w:t>Offer operational reliability at least as good as 2</w:t>
            </w:r>
            <w:r w:rsidRPr="001D6A78">
              <w:rPr>
                <w:sz w:val="20"/>
                <w:szCs w:val="20"/>
                <w:vertAlign w:val="superscript"/>
                <w:lang w:val="en-US"/>
              </w:rPr>
              <w:t>nd</w:t>
            </w:r>
            <w:r w:rsidRPr="001D6A78">
              <w:rPr>
                <w:sz w:val="20"/>
                <w:szCs w:val="20"/>
                <w:lang w:val="en-US"/>
              </w:rPr>
              <w:t> generation mobile systems</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M.1034,</w:t>
            </w:r>
            <w:r w:rsidRPr="001D6A78">
              <w:rPr>
                <w:sz w:val="20"/>
                <w:szCs w:val="20"/>
                <w:lang w:val="en-US"/>
              </w:rPr>
              <w:br/>
              <w:t>§ 12.3.5</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446"/>
              </w:tabs>
              <w:ind w:left="446" w:hanging="446"/>
              <w:rPr>
                <w:sz w:val="20"/>
                <w:szCs w:val="20"/>
                <w:lang w:val="en-US"/>
              </w:rPr>
            </w:pPr>
            <w:r w:rsidRPr="001D6A78">
              <w:rPr>
                <w:sz w:val="20"/>
                <w:szCs w:val="20"/>
                <w:lang w:val="en-US"/>
              </w:rPr>
              <w:t>22.</w:t>
            </w:r>
            <w:r w:rsidRPr="001D6A78">
              <w:rPr>
                <w:sz w:val="20"/>
                <w:szCs w:val="20"/>
                <w:lang w:val="en-US"/>
              </w:rPr>
              <w:tab/>
              <w:t>Ability to use terminal to access services in more than one environment, desirable to access services from one terminal in all environments</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Obj</w:t>
            </w:r>
            <w:proofErr w:type="spellEnd"/>
          </w:p>
        </w:tc>
        <w:tc>
          <w:tcPr>
            <w:tcW w:w="1170" w:type="dxa"/>
            <w:tcBorders>
              <w:top w:val="single" w:sz="6" w:space="0" w:color="auto"/>
              <w:left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M.1035,</w:t>
            </w:r>
            <w:r w:rsidRPr="001D6A78">
              <w:rPr>
                <w:sz w:val="20"/>
                <w:szCs w:val="20"/>
                <w:lang w:val="en-US"/>
              </w:rPr>
              <w:br/>
              <w:t>§ 7.1</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446"/>
              </w:tabs>
              <w:ind w:left="446" w:hanging="446"/>
              <w:rPr>
                <w:sz w:val="20"/>
                <w:szCs w:val="20"/>
                <w:lang w:val="en-US"/>
              </w:rPr>
            </w:pPr>
            <w:r w:rsidRPr="001D6A78">
              <w:rPr>
                <w:sz w:val="20"/>
                <w:szCs w:val="20"/>
                <w:lang w:val="en-US"/>
              </w:rPr>
              <w:t>23.</w:t>
            </w:r>
            <w:r w:rsidRPr="001D6A78">
              <w:rPr>
                <w:sz w:val="20"/>
                <w:szCs w:val="20"/>
                <w:lang w:val="en-US"/>
              </w:rPr>
              <w:tab/>
              <w:t>End-to-end quality during handover comparable to fixed services</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Obj</w:t>
            </w:r>
            <w:proofErr w:type="spellEnd"/>
          </w:p>
        </w:tc>
        <w:tc>
          <w:tcPr>
            <w:tcW w:w="1170" w:type="dxa"/>
            <w:tcBorders>
              <w:top w:val="single" w:sz="6" w:space="0" w:color="auto"/>
              <w:left w:val="single" w:sz="6" w:space="0" w:color="auto"/>
              <w:bottom w:val="single" w:sz="4"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M.1034-1 § 11.2.3.4</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446"/>
              </w:tabs>
              <w:ind w:left="446" w:hanging="446"/>
              <w:rPr>
                <w:sz w:val="20"/>
                <w:szCs w:val="20"/>
                <w:lang w:val="en-US"/>
              </w:rPr>
            </w:pPr>
            <w:r w:rsidRPr="001D6A78">
              <w:rPr>
                <w:sz w:val="20"/>
                <w:szCs w:val="20"/>
                <w:lang w:val="en-US"/>
              </w:rPr>
              <w:t>24.</w:t>
            </w:r>
            <w:r w:rsidRPr="001D6A78">
              <w:rPr>
                <w:sz w:val="20"/>
                <w:szCs w:val="20"/>
                <w:lang w:val="en-US"/>
              </w:rPr>
              <w:tab/>
              <w:t>Support multiple operator networks in a geographic area without requiring time synchronization</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Obj</w:t>
            </w:r>
            <w:proofErr w:type="spellEnd"/>
          </w:p>
        </w:tc>
        <w:tc>
          <w:tcPr>
            <w:tcW w:w="1170" w:type="dxa"/>
            <w:tcBorders>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446"/>
              </w:tabs>
              <w:ind w:left="446" w:hanging="446"/>
              <w:rPr>
                <w:sz w:val="20"/>
                <w:szCs w:val="20"/>
                <w:lang w:val="en-US"/>
              </w:rPr>
            </w:pPr>
            <w:r w:rsidRPr="001D6A78">
              <w:rPr>
                <w:sz w:val="20"/>
                <w:szCs w:val="20"/>
                <w:lang w:val="en-US"/>
              </w:rPr>
              <w:t>25.</w:t>
            </w:r>
            <w:r w:rsidRPr="001D6A78">
              <w:rPr>
                <w:sz w:val="20"/>
                <w:szCs w:val="20"/>
                <w:lang w:val="en-US"/>
              </w:rPr>
              <w:tab/>
              <w:t>Layer 3 contains functions such as call control, mobility management and radio resource management some of which are radio dependent.  It is desirable to maintain layer 3 radio transmission independent as far as possible</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rPr>
            </w:pPr>
            <w:proofErr w:type="spellStart"/>
            <w:r w:rsidRPr="001D6A78">
              <w:rPr>
                <w:sz w:val="20"/>
                <w:szCs w:val="20"/>
              </w:rPr>
              <w:t>Obj</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M.1035,</w:t>
            </w:r>
            <w:r w:rsidRPr="001D6A78">
              <w:rPr>
                <w:sz w:val="20"/>
                <w:szCs w:val="20"/>
                <w:lang w:val="en-US"/>
              </w:rPr>
              <w:br/>
              <w:t>§ 8</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446"/>
              </w:tabs>
              <w:ind w:left="446" w:hanging="446"/>
              <w:rPr>
                <w:sz w:val="20"/>
                <w:szCs w:val="20"/>
                <w:lang w:val="en-US"/>
              </w:rPr>
            </w:pPr>
            <w:r w:rsidRPr="001D6A78">
              <w:rPr>
                <w:sz w:val="20"/>
                <w:szCs w:val="20"/>
                <w:lang w:val="en-US"/>
              </w:rPr>
              <w:t>26.</w:t>
            </w:r>
            <w:r w:rsidRPr="001D6A78">
              <w:rPr>
                <w:sz w:val="20"/>
                <w:szCs w:val="20"/>
                <w:lang w:val="en-US"/>
              </w:rPr>
              <w:tab/>
              <w:t>Desirable that transmission quality requirements from the upper layer to physical layers be common for all services</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rPr>
            </w:pPr>
            <w:r w:rsidRPr="001D6A78">
              <w:rPr>
                <w:sz w:val="20"/>
                <w:szCs w:val="20"/>
                <w:lang w:val="en-US"/>
              </w:rPr>
              <w:t>Ob</w:t>
            </w:r>
            <w:r w:rsidRPr="001D6A78">
              <w:rPr>
                <w:sz w:val="20"/>
                <w:szCs w:val="20"/>
              </w:rPr>
              <w:t>j</w:t>
            </w:r>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M.1035,</w:t>
            </w:r>
            <w:r w:rsidRPr="001D6A78">
              <w:rPr>
                <w:sz w:val="20"/>
                <w:szCs w:val="20"/>
                <w:lang w:val="en-US"/>
              </w:rPr>
              <w:br/>
              <w:t>§ 8.1</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446"/>
              </w:tabs>
              <w:ind w:left="446" w:hanging="446"/>
              <w:rPr>
                <w:sz w:val="20"/>
                <w:szCs w:val="20"/>
                <w:lang w:val="en-US"/>
              </w:rPr>
            </w:pPr>
            <w:r w:rsidRPr="001D6A78">
              <w:rPr>
                <w:sz w:val="20"/>
                <w:szCs w:val="20"/>
                <w:lang w:val="en-US"/>
              </w:rPr>
              <w:t>27.</w:t>
            </w:r>
            <w:r w:rsidRPr="001D6A78">
              <w:rPr>
                <w:sz w:val="20"/>
                <w:szCs w:val="20"/>
                <w:lang w:val="en-US"/>
              </w:rPr>
              <w:tab/>
              <w:t>The link access control layer should as far as possible not contain radio transmission dependent functions</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Obj</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M.1035,</w:t>
            </w:r>
            <w:r w:rsidRPr="001D6A78">
              <w:rPr>
                <w:sz w:val="20"/>
                <w:szCs w:val="20"/>
                <w:lang w:val="en-US"/>
              </w:rPr>
              <w:br/>
              <w:t>§ 8.3</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446"/>
              </w:tabs>
              <w:ind w:left="446" w:hanging="446"/>
              <w:rPr>
                <w:sz w:val="20"/>
                <w:szCs w:val="20"/>
                <w:lang w:val="en-US"/>
              </w:rPr>
            </w:pPr>
            <w:r w:rsidRPr="001D6A78">
              <w:rPr>
                <w:sz w:val="20"/>
                <w:szCs w:val="20"/>
                <w:lang w:val="en-US"/>
              </w:rPr>
              <w:t>28.</w:t>
            </w:r>
            <w:r w:rsidRPr="001D6A78">
              <w:rPr>
                <w:sz w:val="20"/>
                <w:szCs w:val="20"/>
                <w:lang w:val="en-US"/>
              </w:rPr>
              <w:tab/>
              <w:t>Traffic channels should offer a functionally equivalent capability to the ISDN B channels</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Obj</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M.1035,</w:t>
            </w:r>
            <w:r w:rsidRPr="001D6A78">
              <w:rPr>
                <w:sz w:val="20"/>
                <w:szCs w:val="20"/>
                <w:lang w:val="en-US"/>
              </w:rPr>
              <w:br/>
              <w:t>§ 9.3.2</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bl>
    <w:p w:rsidR="007F154F" w:rsidRDefault="007F154F"/>
    <w:tbl>
      <w:tblPr>
        <w:tblW w:w="0" w:type="auto"/>
        <w:jc w:val="center"/>
        <w:tblLayout w:type="fixed"/>
        <w:tblCellMar>
          <w:left w:w="72" w:type="dxa"/>
          <w:right w:w="72" w:type="dxa"/>
        </w:tblCellMar>
        <w:tblLook w:val="0000" w:firstRow="0" w:lastRow="0" w:firstColumn="0" w:lastColumn="0" w:noHBand="0" w:noVBand="0"/>
      </w:tblPr>
      <w:tblGrid>
        <w:gridCol w:w="6030"/>
        <w:gridCol w:w="1152"/>
        <w:gridCol w:w="1170"/>
        <w:gridCol w:w="810"/>
      </w:tblGrid>
      <w:tr w:rsidR="007F154F" w:rsidRPr="007F154F" w:rsidTr="007F154F">
        <w:trPr>
          <w:jc w:val="center"/>
        </w:trPr>
        <w:tc>
          <w:tcPr>
            <w:tcW w:w="6030" w:type="dxa"/>
            <w:tcBorders>
              <w:top w:val="single" w:sz="6" w:space="0" w:color="auto"/>
              <w:left w:val="single" w:sz="6" w:space="0" w:color="auto"/>
              <w:bottom w:val="single" w:sz="6" w:space="0" w:color="auto"/>
              <w:right w:val="single" w:sz="6" w:space="0" w:color="auto"/>
            </w:tcBorders>
          </w:tcPr>
          <w:p w:rsidR="007F154F" w:rsidRPr="007F154F" w:rsidRDefault="007F154F" w:rsidP="007F154F">
            <w:pPr>
              <w:pStyle w:val="TableText0"/>
              <w:tabs>
                <w:tab w:val="clear" w:pos="284"/>
                <w:tab w:val="left" w:pos="446"/>
              </w:tabs>
              <w:ind w:left="446" w:hanging="446"/>
              <w:jc w:val="center"/>
              <w:rPr>
                <w:b/>
                <w:bCs/>
                <w:sz w:val="20"/>
                <w:szCs w:val="20"/>
                <w:lang w:val="en-US"/>
              </w:rPr>
            </w:pPr>
            <w:r w:rsidRPr="007F154F">
              <w:rPr>
                <w:b/>
                <w:bCs/>
                <w:sz w:val="20"/>
                <w:szCs w:val="20"/>
                <w:lang w:val="en-US"/>
              </w:rPr>
              <w:lastRenderedPageBreak/>
              <w:t>IMT-2000 Item Description</w:t>
            </w:r>
          </w:p>
        </w:tc>
        <w:tc>
          <w:tcPr>
            <w:tcW w:w="1152" w:type="dxa"/>
            <w:tcBorders>
              <w:top w:val="single" w:sz="6" w:space="0" w:color="auto"/>
              <w:left w:val="single" w:sz="6" w:space="0" w:color="auto"/>
              <w:bottom w:val="single" w:sz="6" w:space="0" w:color="auto"/>
              <w:right w:val="single" w:sz="6" w:space="0" w:color="auto"/>
            </w:tcBorders>
          </w:tcPr>
          <w:p w:rsidR="007F154F" w:rsidRPr="007F154F" w:rsidRDefault="007F154F" w:rsidP="007F154F">
            <w:pPr>
              <w:pStyle w:val="TableText0"/>
              <w:jc w:val="center"/>
              <w:rPr>
                <w:b/>
                <w:bCs/>
                <w:sz w:val="20"/>
                <w:szCs w:val="20"/>
                <w:lang w:val="en-US"/>
              </w:rPr>
            </w:pPr>
            <w:proofErr w:type="spellStart"/>
            <w:r w:rsidRPr="007F154F">
              <w:rPr>
                <w:b/>
                <w:bCs/>
                <w:sz w:val="20"/>
                <w:szCs w:val="20"/>
                <w:lang w:val="en-US"/>
              </w:rPr>
              <w:t>Obj</w:t>
            </w:r>
            <w:proofErr w:type="spellEnd"/>
            <w:r w:rsidRPr="007F154F">
              <w:rPr>
                <w:b/>
                <w:bCs/>
                <w:sz w:val="20"/>
                <w:szCs w:val="20"/>
                <w:lang w:val="en-US"/>
              </w:rPr>
              <w:t>/</w:t>
            </w:r>
            <w:proofErr w:type="spellStart"/>
            <w:r w:rsidRPr="007F154F">
              <w:rPr>
                <w:b/>
                <w:bCs/>
                <w:sz w:val="20"/>
                <w:szCs w:val="20"/>
                <w:lang w:val="en-US"/>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7F154F" w:rsidRPr="007F154F" w:rsidRDefault="007F154F" w:rsidP="007F154F">
            <w:pPr>
              <w:pStyle w:val="TableText0"/>
              <w:jc w:val="center"/>
              <w:rPr>
                <w:b/>
                <w:bCs/>
                <w:sz w:val="20"/>
                <w:szCs w:val="20"/>
                <w:lang w:val="en-US"/>
              </w:rPr>
            </w:pPr>
            <w:r w:rsidRPr="007F154F">
              <w:rPr>
                <w:b/>
                <w:bCs/>
                <w:sz w:val="20"/>
                <w:szCs w:val="20"/>
                <w:lang w:val="en-US"/>
              </w:rPr>
              <w:t>Source</w:t>
            </w:r>
          </w:p>
        </w:tc>
        <w:tc>
          <w:tcPr>
            <w:tcW w:w="810" w:type="dxa"/>
            <w:tcBorders>
              <w:top w:val="single" w:sz="6" w:space="0" w:color="auto"/>
              <w:left w:val="single" w:sz="6" w:space="0" w:color="auto"/>
              <w:bottom w:val="single" w:sz="6" w:space="0" w:color="auto"/>
              <w:right w:val="single" w:sz="6" w:space="0" w:color="auto"/>
            </w:tcBorders>
          </w:tcPr>
          <w:p w:rsidR="007F154F" w:rsidRPr="007F154F" w:rsidRDefault="007F154F" w:rsidP="007F154F">
            <w:pPr>
              <w:jc w:val="center"/>
              <w:rPr>
                <w:b/>
                <w:bCs/>
                <w:sz w:val="20"/>
              </w:rPr>
            </w:pPr>
            <w:r w:rsidRPr="007F154F">
              <w:rPr>
                <w:b/>
                <w:bCs/>
                <w:sz w:val="20"/>
              </w:rPr>
              <w:t>Meets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446"/>
              </w:tabs>
              <w:ind w:left="446" w:hanging="446"/>
              <w:rPr>
                <w:sz w:val="20"/>
                <w:szCs w:val="20"/>
                <w:lang w:val="en-US"/>
              </w:rPr>
            </w:pPr>
            <w:r w:rsidRPr="001D6A78">
              <w:rPr>
                <w:sz w:val="20"/>
                <w:szCs w:val="20"/>
                <w:lang w:val="en-US"/>
              </w:rPr>
              <w:t>29.</w:t>
            </w:r>
            <w:r w:rsidRPr="001D6A78">
              <w:rPr>
                <w:sz w:val="20"/>
                <w:szCs w:val="20"/>
                <w:lang w:val="en-US"/>
              </w:rPr>
              <w:tab/>
              <w:t>Continually measure the radio link quality on forward and reverse channels</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Obj</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M.1035,</w:t>
            </w:r>
            <w:r w:rsidRPr="001D6A78">
              <w:rPr>
                <w:sz w:val="20"/>
                <w:szCs w:val="20"/>
                <w:lang w:val="en-US"/>
              </w:rPr>
              <w:br/>
              <w:t>§ 11.1</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446"/>
              </w:tabs>
              <w:ind w:left="446" w:hanging="446"/>
              <w:rPr>
                <w:sz w:val="20"/>
                <w:szCs w:val="20"/>
                <w:lang w:val="en-US"/>
              </w:rPr>
            </w:pPr>
            <w:r w:rsidRPr="001D6A78">
              <w:rPr>
                <w:sz w:val="20"/>
                <w:szCs w:val="20"/>
                <w:lang w:val="en-US"/>
              </w:rPr>
              <w:t>30.</w:t>
            </w:r>
            <w:r w:rsidRPr="001D6A78">
              <w:rPr>
                <w:sz w:val="20"/>
                <w:szCs w:val="20"/>
                <w:lang w:val="en-US"/>
              </w:rPr>
              <w:tab/>
              <w:t>Facilitate the implementation and use of terminal battery saving techniques</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Obj</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M.1035,</w:t>
            </w:r>
            <w:r w:rsidRPr="001D6A78">
              <w:rPr>
                <w:sz w:val="20"/>
                <w:szCs w:val="20"/>
                <w:lang w:val="en-US"/>
              </w:rPr>
              <w:br/>
              <w:t>§ 12.5</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446"/>
              </w:tabs>
              <w:rPr>
                <w:sz w:val="20"/>
                <w:szCs w:val="20"/>
                <w:lang w:val="en-US"/>
              </w:rPr>
            </w:pPr>
            <w:r w:rsidRPr="001D6A78">
              <w:rPr>
                <w:sz w:val="20"/>
                <w:szCs w:val="20"/>
                <w:lang w:val="en-US"/>
              </w:rPr>
              <w:t>31.</w:t>
            </w:r>
            <w:r w:rsidRPr="001D6A78">
              <w:rPr>
                <w:sz w:val="20"/>
                <w:szCs w:val="20"/>
                <w:lang w:val="en-US"/>
              </w:rPr>
              <w:tab/>
              <w:t>Accommodate various types of  traffic and traffic mixes</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Obj</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M.1036,</w:t>
            </w:r>
            <w:r w:rsidRPr="001D6A78">
              <w:rPr>
                <w:sz w:val="20"/>
                <w:szCs w:val="20"/>
                <w:lang w:val="en-US"/>
              </w:rPr>
              <w:br/>
              <w:t>§ 1.10</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Yes</w:t>
            </w:r>
          </w:p>
        </w:tc>
      </w:tr>
      <w:tr w:rsidR="00E47578" w:rsidRPr="001D6A78">
        <w:trPr>
          <w:jc w:val="center"/>
        </w:trPr>
        <w:tc>
          <w:tcPr>
            <w:tcW w:w="9162" w:type="dxa"/>
            <w:gridSpan w:val="4"/>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b/>
                <w:sz w:val="20"/>
                <w:szCs w:val="20"/>
                <w:lang w:val="en-US"/>
              </w:rPr>
              <w:t>Application of IMT-2000 for fixed services and developing countries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488"/>
              </w:tabs>
              <w:ind w:left="488" w:hanging="488"/>
              <w:rPr>
                <w:sz w:val="20"/>
                <w:szCs w:val="20"/>
                <w:lang w:val="en-US"/>
              </w:rPr>
            </w:pPr>
            <w:r w:rsidRPr="001D6A78">
              <w:rPr>
                <w:sz w:val="20"/>
                <w:szCs w:val="20"/>
                <w:lang w:val="en-US"/>
              </w:rPr>
              <w:t>32.</w:t>
            </w:r>
            <w:r w:rsidRPr="001D6A78">
              <w:rPr>
                <w:sz w:val="20"/>
                <w:szCs w:val="20"/>
                <w:lang w:val="en-US"/>
              </w:rPr>
              <w:tab/>
              <w:t>Repeaters for covering long distances between terminals and base stations, small rural exchanges with wireless trunks etc.</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M.819-1,</w:t>
            </w:r>
            <w:r w:rsidRPr="001D6A78">
              <w:rPr>
                <w:sz w:val="20"/>
                <w:szCs w:val="20"/>
                <w:lang w:val="en-US"/>
              </w:rPr>
              <w:br/>
              <w:t>Table 1</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488"/>
              </w:tabs>
              <w:ind w:left="488" w:hanging="488"/>
              <w:rPr>
                <w:sz w:val="20"/>
                <w:szCs w:val="20"/>
                <w:lang w:val="en-US"/>
              </w:rPr>
            </w:pPr>
            <w:r w:rsidRPr="001D6A78">
              <w:rPr>
                <w:sz w:val="20"/>
                <w:szCs w:val="20"/>
                <w:lang w:val="en-US"/>
              </w:rPr>
              <w:t>33.</w:t>
            </w:r>
            <w:r w:rsidRPr="001D6A78">
              <w:rPr>
                <w:sz w:val="20"/>
                <w:szCs w:val="20"/>
                <w:lang w:val="en-US"/>
              </w:rPr>
              <w:tab/>
              <w:t>Withstand rugged outdoor environment with wide temperature and humidity variations</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M.819-1,</w:t>
            </w:r>
            <w:r w:rsidRPr="001D6A78">
              <w:rPr>
                <w:sz w:val="20"/>
                <w:szCs w:val="20"/>
                <w:lang w:val="en-US"/>
              </w:rPr>
              <w:br/>
              <w:t>Table 1</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488"/>
              </w:tabs>
              <w:ind w:left="488" w:hanging="488"/>
              <w:rPr>
                <w:sz w:val="20"/>
                <w:szCs w:val="20"/>
                <w:lang w:val="en-US"/>
              </w:rPr>
            </w:pPr>
            <w:r w:rsidRPr="001D6A78">
              <w:rPr>
                <w:sz w:val="20"/>
                <w:szCs w:val="20"/>
                <w:lang w:val="en-US"/>
              </w:rPr>
              <w:t>34.</w:t>
            </w:r>
            <w:r w:rsidRPr="001D6A78">
              <w:rPr>
                <w:sz w:val="20"/>
                <w:szCs w:val="20"/>
                <w:lang w:val="en-US"/>
              </w:rPr>
              <w:tab/>
              <w:t>Provision of service to fixed users in either rural or urban areas</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Obj</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M.819-1,</w:t>
            </w:r>
            <w:r w:rsidRPr="001D6A78">
              <w:rPr>
                <w:sz w:val="20"/>
                <w:szCs w:val="20"/>
                <w:lang w:val="en-US"/>
              </w:rPr>
              <w:br/>
              <w:t>§ 4.1</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488"/>
              </w:tabs>
              <w:rPr>
                <w:sz w:val="20"/>
                <w:szCs w:val="20"/>
                <w:lang w:val="en-US"/>
              </w:rPr>
            </w:pPr>
            <w:r w:rsidRPr="001D6A78">
              <w:rPr>
                <w:sz w:val="20"/>
                <w:szCs w:val="20"/>
                <w:lang w:val="en-US"/>
              </w:rPr>
              <w:t>35.</w:t>
            </w:r>
            <w:r w:rsidRPr="001D6A78">
              <w:rPr>
                <w:sz w:val="20"/>
                <w:szCs w:val="20"/>
                <w:lang w:val="en-US"/>
              </w:rPr>
              <w:tab/>
              <w:t>Coverage for large cells (terrestrial)</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Obj</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M.819-1,</w:t>
            </w:r>
            <w:r w:rsidRPr="001D6A78">
              <w:rPr>
                <w:sz w:val="20"/>
                <w:szCs w:val="20"/>
                <w:lang w:val="en-US"/>
              </w:rPr>
              <w:br/>
              <w:t>§ 7.2</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488"/>
              </w:tabs>
              <w:rPr>
                <w:sz w:val="20"/>
                <w:szCs w:val="20"/>
                <w:lang w:val="en-US"/>
              </w:rPr>
            </w:pPr>
            <w:r w:rsidRPr="001D6A78">
              <w:rPr>
                <w:sz w:val="20"/>
                <w:szCs w:val="20"/>
                <w:lang w:val="en-US"/>
              </w:rPr>
              <w:t>36.</w:t>
            </w:r>
            <w:r w:rsidRPr="001D6A78">
              <w:rPr>
                <w:sz w:val="20"/>
                <w:szCs w:val="20"/>
                <w:lang w:val="en-US"/>
              </w:rPr>
              <w:tab/>
              <w:t>Support for higher encoding bit rates for remote areas</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Obj</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M.819-1,</w:t>
            </w:r>
            <w:r w:rsidRPr="001D6A78">
              <w:rPr>
                <w:sz w:val="20"/>
                <w:szCs w:val="20"/>
                <w:lang w:val="en-US"/>
              </w:rPr>
              <w:br/>
              <w:t>§ 10.1</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9162" w:type="dxa"/>
            <w:gridSpan w:val="4"/>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b/>
                <w:sz w:val="20"/>
                <w:szCs w:val="20"/>
                <w:lang w:val="en-US"/>
              </w:rPr>
            </w:pPr>
            <w:r w:rsidRPr="001D6A78">
              <w:rPr>
                <w:b/>
                <w:sz w:val="20"/>
                <w:szCs w:val="20"/>
                <w:lang w:val="en-US"/>
              </w:rPr>
              <w:t>Satellite component (Not required for RTT submission)</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474"/>
              </w:tabs>
              <w:ind w:left="474" w:hanging="474"/>
              <w:rPr>
                <w:sz w:val="20"/>
                <w:szCs w:val="20"/>
                <w:lang w:val="en-US"/>
              </w:rPr>
            </w:pPr>
            <w:r w:rsidRPr="001D6A78">
              <w:rPr>
                <w:sz w:val="20"/>
                <w:szCs w:val="20"/>
                <w:lang w:val="en-US"/>
              </w:rPr>
              <w:t>37.</w:t>
            </w:r>
            <w:r w:rsidRPr="001D6A78">
              <w:rPr>
                <w:sz w:val="20"/>
                <w:szCs w:val="20"/>
                <w:lang w:val="en-US"/>
              </w:rPr>
              <w:tab/>
              <w:t>Links between the terrestrial and the satellite control elements for handover and exchange of other information</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M.818-1,</w:t>
            </w:r>
            <w:r w:rsidRPr="001D6A78">
              <w:rPr>
                <w:sz w:val="20"/>
                <w:szCs w:val="20"/>
                <w:lang w:val="en-US"/>
              </w:rPr>
              <w:br/>
              <w:t>§ 3.0</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N/A</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432"/>
              </w:tabs>
              <w:ind w:left="432" w:hanging="432"/>
              <w:rPr>
                <w:sz w:val="20"/>
                <w:szCs w:val="20"/>
                <w:lang w:val="en-US"/>
              </w:rPr>
            </w:pPr>
            <w:r w:rsidRPr="001D6A78">
              <w:rPr>
                <w:sz w:val="20"/>
                <w:szCs w:val="20"/>
                <w:lang w:val="en-US"/>
              </w:rPr>
              <w:t>38.</w:t>
            </w:r>
            <w:r w:rsidRPr="001D6A78">
              <w:rPr>
                <w:sz w:val="20"/>
                <w:szCs w:val="20"/>
                <w:lang w:val="en-US"/>
              </w:rPr>
              <w:tab/>
              <w:t>Take account for constraints for sharing frequency bands with other services (WARC-92)</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Obj</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rPr>
            </w:pPr>
            <w:r w:rsidRPr="001D6A78">
              <w:rPr>
                <w:sz w:val="20"/>
                <w:szCs w:val="20"/>
                <w:lang w:val="en-US"/>
              </w:rPr>
              <w:t>M.818-1,</w:t>
            </w:r>
            <w:r w:rsidRPr="001D6A78">
              <w:rPr>
                <w:sz w:val="20"/>
                <w:szCs w:val="20"/>
                <w:lang w:val="en-US"/>
              </w:rPr>
              <w:br/>
            </w:r>
            <w:r w:rsidRPr="001D6A78">
              <w:rPr>
                <w:sz w:val="20"/>
                <w:szCs w:val="20"/>
              </w:rPr>
              <w:t>§ 4.0</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rPr>
            </w:pPr>
            <w:r w:rsidRPr="001D6A78">
              <w:rPr>
                <w:sz w:val="20"/>
                <w:szCs w:val="20"/>
              </w:rPr>
              <w:t>N/A</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432"/>
              </w:tabs>
              <w:ind w:left="432" w:hanging="432"/>
              <w:rPr>
                <w:sz w:val="20"/>
                <w:szCs w:val="20"/>
                <w:lang w:val="en-US"/>
              </w:rPr>
            </w:pPr>
            <w:r w:rsidRPr="001D6A78">
              <w:rPr>
                <w:sz w:val="20"/>
                <w:szCs w:val="20"/>
                <w:lang w:val="en-US"/>
              </w:rPr>
              <w:t>39.</w:t>
            </w:r>
            <w:r w:rsidRPr="001D6A78">
              <w:rPr>
                <w:sz w:val="20"/>
                <w:szCs w:val="20"/>
                <w:lang w:val="en-US"/>
              </w:rPr>
              <w:tab/>
              <w:t>Compatible multiple access schemes for terrestrial and satellite components</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Obj</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M.818-1,</w:t>
            </w:r>
            <w:r w:rsidRPr="001D6A78">
              <w:rPr>
                <w:sz w:val="20"/>
                <w:szCs w:val="20"/>
                <w:lang w:val="en-US"/>
              </w:rPr>
              <w:br/>
              <w:t>§ 6.0</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N/A</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432"/>
              </w:tabs>
              <w:ind w:left="432" w:hanging="432"/>
              <w:rPr>
                <w:sz w:val="20"/>
                <w:szCs w:val="20"/>
                <w:lang w:val="en-US"/>
              </w:rPr>
            </w:pPr>
            <w:r w:rsidRPr="001D6A78">
              <w:rPr>
                <w:sz w:val="20"/>
                <w:szCs w:val="20"/>
                <w:lang w:val="en-US"/>
              </w:rPr>
              <w:t>40.</w:t>
            </w:r>
            <w:r w:rsidRPr="001D6A78">
              <w:rPr>
                <w:sz w:val="20"/>
                <w:szCs w:val="20"/>
                <w:lang w:val="en-US"/>
              </w:rPr>
              <w:tab/>
              <w:t>Service should be comparable quality to terrestrial component as far as possible</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Obj</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rPr>
            </w:pPr>
            <w:r w:rsidRPr="001D6A78">
              <w:rPr>
                <w:sz w:val="20"/>
                <w:szCs w:val="20"/>
                <w:lang w:val="en-US"/>
              </w:rPr>
              <w:t>M.818-1,</w:t>
            </w:r>
            <w:r w:rsidRPr="001D6A78">
              <w:rPr>
                <w:sz w:val="20"/>
                <w:szCs w:val="20"/>
                <w:lang w:val="en-US"/>
              </w:rPr>
              <w:br/>
              <w:t>§ 10.</w:t>
            </w:r>
            <w:r w:rsidRPr="001D6A78">
              <w:rPr>
                <w:sz w:val="20"/>
                <w:szCs w:val="20"/>
              </w:rPr>
              <w:t>0</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rPr>
            </w:pPr>
            <w:r w:rsidRPr="001D6A78">
              <w:rPr>
                <w:sz w:val="20"/>
                <w:szCs w:val="20"/>
              </w:rPr>
              <w:t>N/A</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432"/>
              </w:tabs>
              <w:rPr>
                <w:sz w:val="20"/>
                <w:szCs w:val="20"/>
                <w:lang w:val="en-US"/>
              </w:rPr>
            </w:pPr>
            <w:r w:rsidRPr="001D6A78">
              <w:rPr>
                <w:sz w:val="20"/>
                <w:szCs w:val="20"/>
                <w:lang w:val="en-US"/>
              </w:rPr>
              <w:t>41.</w:t>
            </w:r>
            <w:r w:rsidRPr="001D6A78">
              <w:rPr>
                <w:sz w:val="20"/>
                <w:szCs w:val="20"/>
                <w:lang w:val="en-US"/>
              </w:rPr>
              <w:tab/>
              <w:t>Use of satellites to serve large cells for fixed users</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Obj</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M.819-2,</w:t>
            </w:r>
            <w:r w:rsidRPr="001D6A78">
              <w:rPr>
                <w:sz w:val="20"/>
                <w:szCs w:val="20"/>
                <w:lang w:val="en-US"/>
              </w:rPr>
              <w:br/>
              <w:t>§ 7.1</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N/A</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432"/>
              </w:tabs>
              <w:ind w:left="432" w:hanging="432"/>
              <w:rPr>
                <w:sz w:val="20"/>
                <w:szCs w:val="20"/>
                <w:lang w:val="en-US"/>
              </w:rPr>
            </w:pPr>
            <w:r w:rsidRPr="001D6A78">
              <w:rPr>
                <w:sz w:val="20"/>
                <w:szCs w:val="20"/>
                <w:lang w:val="en-US"/>
              </w:rPr>
              <w:t>42.</w:t>
            </w:r>
            <w:r w:rsidRPr="001D6A78">
              <w:rPr>
                <w:sz w:val="20"/>
                <w:szCs w:val="20"/>
                <w:lang w:val="en-US"/>
              </w:rPr>
              <w:tab/>
              <w:t>Key features (e.g. coverage, optimization, number of systems)</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Obj</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M.1167,</w:t>
            </w:r>
            <w:r w:rsidRPr="001D6A78">
              <w:rPr>
                <w:sz w:val="20"/>
                <w:szCs w:val="20"/>
                <w:lang w:val="en-US"/>
              </w:rPr>
              <w:br/>
              <w:t>§ 6.1</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N/A</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432"/>
              </w:tabs>
              <w:rPr>
                <w:sz w:val="20"/>
                <w:szCs w:val="20"/>
                <w:lang w:val="en-US"/>
              </w:rPr>
            </w:pPr>
            <w:r w:rsidRPr="001D6A78">
              <w:rPr>
                <w:sz w:val="20"/>
                <w:szCs w:val="20"/>
                <w:lang w:val="en-US"/>
              </w:rPr>
              <w:t>43.</w:t>
            </w:r>
            <w:r w:rsidRPr="001D6A78">
              <w:rPr>
                <w:sz w:val="20"/>
                <w:szCs w:val="20"/>
                <w:lang w:val="en-US"/>
              </w:rPr>
              <w:tab/>
              <w:t>Radio interface general considerations</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M.1167,</w:t>
            </w:r>
            <w:r w:rsidRPr="001D6A78">
              <w:rPr>
                <w:sz w:val="20"/>
                <w:szCs w:val="20"/>
                <w:lang w:val="en-US"/>
              </w:rPr>
              <w:br/>
              <w:t>§ 8.1.1</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N/A</w:t>
            </w:r>
          </w:p>
        </w:tc>
      </w:tr>
      <w:tr w:rsidR="00E47578"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432"/>
              </w:tabs>
              <w:rPr>
                <w:sz w:val="20"/>
                <w:szCs w:val="20"/>
                <w:lang w:val="en-US"/>
              </w:rPr>
            </w:pPr>
            <w:r w:rsidRPr="001D6A78">
              <w:rPr>
                <w:sz w:val="20"/>
                <w:szCs w:val="20"/>
                <w:lang w:val="en-US"/>
              </w:rPr>
              <w:t>44.</w:t>
            </w:r>
            <w:r w:rsidRPr="001D6A78">
              <w:rPr>
                <w:sz w:val="20"/>
                <w:szCs w:val="20"/>
                <w:lang w:val="en-US"/>
              </w:rPr>
              <w:tab/>
              <w:t>Doppler effects</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M.1167,</w:t>
            </w:r>
            <w:r w:rsidRPr="001D6A78">
              <w:rPr>
                <w:sz w:val="20"/>
                <w:szCs w:val="20"/>
                <w:lang w:val="en-US"/>
              </w:rPr>
              <w:br/>
              <w:t>§ 8.1.2</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N/A</w:t>
            </w:r>
          </w:p>
        </w:tc>
      </w:tr>
    </w:tbl>
    <w:p w:rsidR="007F154F" w:rsidRDefault="007F154F" w:rsidP="00E47578">
      <w:pPr>
        <w:pStyle w:val="TableNo"/>
      </w:pPr>
    </w:p>
    <w:p w:rsidR="007F154F" w:rsidRDefault="007F154F">
      <w:pPr>
        <w:tabs>
          <w:tab w:val="clear" w:pos="1134"/>
          <w:tab w:val="clear" w:pos="1871"/>
          <w:tab w:val="clear" w:pos="2268"/>
        </w:tabs>
        <w:overflowPunct/>
        <w:autoSpaceDE/>
        <w:autoSpaceDN/>
        <w:adjustRightInd/>
        <w:spacing w:before="0"/>
        <w:textAlignment w:val="auto"/>
        <w:rPr>
          <w:caps/>
          <w:sz w:val="20"/>
        </w:rPr>
      </w:pPr>
      <w:r>
        <w:br w:type="page"/>
      </w:r>
    </w:p>
    <w:p w:rsidR="00E47578" w:rsidRDefault="00E47578" w:rsidP="00E47578">
      <w:pPr>
        <w:pStyle w:val="TableNo"/>
      </w:pPr>
      <w:r>
        <w:lastRenderedPageBreak/>
        <w:t>TABLE 3</w:t>
      </w:r>
    </w:p>
    <w:p w:rsidR="00E47578" w:rsidRDefault="00E47578" w:rsidP="00E47578">
      <w:pPr>
        <w:pStyle w:val="Tabletitle"/>
      </w:pPr>
      <w:r>
        <w:t xml:space="preserve">Subjective requirements and objectives relevant to the evaluation of candidate </w:t>
      </w:r>
      <w:r>
        <w:br/>
        <w:t>radio transmission technologies</w:t>
      </w:r>
    </w:p>
    <w:tbl>
      <w:tblPr>
        <w:tblW w:w="0" w:type="auto"/>
        <w:jc w:val="center"/>
        <w:tblLayout w:type="fixed"/>
        <w:tblCellMar>
          <w:left w:w="72" w:type="dxa"/>
          <w:right w:w="72" w:type="dxa"/>
        </w:tblCellMar>
        <w:tblLook w:val="0000" w:firstRow="0" w:lastRow="0" w:firstColumn="0" w:lastColumn="0" w:noHBand="0" w:noVBand="0"/>
      </w:tblPr>
      <w:tblGrid>
        <w:gridCol w:w="6040"/>
        <w:gridCol w:w="1152"/>
        <w:gridCol w:w="1178"/>
        <w:gridCol w:w="810"/>
      </w:tblGrid>
      <w:tr w:rsidR="00E47578" w:rsidRPr="001D6A78">
        <w:trPr>
          <w:jc w:val="center"/>
        </w:trPr>
        <w:tc>
          <w:tcPr>
            <w:tcW w:w="6040" w:type="dxa"/>
            <w:tcBorders>
              <w:top w:val="single" w:sz="4" w:space="0" w:color="auto"/>
              <w:left w:val="single" w:sz="4" w:space="0" w:color="auto"/>
              <w:bottom w:val="single" w:sz="4" w:space="0" w:color="auto"/>
              <w:right w:val="single" w:sz="4" w:space="0" w:color="auto"/>
            </w:tcBorders>
          </w:tcPr>
          <w:p w:rsidR="00E47578" w:rsidRPr="001D6A78" w:rsidRDefault="00E47578" w:rsidP="00E47578">
            <w:pPr>
              <w:pStyle w:val="TableHead0"/>
              <w:rPr>
                <w:sz w:val="20"/>
              </w:rPr>
            </w:pPr>
            <w:r w:rsidRPr="001D6A78">
              <w:rPr>
                <w:sz w:val="20"/>
              </w:rPr>
              <w:t>IMT-2000 Item Description</w:t>
            </w:r>
          </w:p>
        </w:tc>
        <w:tc>
          <w:tcPr>
            <w:tcW w:w="1152" w:type="dxa"/>
            <w:tcBorders>
              <w:top w:val="single" w:sz="6" w:space="0" w:color="auto"/>
              <w:left w:val="nil"/>
              <w:right w:val="single" w:sz="6" w:space="0" w:color="auto"/>
            </w:tcBorders>
          </w:tcPr>
          <w:p w:rsidR="00E47578" w:rsidRPr="001D6A78" w:rsidRDefault="00E47578" w:rsidP="00E47578">
            <w:pPr>
              <w:pStyle w:val="TableHead0"/>
              <w:rPr>
                <w:sz w:val="20"/>
              </w:rPr>
            </w:pPr>
            <w:proofErr w:type="spellStart"/>
            <w:r w:rsidRPr="001D6A78">
              <w:rPr>
                <w:sz w:val="20"/>
              </w:rPr>
              <w:t>Obj</w:t>
            </w:r>
            <w:proofErr w:type="spellEnd"/>
            <w:r w:rsidRPr="001D6A78">
              <w:rPr>
                <w:sz w:val="20"/>
              </w:rPr>
              <w:t>/</w:t>
            </w:r>
            <w:proofErr w:type="spellStart"/>
            <w:r w:rsidRPr="001D6A78">
              <w:rPr>
                <w:sz w:val="20"/>
              </w:rPr>
              <w:t>Req</w:t>
            </w:r>
            <w:proofErr w:type="spellEnd"/>
          </w:p>
        </w:tc>
        <w:tc>
          <w:tcPr>
            <w:tcW w:w="1178" w:type="dxa"/>
            <w:tcBorders>
              <w:top w:val="single" w:sz="6" w:space="0" w:color="auto"/>
              <w:left w:val="nil"/>
              <w:right w:val="single" w:sz="6" w:space="0" w:color="auto"/>
            </w:tcBorders>
          </w:tcPr>
          <w:p w:rsidR="00E47578" w:rsidRPr="001D6A78" w:rsidRDefault="00E47578" w:rsidP="00E47578">
            <w:pPr>
              <w:pStyle w:val="TableHead0"/>
              <w:rPr>
                <w:sz w:val="20"/>
              </w:rPr>
            </w:pPr>
            <w:r w:rsidRPr="001D6A78">
              <w:rPr>
                <w:sz w:val="20"/>
              </w:rPr>
              <w:t xml:space="preserve"> Source</w:t>
            </w:r>
          </w:p>
        </w:tc>
        <w:tc>
          <w:tcPr>
            <w:tcW w:w="810" w:type="dxa"/>
            <w:tcBorders>
              <w:top w:val="single" w:sz="6" w:space="0" w:color="auto"/>
              <w:left w:val="nil"/>
              <w:right w:val="single" w:sz="6" w:space="0" w:color="auto"/>
            </w:tcBorders>
          </w:tcPr>
          <w:p w:rsidR="00E47578" w:rsidRPr="001D6A78" w:rsidRDefault="00E47578" w:rsidP="00E47578">
            <w:pPr>
              <w:pStyle w:val="TableHead0"/>
              <w:rPr>
                <w:sz w:val="20"/>
              </w:rPr>
            </w:pPr>
            <w:r w:rsidRPr="001D6A78">
              <w:rPr>
                <w:sz w:val="20"/>
              </w:rPr>
              <w:t>Meets</w:t>
            </w:r>
          </w:p>
        </w:tc>
      </w:tr>
      <w:tr w:rsidR="00E47578" w:rsidRPr="001D6A78">
        <w:trPr>
          <w:jc w:val="center"/>
        </w:trPr>
        <w:tc>
          <w:tcPr>
            <w:tcW w:w="6040" w:type="dxa"/>
            <w:tcBorders>
              <w:left w:val="single" w:sz="6" w:space="0" w:color="auto"/>
              <w:bottom w:val="single" w:sz="6" w:space="0" w:color="auto"/>
              <w:right w:val="single" w:sz="6" w:space="0" w:color="auto"/>
            </w:tcBorders>
          </w:tcPr>
          <w:p w:rsidR="00E47578" w:rsidRPr="001D6A78" w:rsidRDefault="00E47578" w:rsidP="001D6A78">
            <w:pPr>
              <w:pStyle w:val="TableText0"/>
              <w:tabs>
                <w:tab w:val="clear" w:pos="284"/>
                <w:tab w:val="left" w:pos="371"/>
              </w:tabs>
              <w:ind w:left="371" w:hanging="371"/>
              <w:rPr>
                <w:sz w:val="20"/>
                <w:szCs w:val="20"/>
                <w:lang w:val="en-US"/>
              </w:rPr>
            </w:pPr>
            <w:r w:rsidRPr="001D6A78">
              <w:rPr>
                <w:sz w:val="20"/>
                <w:szCs w:val="20"/>
                <w:lang w:val="en-US"/>
              </w:rPr>
              <w:t>1.</w:t>
            </w:r>
            <w:r w:rsidRPr="001D6A78">
              <w:rPr>
                <w:sz w:val="20"/>
                <w:szCs w:val="20"/>
                <w:lang w:val="en-US"/>
              </w:rPr>
              <w:tab/>
              <w:t xml:space="preserve">Fixed </w:t>
            </w:r>
            <w:r w:rsidR="001D6A78" w:rsidRPr="001D6A78">
              <w:rPr>
                <w:sz w:val="20"/>
                <w:szCs w:val="20"/>
                <w:lang w:val="en-US"/>
              </w:rPr>
              <w:t>s</w:t>
            </w:r>
            <w:r w:rsidRPr="001D6A78">
              <w:rPr>
                <w:sz w:val="20"/>
                <w:szCs w:val="20"/>
                <w:lang w:val="en-US"/>
              </w:rPr>
              <w:t xml:space="preserve">ervice </w:t>
            </w:r>
            <w:r w:rsidR="001D6A78">
              <w:rPr>
                <w:sz w:val="20"/>
                <w:szCs w:val="20"/>
                <w:lang w:val="en-US"/>
              </w:rPr>
              <w:t>–</w:t>
            </w:r>
            <w:r w:rsidRPr="001D6A78">
              <w:rPr>
                <w:sz w:val="20"/>
                <w:szCs w:val="20"/>
                <w:lang w:val="en-US"/>
              </w:rPr>
              <w:t xml:space="preserve"> Power consumption as low as possible for solar and other sources</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8"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M.819-1.</w:t>
            </w:r>
            <w:r w:rsidRPr="001D6A78">
              <w:rPr>
                <w:sz w:val="20"/>
                <w:szCs w:val="20"/>
                <w:lang w:val="en-US"/>
              </w:rPr>
              <w:br/>
              <w:t>Table 1</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371"/>
              </w:tabs>
              <w:ind w:left="371" w:hanging="371"/>
              <w:rPr>
                <w:sz w:val="20"/>
                <w:szCs w:val="20"/>
                <w:lang w:val="en-US"/>
              </w:rPr>
            </w:pPr>
            <w:r w:rsidRPr="001D6A78">
              <w:rPr>
                <w:sz w:val="20"/>
                <w:szCs w:val="20"/>
                <w:lang w:val="en-US"/>
              </w:rPr>
              <w:t>2.</w:t>
            </w:r>
            <w:r w:rsidRPr="001D6A78">
              <w:rPr>
                <w:sz w:val="20"/>
                <w:szCs w:val="20"/>
                <w:lang w:val="en-US"/>
              </w:rPr>
              <w:tab/>
              <w:t>Minimize number of radio interfaces and radio sub-system complexity, maximize commonality (</w:t>
            </w:r>
            <w:r w:rsidR="001D6A78">
              <w:rPr>
                <w:sz w:val="20"/>
                <w:szCs w:val="20"/>
                <w:lang w:val="en-US"/>
              </w:rPr>
              <w:t>Recommendation ITU</w:t>
            </w:r>
            <w:r w:rsidR="001D6A78">
              <w:rPr>
                <w:sz w:val="20"/>
                <w:szCs w:val="20"/>
                <w:lang w:val="en-US"/>
              </w:rPr>
              <w:noBreakHyphen/>
              <w:t>R </w:t>
            </w:r>
            <w:r w:rsidRPr="001D6A78">
              <w:rPr>
                <w:sz w:val="20"/>
                <w:szCs w:val="20"/>
                <w:lang w:val="en-US"/>
              </w:rPr>
              <w:t>M.1035, § 7.1)</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8"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M.1034,</w:t>
            </w:r>
            <w:r w:rsidRPr="001D6A78">
              <w:rPr>
                <w:sz w:val="20"/>
                <w:szCs w:val="20"/>
                <w:lang w:val="en-US"/>
              </w:rPr>
              <w:br/>
              <w:t>§ 12.2.1</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371"/>
              </w:tabs>
              <w:rPr>
                <w:sz w:val="20"/>
                <w:szCs w:val="20"/>
                <w:lang w:val="en-US"/>
              </w:rPr>
            </w:pPr>
            <w:r w:rsidRPr="001D6A78">
              <w:rPr>
                <w:sz w:val="20"/>
                <w:szCs w:val="20"/>
                <w:lang w:val="en-US"/>
              </w:rPr>
              <w:t>3.</w:t>
            </w:r>
            <w:r w:rsidRPr="001D6A78">
              <w:rPr>
                <w:sz w:val="20"/>
                <w:szCs w:val="20"/>
                <w:lang w:val="en-US"/>
              </w:rPr>
              <w:tab/>
              <w:t>Minimize need for special interworking functions</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8"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M.1034,</w:t>
            </w:r>
            <w:r w:rsidRPr="001D6A78">
              <w:rPr>
                <w:sz w:val="20"/>
                <w:szCs w:val="20"/>
                <w:lang w:val="en-US"/>
              </w:rPr>
              <w:br/>
              <w:t>§ 12.2.4</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371"/>
              </w:tabs>
              <w:ind w:left="371" w:hanging="371"/>
              <w:rPr>
                <w:sz w:val="20"/>
                <w:szCs w:val="20"/>
                <w:lang w:val="en-US"/>
              </w:rPr>
            </w:pPr>
            <w:r w:rsidRPr="001D6A78">
              <w:rPr>
                <w:sz w:val="20"/>
                <w:szCs w:val="20"/>
                <w:lang w:val="en-US"/>
              </w:rPr>
              <w:t>4.</w:t>
            </w:r>
            <w:r w:rsidRPr="001D6A78">
              <w:rPr>
                <w:sz w:val="20"/>
                <w:szCs w:val="20"/>
                <w:lang w:val="en-US"/>
              </w:rPr>
              <w:tab/>
              <w:t>Minimum of frequency planning and inter-network coordination and simple resource management under time</w:t>
            </w:r>
            <w:r w:rsidRPr="001D6A78">
              <w:rPr>
                <w:sz w:val="20"/>
                <w:szCs w:val="20"/>
                <w:lang w:val="en-US"/>
              </w:rPr>
              <w:noBreakHyphen/>
              <w:t>varying traffic</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8"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M.1034,</w:t>
            </w:r>
            <w:r w:rsidRPr="001D6A78">
              <w:rPr>
                <w:sz w:val="20"/>
                <w:szCs w:val="20"/>
                <w:lang w:val="en-US"/>
              </w:rPr>
              <w:br/>
              <w:t>§ 12.2.6</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371"/>
              </w:tabs>
              <w:ind w:left="371" w:hanging="371"/>
              <w:rPr>
                <w:sz w:val="20"/>
                <w:szCs w:val="20"/>
                <w:lang w:val="en-US"/>
              </w:rPr>
            </w:pPr>
            <w:r w:rsidRPr="001D6A78">
              <w:rPr>
                <w:sz w:val="20"/>
                <w:szCs w:val="20"/>
                <w:lang w:val="en-US"/>
              </w:rPr>
              <w:t>5.</w:t>
            </w:r>
            <w:r w:rsidRPr="001D6A78">
              <w:rPr>
                <w:sz w:val="20"/>
                <w:szCs w:val="20"/>
                <w:lang w:val="en-US"/>
              </w:rPr>
              <w:tab/>
              <w:t xml:space="preserve">Support for traffic growth, phased functionality, new services </w:t>
            </w:r>
            <w:r w:rsidRPr="001D6A78">
              <w:rPr>
                <w:sz w:val="20"/>
                <w:szCs w:val="20"/>
                <w:lang w:val="en-US"/>
              </w:rPr>
              <w:br/>
              <w:t>or technology evolution</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8"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M.1034,</w:t>
            </w:r>
            <w:r w:rsidRPr="001D6A78">
              <w:rPr>
                <w:sz w:val="20"/>
                <w:szCs w:val="20"/>
                <w:lang w:val="en-US"/>
              </w:rPr>
              <w:br/>
              <w:t>§ 12.2.7</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371"/>
              </w:tabs>
              <w:ind w:left="371" w:hanging="371"/>
              <w:rPr>
                <w:sz w:val="20"/>
                <w:szCs w:val="20"/>
                <w:lang w:val="en-US"/>
              </w:rPr>
            </w:pPr>
            <w:r w:rsidRPr="001D6A78">
              <w:rPr>
                <w:sz w:val="20"/>
                <w:szCs w:val="20"/>
                <w:lang w:val="en-US"/>
              </w:rPr>
              <w:t>6.</w:t>
            </w:r>
            <w:r w:rsidRPr="001D6A78">
              <w:rPr>
                <w:sz w:val="20"/>
                <w:szCs w:val="20"/>
                <w:lang w:val="en-US"/>
              </w:rPr>
              <w:tab/>
              <w:t>Facilitate the use of appropriate diversity techniques avoiding significant complexity if possible</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8"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M.1034,</w:t>
            </w:r>
            <w:r w:rsidRPr="001D6A78">
              <w:rPr>
                <w:sz w:val="20"/>
                <w:szCs w:val="20"/>
                <w:lang w:val="en-US"/>
              </w:rPr>
              <w:br/>
              <w:t>§ 12.2.10</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371"/>
              </w:tabs>
              <w:rPr>
                <w:sz w:val="20"/>
                <w:szCs w:val="20"/>
                <w:lang w:val="en-US"/>
              </w:rPr>
            </w:pPr>
            <w:r w:rsidRPr="001D6A78">
              <w:rPr>
                <w:sz w:val="20"/>
                <w:szCs w:val="20"/>
                <w:lang w:val="en-US"/>
              </w:rPr>
              <w:t>7.</w:t>
            </w:r>
            <w:r w:rsidRPr="001D6A78">
              <w:rPr>
                <w:sz w:val="20"/>
                <w:szCs w:val="20"/>
                <w:lang w:val="en-US"/>
              </w:rPr>
              <w:tab/>
              <w:t>Maximize operational flexibility</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8"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M.1034,</w:t>
            </w:r>
            <w:r w:rsidRPr="001D6A78">
              <w:rPr>
                <w:sz w:val="20"/>
                <w:szCs w:val="20"/>
                <w:lang w:val="en-US"/>
              </w:rPr>
              <w:br/>
              <w:t>§ 12.2.11</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371"/>
              </w:tabs>
              <w:ind w:left="371" w:hanging="371"/>
              <w:rPr>
                <w:sz w:val="20"/>
                <w:szCs w:val="20"/>
                <w:lang w:val="en-US"/>
              </w:rPr>
            </w:pPr>
            <w:r w:rsidRPr="001D6A78">
              <w:rPr>
                <w:sz w:val="20"/>
                <w:szCs w:val="20"/>
                <w:lang w:val="en-US"/>
              </w:rPr>
              <w:t>8.</w:t>
            </w:r>
            <w:r w:rsidRPr="001D6A78">
              <w:rPr>
                <w:sz w:val="20"/>
                <w:szCs w:val="20"/>
                <w:lang w:val="en-US"/>
              </w:rPr>
              <w:tab/>
              <w:t xml:space="preserve">Designed for acceptable technological risk and minimal </w:t>
            </w:r>
            <w:r w:rsidRPr="001D6A78">
              <w:rPr>
                <w:sz w:val="20"/>
                <w:szCs w:val="20"/>
                <w:lang w:val="en-US"/>
              </w:rPr>
              <w:br/>
              <w:t>impact from faults</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Req</w:t>
            </w:r>
            <w:proofErr w:type="spellEnd"/>
          </w:p>
        </w:tc>
        <w:tc>
          <w:tcPr>
            <w:tcW w:w="1178"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M.1034,</w:t>
            </w:r>
            <w:r w:rsidRPr="001D6A78">
              <w:rPr>
                <w:sz w:val="20"/>
                <w:szCs w:val="20"/>
                <w:lang w:val="en-US"/>
              </w:rPr>
              <w:br/>
              <w:t>§ 12.2.12</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371"/>
              </w:tabs>
              <w:ind w:left="371" w:hanging="371"/>
              <w:rPr>
                <w:sz w:val="20"/>
                <w:szCs w:val="20"/>
                <w:lang w:val="en-US"/>
              </w:rPr>
            </w:pPr>
            <w:r w:rsidRPr="001D6A78">
              <w:rPr>
                <w:sz w:val="20"/>
                <w:szCs w:val="20"/>
                <w:lang w:val="en-US"/>
              </w:rPr>
              <w:t>9.</w:t>
            </w:r>
            <w:r w:rsidRPr="001D6A78">
              <w:rPr>
                <w:sz w:val="20"/>
                <w:szCs w:val="20"/>
                <w:lang w:val="en-US"/>
              </w:rPr>
              <w:tab/>
              <w:t xml:space="preserve">When several cell types are available, select the cell that </w:t>
            </w:r>
            <w:r w:rsidRPr="001D6A78">
              <w:rPr>
                <w:sz w:val="20"/>
                <w:szCs w:val="20"/>
                <w:lang w:val="en-US"/>
              </w:rPr>
              <w:br/>
              <w:t>is the most cost and capacity efficient</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Obj</w:t>
            </w:r>
            <w:proofErr w:type="spellEnd"/>
          </w:p>
        </w:tc>
        <w:tc>
          <w:tcPr>
            <w:tcW w:w="1178"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M.1034,</w:t>
            </w:r>
            <w:r w:rsidRPr="001D6A78">
              <w:rPr>
                <w:sz w:val="20"/>
                <w:szCs w:val="20"/>
                <w:lang w:val="en-US"/>
              </w:rPr>
              <w:br/>
              <w:t>§ 10.3.3</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r w:rsidR="00E47578"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tabs>
                <w:tab w:val="clear" w:pos="284"/>
                <w:tab w:val="left" w:pos="371"/>
              </w:tabs>
              <w:ind w:left="371" w:hanging="371"/>
              <w:rPr>
                <w:sz w:val="20"/>
                <w:szCs w:val="20"/>
                <w:lang w:val="en-US"/>
              </w:rPr>
            </w:pPr>
            <w:r w:rsidRPr="001D6A78">
              <w:rPr>
                <w:sz w:val="20"/>
                <w:szCs w:val="20"/>
                <w:lang w:val="en-US"/>
              </w:rPr>
              <w:t>10.</w:t>
            </w:r>
            <w:r w:rsidRPr="001D6A78">
              <w:rPr>
                <w:sz w:val="20"/>
                <w:szCs w:val="20"/>
                <w:lang w:val="en-US"/>
              </w:rPr>
              <w:tab/>
              <w:t xml:space="preserve">Minimize terminal costs, size and power consumption, </w:t>
            </w:r>
            <w:r w:rsidRPr="001D6A78">
              <w:rPr>
                <w:sz w:val="20"/>
                <w:szCs w:val="20"/>
                <w:lang w:val="en-US"/>
              </w:rPr>
              <w:br/>
              <w:t>where appropriate and consistent with other requirements</w:t>
            </w:r>
          </w:p>
        </w:tc>
        <w:tc>
          <w:tcPr>
            <w:tcW w:w="1152"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proofErr w:type="spellStart"/>
            <w:r w:rsidRPr="001D6A78">
              <w:rPr>
                <w:sz w:val="20"/>
                <w:szCs w:val="20"/>
                <w:lang w:val="en-US"/>
              </w:rPr>
              <w:t>Obj</w:t>
            </w:r>
            <w:proofErr w:type="spellEnd"/>
          </w:p>
        </w:tc>
        <w:tc>
          <w:tcPr>
            <w:tcW w:w="1178"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M.1036,</w:t>
            </w:r>
            <w:r w:rsidRPr="001D6A78">
              <w:rPr>
                <w:sz w:val="20"/>
                <w:szCs w:val="20"/>
                <w:lang w:val="en-US"/>
              </w:rPr>
              <w:br/>
              <w:t>§ 1.12</w:t>
            </w:r>
          </w:p>
        </w:tc>
        <w:tc>
          <w:tcPr>
            <w:tcW w:w="810" w:type="dxa"/>
            <w:tcBorders>
              <w:top w:val="single" w:sz="6" w:space="0" w:color="auto"/>
              <w:left w:val="single" w:sz="6" w:space="0" w:color="auto"/>
              <w:bottom w:val="single" w:sz="6" w:space="0" w:color="auto"/>
              <w:right w:val="single" w:sz="6" w:space="0" w:color="auto"/>
            </w:tcBorders>
          </w:tcPr>
          <w:p w:rsidR="00E47578" w:rsidRPr="001D6A78" w:rsidRDefault="00E47578" w:rsidP="00E47578">
            <w:pPr>
              <w:jc w:val="center"/>
              <w:rPr>
                <w:sz w:val="20"/>
              </w:rPr>
            </w:pPr>
            <w:r w:rsidRPr="001D6A78">
              <w:rPr>
                <w:sz w:val="20"/>
              </w:rPr>
              <w:t>Yes</w:t>
            </w:r>
          </w:p>
        </w:tc>
      </w:tr>
    </w:tbl>
    <w:p w:rsidR="007F154F" w:rsidRDefault="007F154F" w:rsidP="00E47578">
      <w:pPr>
        <w:pStyle w:val="TableNo"/>
      </w:pPr>
    </w:p>
    <w:p w:rsidR="00E47578" w:rsidRDefault="00E47578" w:rsidP="00E47578">
      <w:pPr>
        <w:pStyle w:val="TableNo"/>
      </w:pPr>
      <w:r>
        <w:t>TABLE 4</w:t>
      </w:r>
    </w:p>
    <w:p w:rsidR="00E47578" w:rsidRDefault="00E47578" w:rsidP="00E47578">
      <w:pPr>
        <w:pStyle w:val="Tabletitle"/>
      </w:pPr>
      <w:r>
        <w:t>Minimum performance capabilities</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3"/>
        <w:gridCol w:w="2550"/>
        <w:gridCol w:w="2790"/>
        <w:gridCol w:w="2592"/>
      </w:tblGrid>
      <w:tr w:rsidR="00E47578" w:rsidRPr="001D6A78">
        <w:trPr>
          <w:cantSplit/>
          <w:jc w:val="center"/>
        </w:trPr>
        <w:tc>
          <w:tcPr>
            <w:tcW w:w="2293" w:type="dxa"/>
            <w:tcBorders>
              <w:top w:val="single" w:sz="6" w:space="0" w:color="auto"/>
              <w:left w:val="single" w:sz="6" w:space="0" w:color="auto"/>
              <w:bottom w:val="double" w:sz="6" w:space="0" w:color="auto"/>
            </w:tcBorders>
          </w:tcPr>
          <w:p w:rsidR="00E47578" w:rsidRPr="001D6A78" w:rsidRDefault="00E47578" w:rsidP="00E47578">
            <w:pPr>
              <w:pStyle w:val="TableHead0"/>
              <w:rPr>
                <w:sz w:val="20"/>
              </w:rPr>
            </w:pPr>
            <w:r w:rsidRPr="001D6A78">
              <w:rPr>
                <w:sz w:val="20"/>
              </w:rPr>
              <w:t>Test environments</w:t>
            </w:r>
          </w:p>
        </w:tc>
        <w:tc>
          <w:tcPr>
            <w:tcW w:w="2550" w:type="dxa"/>
            <w:tcBorders>
              <w:top w:val="single" w:sz="6" w:space="0" w:color="auto"/>
              <w:bottom w:val="double" w:sz="6" w:space="0" w:color="auto"/>
            </w:tcBorders>
          </w:tcPr>
          <w:p w:rsidR="00E47578" w:rsidRPr="001D6A78" w:rsidRDefault="00E47578" w:rsidP="00E47578">
            <w:pPr>
              <w:pStyle w:val="TableHead0"/>
              <w:rPr>
                <w:sz w:val="20"/>
              </w:rPr>
            </w:pPr>
            <w:r w:rsidRPr="001D6A78">
              <w:rPr>
                <w:sz w:val="20"/>
              </w:rPr>
              <w:t xml:space="preserve">Indoor </w:t>
            </w:r>
            <w:r w:rsidR="001D6A78" w:rsidRPr="001D6A78">
              <w:rPr>
                <w:sz w:val="20"/>
              </w:rPr>
              <w:t>o</w:t>
            </w:r>
            <w:r w:rsidRPr="001D6A78">
              <w:rPr>
                <w:sz w:val="20"/>
              </w:rPr>
              <w:t>ffice</w:t>
            </w:r>
          </w:p>
        </w:tc>
        <w:tc>
          <w:tcPr>
            <w:tcW w:w="2790" w:type="dxa"/>
            <w:tcBorders>
              <w:top w:val="single" w:sz="6" w:space="0" w:color="auto"/>
              <w:bottom w:val="double" w:sz="6" w:space="0" w:color="auto"/>
            </w:tcBorders>
          </w:tcPr>
          <w:p w:rsidR="00E47578" w:rsidRPr="001D6A78" w:rsidRDefault="00E47578" w:rsidP="00E47578">
            <w:pPr>
              <w:pStyle w:val="TableHead0"/>
              <w:rPr>
                <w:sz w:val="20"/>
              </w:rPr>
            </w:pPr>
            <w:r w:rsidRPr="001D6A78">
              <w:rPr>
                <w:sz w:val="20"/>
              </w:rPr>
              <w:t xml:space="preserve">Outdoor to </w:t>
            </w:r>
            <w:r w:rsidR="001D6A78" w:rsidRPr="001D6A78">
              <w:rPr>
                <w:sz w:val="20"/>
              </w:rPr>
              <w:t>i</w:t>
            </w:r>
            <w:r w:rsidRPr="001D6A78">
              <w:rPr>
                <w:sz w:val="20"/>
              </w:rPr>
              <w:t>ndoor</w:t>
            </w:r>
            <w:r w:rsidRPr="001D6A78">
              <w:rPr>
                <w:sz w:val="20"/>
              </w:rPr>
              <w:br/>
              <w:t xml:space="preserve">and </w:t>
            </w:r>
            <w:r w:rsidR="001D6A78" w:rsidRPr="001D6A78">
              <w:rPr>
                <w:sz w:val="20"/>
              </w:rPr>
              <w:t>p</w:t>
            </w:r>
            <w:r w:rsidRPr="001D6A78">
              <w:rPr>
                <w:sz w:val="20"/>
              </w:rPr>
              <w:t>edestrian</w:t>
            </w:r>
          </w:p>
        </w:tc>
        <w:tc>
          <w:tcPr>
            <w:tcW w:w="2592" w:type="dxa"/>
            <w:tcBorders>
              <w:top w:val="single" w:sz="6" w:space="0" w:color="auto"/>
              <w:bottom w:val="double" w:sz="6" w:space="0" w:color="auto"/>
              <w:right w:val="single" w:sz="6" w:space="0" w:color="auto"/>
            </w:tcBorders>
          </w:tcPr>
          <w:p w:rsidR="00E47578" w:rsidRPr="001D6A78" w:rsidRDefault="00E47578" w:rsidP="00E47578">
            <w:pPr>
              <w:pStyle w:val="TableHead0"/>
              <w:rPr>
                <w:sz w:val="20"/>
              </w:rPr>
            </w:pPr>
            <w:r w:rsidRPr="001D6A78">
              <w:rPr>
                <w:sz w:val="20"/>
              </w:rPr>
              <w:t>Vehicular</w:t>
            </w:r>
          </w:p>
        </w:tc>
      </w:tr>
      <w:tr w:rsidR="00E47578" w:rsidRPr="001D6A78">
        <w:trPr>
          <w:cantSplit/>
          <w:jc w:val="center"/>
        </w:trPr>
        <w:tc>
          <w:tcPr>
            <w:tcW w:w="2293" w:type="dxa"/>
            <w:tcBorders>
              <w:top w:val="nil"/>
              <w:left w:val="single" w:sz="6" w:space="0" w:color="auto"/>
            </w:tcBorders>
          </w:tcPr>
          <w:p w:rsidR="00E47578" w:rsidRPr="001D6A78" w:rsidRDefault="00E47578" w:rsidP="00B213A9">
            <w:pPr>
              <w:pStyle w:val="TableText0"/>
              <w:rPr>
                <w:b/>
                <w:sz w:val="20"/>
                <w:szCs w:val="20"/>
                <w:lang w:val="en-US"/>
              </w:rPr>
            </w:pPr>
            <w:r w:rsidRPr="001D6A78">
              <w:rPr>
                <w:b/>
                <w:sz w:val="20"/>
                <w:szCs w:val="20"/>
                <w:lang w:val="en-US"/>
              </w:rPr>
              <w:t>Mobility</w:t>
            </w:r>
            <w:r w:rsidR="00B213A9">
              <w:rPr>
                <w:b/>
                <w:sz w:val="20"/>
                <w:szCs w:val="20"/>
                <w:lang w:val="en-US"/>
              </w:rPr>
              <w:t xml:space="preserve"> </w:t>
            </w:r>
            <w:r w:rsidR="00B213A9" w:rsidRPr="001D6A78">
              <w:rPr>
                <w:b/>
                <w:sz w:val="20"/>
                <w:szCs w:val="20"/>
                <w:lang w:val="en-US"/>
              </w:rPr>
              <w:t>c</w:t>
            </w:r>
            <w:r w:rsidRPr="001D6A78">
              <w:rPr>
                <w:b/>
                <w:sz w:val="20"/>
                <w:szCs w:val="20"/>
                <w:lang w:val="en-US"/>
              </w:rPr>
              <w:t>onsiderations</w:t>
            </w:r>
          </w:p>
        </w:tc>
        <w:tc>
          <w:tcPr>
            <w:tcW w:w="2550" w:type="dxa"/>
            <w:tcBorders>
              <w:top w:val="nil"/>
            </w:tcBorders>
          </w:tcPr>
          <w:p w:rsidR="00E47578" w:rsidRPr="001D6A78" w:rsidRDefault="00E47578" w:rsidP="00E47578">
            <w:pPr>
              <w:pStyle w:val="TableText0"/>
              <w:jc w:val="center"/>
              <w:rPr>
                <w:sz w:val="20"/>
                <w:szCs w:val="20"/>
                <w:lang w:val="en-US"/>
              </w:rPr>
            </w:pPr>
            <w:r w:rsidRPr="001D6A78">
              <w:rPr>
                <w:sz w:val="20"/>
                <w:szCs w:val="20"/>
                <w:lang w:val="en-US"/>
              </w:rPr>
              <w:t>mobility type</w:t>
            </w:r>
            <w:r w:rsidRPr="001D6A78">
              <w:rPr>
                <w:sz w:val="20"/>
                <w:szCs w:val="20"/>
                <w:lang w:val="en-US"/>
              </w:rPr>
              <w:br/>
              <w:t>(low)</w:t>
            </w:r>
          </w:p>
        </w:tc>
        <w:tc>
          <w:tcPr>
            <w:tcW w:w="2790" w:type="dxa"/>
            <w:tcBorders>
              <w:top w:val="nil"/>
            </w:tcBorders>
          </w:tcPr>
          <w:p w:rsidR="00E47578" w:rsidRPr="001D6A78" w:rsidRDefault="00E47578" w:rsidP="00E47578">
            <w:pPr>
              <w:pStyle w:val="TableText0"/>
              <w:jc w:val="center"/>
              <w:rPr>
                <w:sz w:val="20"/>
                <w:szCs w:val="20"/>
                <w:lang w:val="en-US"/>
              </w:rPr>
            </w:pPr>
            <w:r w:rsidRPr="001D6A78">
              <w:rPr>
                <w:sz w:val="20"/>
                <w:szCs w:val="20"/>
                <w:lang w:val="en-US"/>
              </w:rPr>
              <w:t>mobility type</w:t>
            </w:r>
            <w:r w:rsidRPr="001D6A78">
              <w:rPr>
                <w:sz w:val="20"/>
                <w:szCs w:val="20"/>
                <w:lang w:val="en-US"/>
              </w:rPr>
              <w:br/>
              <w:t>(medium)</w:t>
            </w:r>
          </w:p>
        </w:tc>
        <w:tc>
          <w:tcPr>
            <w:tcW w:w="2592" w:type="dxa"/>
            <w:tcBorders>
              <w:top w:val="nil"/>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mobility type</w:t>
            </w:r>
            <w:r w:rsidRPr="001D6A78">
              <w:rPr>
                <w:sz w:val="20"/>
                <w:szCs w:val="20"/>
                <w:lang w:val="en-US"/>
              </w:rPr>
              <w:br/>
              <w:t>(high)</w:t>
            </w:r>
          </w:p>
        </w:tc>
      </w:tr>
      <w:tr w:rsidR="00E47578" w:rsidRPr="001D6A78">
        <w:trPr>
          <w:cantSplit/>
          <w:jc w:val="center"/>
        </w:trPr>
        <w:tc>
          <w:tcPr>
            <w:tcW w:w="2293" w:type="dxa"/>
            <w:tcBorders>
              <w:left w:val="single" w:sz="6" w:space="0" w:color="auto"/>
              <w:bottom w:val="nil"/>
            </w:tcBorders>
          </w:tcPr>
          <w:p w:rsidR="00E47578" w:rsidRPr="001D6A78" w:rsidRDefault="00E47578" w:rsidP="00E47578">
            <w:pPr>
              <w:pStyle w:val="TableText0"/>
              <w:rPr>
                <w:sz w:val="20"/>
                <w:szCs w:val="20"/>
                <w:lang w:val="en-US"/>
              </w:rPr>
            </w:pPr>
            <w:r w:rsidRPr="001D6A78">
              <w:rPr>
                <w:sz w:val="20"/>
                <w:szCs w:val="20"/>
                <w:lang w:val="en-US"/>
              </w:rPr>
              <w:t>Handover</w:t>
            </w:r>
          </w:p>
        </w:tc>
        <w:tc>
          <w:tcPr>
            <w:tcW w:w="2550" w:type="dxa"/>
            <w:tcBorders>
              <w:bottom w:val="nil"/>
            </w:tcBorders>
          </w:tcPr>
          <w:p w:rsidR="00E47578" w:rsidRPr="001D6A78" w:rsidRDefault="00E47578" w:rsidP="00E47578">
            <w:pPr>
              <w:pStyle w:val="TableText0"/>
              <w:jc w:val="center"/>
              <w:rPr>
                <w:sz w:val="20"/>
                <w:szCs w:val="20"/>
                <w:lang w:val="en-US"/>
              </w:rPr>
            </w:pPr>
            <w:r w:rsidRPr="001D6A78">
              <w:rPr>
                <w:sz w:val="20"/>
                <w:szCs w:val="20"/>
                <w:lang w:val="en-US"/>
              </w:rPr>
              <w:t>Yes</w:t>
            </w:r>
          </w:p>
        </w:tc>
        <w:tc>
          <w:tcPr>
            <w:tcW w:w="2790" w:type="dxa"/>
            <w:tcBorders>
              <w:bottom w:val="nil"/>
            </w:tcBorders>
          </w:tcPr>
          <w:p w:rsidR="00E47578" w:rsidRPr="001D6A78" w:rsidRDefault="00E47578" w:rsidP="00E47578">
            <w:pPr>
              <w:pStyle w:val="TableText0"/>
              <w:jc w:val="center"/>
              <w:rPr>
                <w:sz w:val="20"/>
                <w:szCs w:val="20"/>
                <w:lang w:val="en-US"/>
              </w:rPr>
            </w:pPr>
            <w:r w:rsidRPr="001D6A78">
              <w:rPr>
                <w:sz w:val="20"/>
                <w:szCs w:val="20"/>
                <w:lang w:val="en-US"/>
              </w:rPr>
              <w:t>Yes</w:t>
            </w:r>
          </w:p>
        </w:tc>
        <w:tc>
          <w:tcPr>
            <w:tcW w:w="2592" w:type="dxa"/>
            <w:tcBorders>
              <w:bottom w:val="nil"/>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Yes</w:t>
            </w:r>
          </w:p>
        </w:tc>
      </w:tr>
      <w:tr w:rsidR="00E47578" w:rsidRPr="001D6A78">
        <w:trPr>
          <w:cantSplit/>
          <w:jc w:val="center"/>
        </w:trPr>
        <w:tc>
          <w:tcPr>
            <w:tcW w:w="2293" w:type="dxa"/>
            <w:tcBorders>
              <w:top w:val="double" w:sz="6" w:space="0" w:color="auto"/>
              <w:left w:val="single" w:sz="6" w:space="0" w:color="auto"/>
              <w:bottom w:val="nil"/>
            </w:tcBorders>
          </w:tcPr>
          <w:p w:rsidR="00E47578" w:rsidRPr="001D6A78" w:rsidRDefault="00E47578" w:rsidP="00E47578">
            <w:pPr>
              <w:pStyle w:val="TableText0"/>
              <w:rPr>
                <w:b/>
                <w:sz w:val="20"/>
                <w:szCs w:val="20"/>
                <w:lang w:val="en-US"/>
              </w:rPr>
            </w:pPr>
            <w:r w:rsidRPr="001D6A78">
              <w:rPr>
                <w:b/>
                <w:sz w:val="20"/>
                <w:szCs w:val="20"/>
                <w:lang w:val="en-US"/>
              </w:rPr>
              <w:t>Support of general service capabilities</w:t>
            </w:r>
          </w:p>
        </w:tc>
        <w:tc>
          <w:tcPr>
            <w:tcW w:w="2550" w:type="dxa"/>
            <w:tcBorders>
              <w:top w:val="double" w:sz="6" w:space="0" w:color="auto"/>
              <w:bottom w:val="nil"/>
            </w:tcBorders>
          </w:tcPr>
          <w:p w:rsidR="00E47578" w:rsidRPr="001D6A78" w:rsidRDefault="00E47578" w:rsidP="00E47578">
            <w:pPr>
              <w:pStyle w:val="TableText0"/>
              <w:jc w:val="center"/>
              <w:rPr>
                <w:sz w:val="20"/>
                <w:szCs w:val="20"/>
                <w:lang w:val="en-US"/>
              </w:rPr>
            </w:pPr>
          </w:p>
        </w:tc>
        <w:tc>
          <w:tcPr>
            <w:tcW w:w="2790" w:type="dxa"/>
            <w:tcBorders>
              <w:top w:val="double" w:sz="6" w:space="0" w:color="auto"/>
              <w:bottom w:val="nil"/>
            </w:tcBorders>
          </w:tcPr>
          <w:p w:rsidR="00E47578" w:rsidRPr="001D6A78" w:rsidRDefault="00E47578" w:rsidP="00E47578">
            <w:pPr>
              <w:pStyle w:val="TableText0"/>
              <w:jc w:val="center"/>
              <w:rPr>
                <w:sz w:val="20"/>
                <w:szCs w:val="20"/>
                <w:lang w:val="en-US"/>
              </w:rPr>
            </w:pPr>
          </w:p>
        </w:tc>
        <w:tc>
          <w:tcPr>
            <w:tcW w:w="2592" w:type="dxa"/>
            <w:tcBorders>
              <w:top w:val="double" w:sz="6" w:space="0" w:color="auto"/>
              <w:bottom w:val="nil"/>
              <w:right w:val="single" w:sz="6" w:space="0" w:color="auto"/>
            </w:tcBorders>
          </w:tcPr>
          <w:p w:rsidR="00E47578" w:rsidRPr="001D6A78" w:rsidRDefault="00E47578" w:rsidP="00E47578">
            <w:pPr>
              <w:pStyle w:val="TableText0"/>
              <w:jc w:val="center"/>
              <w:rPr>
                <w:sz w:val="20"/>
                <w:szCs w:val="20"/>
                <w:lang w:val="en-US"/>
              </w:rPr>
            </w:pPr>
          </w:p>
        </w:tc>
      </w:tr>
      <w:tr w:rsidR="00E47578" w:rsidRPr="001D6A78">
        <w:trPr>
          <w:cantSplit/>
          <w:jc w:val="center"/>
        </w:trPr>
        <w:tc>
          <w:tcPr>
            <w:tcW w:w="2293" w:type="dxa"/>
            <w:tcBorders>
              <w:left w:val="single" w:sz="6" w:space="0" w:color="auto"/>
            </w:tcBorders>
          </w:tcPr>
          <w:p w:rsidR="00E47578" w:rsidRPr="001D6A78" w:rsidRDefault="00E47578" w:rsidP="00E47578">
            <w:pPr>
              <w:pStyle w:val="TableText0"/>
              <w:rPr>
                <w:sz w:val="20"/>
                <w:szCs w:val="20"/>
                <w:lang w:val="en-US"/>
              </w:rPr>
            </w:pPr>
            <w:r w:rsidRPr="001D6A78">
              <w:rPr>
                <w:sz w:val="20"/>
                <w:szCs w:val="20"/>
                <w:lang w:val="en-US"/>
              </w:rPr>
              <w:t>Packet data</w:t>
            </w:r>
          </w:p>
        </w:tc>
        <w:tc>
          <w:tcPr>
            <w:tcW w:w="2550" w:type="dxa"/>
          </w:tcPr>
          <w:p w:rsidR="00E47578" w:rsidRPr="001D6A78" w:rsidRDefault="00E47578" w:rsidP="00E47578">
            <w:pPr>
              <w:pStyle w:val="TableText0"/>
              <w:jc w:val="center"/>
              <w:rPr>
                <w:sz w:val="20"/>
                <w:szCs w:val="20"/>
                <w:lang w:val="en-US"/>
              </w:rPr>
            </w:pPr>
            <w:r w:rsidRPr="001D6A78">
              <w:rPr>
                <w:sz w:val="20"/>
                <w:szCs w:val="20"/>
                <w:lang w:val="en-US"/>
              </w:rPr>
              <w:t>Yes</w:t>
            </w:r>
          </w:p>
        </w:tc>
        <w:tc>
          <w:tcPr>
            <w:tcW w:w="2790" w:type="dxa"/>
          </w:tcPr>
          <w:p w:rsidR="00E47578" w:rsidRPr="001D6A78" w:rsidRDefault="00E47578" w:rsidP="00E47578">
            <w:pPr>
              <w:pStyle w:val="TableText0"/>
              <w:jc w:val="center"/>
              <w:rPr>
                <w:sz w:val="20"/>
                <w:szCs w:val="20"/>
                <w:lang w:val="en-US"/>
              </w:rPr>
            </w:pPr>
            <w:r w:rsidRPr="001D6A78">
              <w:rPr>
                <w:sz w:val="20"/>
                <w:szCs w:val="20"/>
                <w:lang w:val="en-US"/>
              </w:rPr>
              <w:t>Yes</w:t>
            </w:r>
          </w:p>
        </w:tc>
        <w:tc>
          <w:tcPr>
            <w:tcW w:w="2592" w:type="dxa"/>
            <w:tcBorders>
              <w:right w:val="single" w:sz="6" w:space="0" w:color="auto"/>
            </w:tcBorders>
          </w:tcPr>
          <w:p w:rsidR="00E47578" w:rsidRPr="001D6A78" w:rsidRDefault="00E47578" w:rsidP="00E47578">
            <w:pPr>
              <w:pStyle w:val="TableText0"/>
              <w:jc w:val="center"/>
              <w:rPr>
                <w:sz w:val="20"/>
                <w:szCs w:val="20"/>
                <w:lang w:val="en-US"/>
              </w:rPr>
            </w:pPr>
            <w:r w:rsidRPr="001D6A78">
              <w:rPr>
                <w:sz w:val="20"/>
                <w:szCs w:val="20"/>
                <w:lang w:val="en-US"/>
              </w:rPr>
              <w:t>Yes</w:t>
            </w:r>
          </w:p>
        </w:tc>
      </w:tr>
      <w:tr w:rsidR="00E47578" w:rsidRPr="001D6A78">
        <w:trPr>
          <w:cantSplit/>
          <w:jc w:val="center"/>
        </w:trPr>
        <w:tc>
          <w:tcPr>
            <w:tcW w:w="2293" w:type="dxa"/>
            <w:tcBorders>
              <w:left w:val="single" w:sz="6" w:space="0" w:color="auto"/>
            </w:tcBorders>
          </w:tcPr>
          <w:p w:rsidR="00E47578" w:rsidRPr="001D6A78" w:rsidRDefault="00E47578" w:rsidP="00E47578">
            <w:pPr>
              <w:pStyle w:val="TableText0"/>
              <w:rPr>
                <w:sz w:val="20"/>
                <w:szCs w:val="20"/>
              </w:rPr>
            </w:pPr>
            <w:r w:rsidRPr="001D6A78">
              <w:rPr>
                <w:sz w:val="20"/>
                <w:szCs w:val="20"/>
                <w:lang w:val="en-US"/>
              </w:rPr>
              <w:t xml:space="preserve">Asymmetric </w:t>
            </w:r>
            <w:proofErr w:type="spellStart"/>
            <w:r w:rsidRPr="001D6A78">
              <w:rPr>
                <w:sz w:val="20"/>
                <w:szCs w:val="20"/>
              </w:rPr>
              <w:t>services</w:t>
            </w:r>
            <w:proofErr w:type="spellEnd"/>
          </w:p>
        </w:tc>
        <w:tc>
          <w:tcPr>
            <w:tcW w:w="2550" w:type="dxa"/>
          </w:tcPr>
          <w:p w:rsidR="00E47578" w:rsidRPr="001D6A78" w:rsidRDefault="00E47578" w:rsidP="00E47578">
            <w:pPr>
              <w:pStyle w:val="TableText0"/>
              <w:jc w:val="center"/>
              <w:rPr>
                <w:sz w:val="20"/>
                <w:szCs w:val="20"/>
              </w:rPr>
            </w:pPr>
            <w:r w:rsidRPr="001D6A78">
              <w:rPr>
                <w:sz w:val="20"/>
                <w:szCs w:val="20"/>
              </w:rPr>
              <w:t>Yes</w:t>
            </w:r>
          </w:p>
        </w:tc>
        <w:tc>
          <w:tcPr>
            <w:tcW w:w="2790" w:type="dxa"/>
          </w:tcPr>
          <w:p w:rsidR="00E47578" w:rsidRPr="001D6A78" w:rsidRDefault="00E47578" w:rsidP="00E47578">
            <w:pPr>
              <w:pStyle w:val="TableText0"/>
              <w:jc w:val="center"/>
              <w:rPr>
                <w:sz w:val="20"/>
                <w:szCs w:val="20"/>
              </w:rPr>
            </w:pPr>
            <w:r w:rsidRPr="001D6A78">
              <w:rPr>
                <w:sz w:val="20"/>
                <w:szCs w:val="20"/>
              </w:rPr>
              <w:t>Yes</w:t>
            </w:r>
          </w:p>
        </w:tc>
        <w:tc>
          <w:tcPr>
            <w:tcW w:w="2592" w:type="dxa"/>
            <w:tcBorders>
              <w:right w:val="single" w:sz="6" w:space="0" w:color="auto"/>
            </w:tcBorders>
          </w:tcPr>
          <w:p w:rsidR="00E47578" w:rsidRPr="001D6A78" w:rsidRDefault="00E47578" w:rsidP="00E47578">
            <w:pPr>
              <w:pStyle w:val="TableText0"/>
              <w:jc w:val="center"/>
              <w:rPr>
                <w:sz w:val="20"/>
                <w:szCs w:val="20"/>
              </w:rPr>
            </w:pPr>
            <w:r w:rsidRPr="001D6A78">
              <w:rPr>
                <w:sz w:val="20"/>
                <w:szCs w:val="20"/>
              </w:rPr>
              <w:t>Yes</w:t>
            </w:r>
          </w:p>
        </w:tc>
      </w:tr>
      <w:tr w:rsidR="00E47578" w:rsidRPr="001D6A78">
        <w:trPr>
          <w:cantSplit/>
          <w:jc w:val="center"/>
        </w:trPr>
        <w:tc>
          <w:tcPr>
            <w:tcW w:w="2293" w:type="dxa"/>
            <w:tcBorders>
              <w:left w:val="single" w:sz="6" w:space="0" w:color="auto"/>
            </w:tcBorders>
          </w:tcPr>
          <w:p w:rsidR="00E47578" w:rsidRPr="001D6A78" w:rsidRDefault="00E47578" w:rsidP="00E47578">
            <w:pPr>
              <w:pStyle w:val="TableText0"/>
              <w:rPr>
                <w:sz w:val="20"/>
                <w:szCs w:val="20"/>
              </w:rPr>
            </w:pPr>
            <w:r w:rsidRPr="001D6A78">
              <w:rPr>
                <w:sz w:val="20"/>
                <w:szCs w:val="20"/>
              </w:rPr>
              <w:t>Multimedia</w:t>
            </w:r>
          </w:p>
        </w:tc>
        <w:tc>
          <w:tcPr>
            <w:tcW w:w="2550" w:type="dxa"/>
          </w:tcPr>
          <w:p w:rsidR="00E47578" w:rsidRPr="001D6A78" w:rsidRDefault="00E47578" w:rsidP="00E47578">
            <w:pPr>
              <w:pStyle w:val="TableText0"/>
              <w:jc w:val="center"/>
              <w:rPr>
                <w:sz w:val="20"/>
                <w:szCs w:val="20"/>
              </w:rPr>
            </w:pPr>
            <w:r w:rsidRPr="001D6A78">
              <w:rPr>
                <w:sz w:val="20"/>
                <w:szCs w:val="20"/>
              </w:rPr>
              <w:t>Yes</w:t>
            </w:r>
          </w:p>
        </w:tc>
        <w:tc>
          <w:tcPr>
            <w:tcW w:w="2790" w:type="dxa"/>
          </w:tcPr>
          <w:p w:rsidR="00E47578" w:rsidRPr="001D6A78" w:rsidRDefault="00E47578" w:rsidP="00E47578">
            <w:pPr>
              <w:pStyle w:val="TableText0"/>
              <w:jc w:val="center"/>
              <w:rPr>
                <w:sz w:val="20"/>
                <w:szCs w:val="20"/>
              </w:rPr>
            </w:pPr>
            <w:r w:rsidRPr="001D6A78">
              <w:rPr>
                <w:sz w:val="20"/>
                <w:szCs w:val="20"/>
              </w:rPr>
              <w:t>Yes</w:t>
            </w:r>
          </w:p>
        </w:tc>
        <w:tc>
          <w:tcPr>
            <w:tcW w:w="2592" w:type="dxa"/>
            <w:tcBorders>
              <w:right w:val="single" w:sz="6" w:space="0" w:color="auto"/>
            </w:tcBorders>
          </w:tcPr>
          <w:p w:rsidR="00E47578" w:rsidRPr="001D6A78" w:rsidRDefault="00E47578" w:rsidP="00E47578">
            <w:pPr>
              <w:pStyle w:val="TableText0"/>
              <w:jc w:val="center"/>
              <w:rPr>
                <w:sz w:val="20"/>
                <w:szCs w:val="20"/>
              </w:rPr>
            </w:pPr>
            <w:r w:rsidRPr="001D6A78">
              <w:rPr>
                <w:sz w:val="20"/>
                <w:szCs w:val="20"/>
              </w:rPr>
              <w:t>Yes</w:t>
            </w:r>
          </w:p>
        </w:tc>
      </w:tr>
      <w:tr w:rsidR="00E47578" w:rsidRPr="001D6A78">
        <w:trPr>
          <w:cantSplit/>
          <w:jc w:val="center"/>
        </w:trPr>
        <w:tc>
          <w:tcPr>
            <w:tcW w:w="2293" w:type="dxa"/>
            <w:tcBorders>
              <w:left w:val="single" w:sz="6" w:space="0" w:color="auto"/>
              <w:bottom w:val="single" w:sz="6" w:space="0" w:color="auto"/>
            </w:tcBorders>
          </w:tcPr>
          <w:p w:rsidR="00E47578" w:rsidRPr="001D6A78" w:rsidRDefault="00E47578" w:rsidP="00E47578">
            <w:pPr>
              <w:pStyle w:val="TableText0"/>
              <w:rPr>
                <w:sz w:val="20"/>
                <w:szCs w:val="20"/>
              </w:rPr>
            </w:pPr>
            <w:r w:rsidRPr="001D6A78">
              <w:rPr>
                <w:sz w:val="20"/>
                <w:szCs w:val="20"/>
              </w:rPr>
              <w:t xml:space="preserve">Variable bit </w:t>
            </w:r>
            <w:proofErr w:type="spellStart"/>
            <w:r w:rsidRPr="001D6A78">
              <w:rPr>
                <w:sz w:val="20"/>
                <w:szCs w:val="20"/>
              </w:rPr>
              <w:t>rate</w:t>
            </w:r>
            <w:proofErr w:type="spellEnd"/>
          </w:p>
        </w:tc>
        <w:tc>
          <w:tcPr>
            <w:tcW w:w="2550" w:type="dxa"/>
            <w:tcBorders>
              <w:bottom w:val="single" w:sz="6" w:space="0" w:color="auto"/>
            </w:tcBorders>
          </w:tcPr>
          <w:p w:rsidR="00E47578" w:rsidRPr="001D6A78" w:rsidRDefault="00E47578" w:rsidP="00E47578">
            <w:pPr>
              <w:pStyle w:val="TableText0"/>
              <w:jc w:val="center"/>
              <w:rPr>
                <w:sz w:val="20"/>
                <w:szCs w:val="20"/>
              </w:rPr>
            </w:pPr>
            <w:r w:rsidRPr="001D6A78">
              <w:rPr>
                <w:sz w:val="20"/>
                <w:szCs w:val="20"/>
              </w:rPr>
              <w:t>Yes</w:t>
            </w:r>
          </w:p>
        </w:tc>
        <w:tc>
          <w:tcPr>
            <w:tcW w:w="2790" w:type="dxa"/>
            <w:tcBorders>
              <w:bottom w:val="single" w:sz="6" w:space="0" w:color="auto"/>
            </w:tcBorders>
          </w:tcPr>
          <w:p w:rsidR="00E47578" w:rsidRPr="001D6A78" w:rsidRDefault="00E47578" w:rsidP="00E47578">
            <w:pPr>
              <w:pStyle w:val="TableText0"/>
              <w:jc w:val="center"/>
              <w:rPr>
                <w:sz w:val="20"/>
                <w:szCs w:val="20"/>
              </w:rPr>
            </w:pPr>
            <w:r w:rsidRPr="001D6A78">
              <w:rPr>
                <w:sz w:val="20"/>
                <w:szCs w:val="20"/>
              </w:rPr>
              <w:t>Yes</w:t>
            </w:r>
          </w:p>
        </w:tc>
        <w:tc>
          <w:tcPr>
            <w:tcW w:w="2592" w:type="dxa"/>
            <w:tcBorders>
              <w:bottom w:val="single" w:sz="6" w:space="0" w:color="auto"/>
              <w:right w:val="single" w:sz="6" w:space="0" w:color="auto"/>
            </w:tcBorders>
          </w:tcPr>
          <w:p w:rsidR="00E47578" w:rsidRPr="001D6A78" w:rsidRDefault="00E47578" w:rsidP="00E47578">
            <w:pPr>
              <w:pStyle w:val="TableText0"/>
              <w:jc w:val="center"/>
              <w:rPr>
                <w:sz w:val="20"/>
                <w:szCs w:val="20"/>
              </w:rPr>
            </w:pPr>
            <w:r w:rsidRPr="001D6A78">
              <w:rPr>
                <w:sz w:val="20"/>
                <w:szCs w:val="20"/>
              </w:rPr>
              <w:t>Yes</w:t>
            </w:r>
          </w:p>
        </w:tc>
      </w:tr>
    </w:tbl>
    <w:p w:rsidR="001D6A78" w:rsidRDefault="001D6A78" w:rsidP="001D6A78"/>
    <w:p w:rsidR="007F154F" w:rsidRDefault="007F154F">
      <w:pPr>
        <w:tabs>
          <w:tab w:val="clear" w:pos="1134"/>
          <w:tab w:val="clear" w:pos="1871"/>
          <w:tab w:val="clear" w:pos="2268"/>
        </w:tabs>
        <w:overflowPunct/>
        <w:autoSpaceDE/>
        <w:autoSpaceDN/>
        <w:adjustRightInd/>
        <w:spacing w:before="0"/>
        <w:textAlignment w:val="auto"/>
        <w:rPr>
          <w:b/>
        </w:rPr>
      </w:pPr>
      <w:r>
        <w:br w:type="page"/>
      </w:r>
    </w:p>
    <w:p w:rsidR="00E47578" w:rsidRDefault="00E47578" w:rsidP="00E47578">
      <w:pPr>
        <w:pStyle w:val="Heading2"/>
      </w:pPr>
      <w:r>
        <w:lastRenderedPageBreak/>
        <w:t>8.1</w:t>
      </w:r>
      <w:r>
        <w:tab/>
        <w:t>Compatibility with the existing IMT-2000 radio interfaces</w:t>
      </w:r>
    </w:p>
    <w:p w:rsidR="00E47578" w:rsidRDefault="00E47578" w:rsidP="00E47578">
      <w:r>
        <w:t>The proposed update fits well within the framework of the existing IMT-2000 OFDMA TDD WMAN radio interface. All features supported in the existing IMT-2000 OFDMA TDD WMAN are still su</w:t>
      </w:r>
      <w:r w:rsidR="001D6A78">
        <w:t>pported in the proposed update.</w:t>
      </w:r>
    </w:p>
    <w:p w:rsidR="00E47578" w:rsidRDefault="00E47578" w:rsidP="00E47578">
      <w:pPr>
        <w:pStyle w:val="Heading2"/>
      </w:pPr>
      <w:r>
        <w:t>8.2</w:t>
      </w:r>
      <w:r>
        <w:tab/>
        <w:t>Harmonization within multiple proposals</w:t>
      </w:r>
    </w:p>
    <w:p w:rsidR="00E47578" w:rsidRDefault="00E47578" w:rsidP="00E47578">
      <w:r>
        <w:t>See Section 9.2.</w:t>
      </w:r>
    </w:p>
    <w:p w:rsidR="00E47578" w:rsidRDefault="00E47578" w:rsidP="00E47578">
      <w:pPr>
        <w:pStyle w:val="headingb0"/>
      </w:pPr>
      <w:r>
        <w:t xml:space="preserve">“Other </w:t>
      </w:r>
      <w:r w:rsidR="007F154F">
        <w:t>c</w:t>
      </w:r>
      <w:r>
        <w:t xml:space="preserve">onsiderations” (Section 9 in </w:t>
      </w:r>
      <w:r w:rsidR="007F154F">
        <w:t xml:space="preserve">Circular Letter </w:t>
      </w:r>
      <w:r>
        <w:t>8/LCCE/95)</w:t>
      </w:r>
    </w:p>
    <w:p w:rsidR="00E47578" w:rsidRDefault="00E47578" w:rsidP="00E47578">
      <w:pPr>
        <w:pStyle w:val="Heading2"/>
      </w:pPr>
      <w:r>
        <w:t>9.1</w:t>
      </w:r>
      <w:r>
        <w:tab/>
        <w:t>Benefits of the proposed enhancement</w:t>
      </w:r>
    </w:p>
    <w:p w:rsidR="00E47578" w:rsidRDefault="00E47578" w:rsidP="00E47578">
      <w:r>
        <w:t>The proposed enhancements improve the performance of IMT-2000 OFDMA TDD WMAN radio interface.</w:t>
      </w:r>
    </w:p>
    <w:p w:rsidR="00E47578" w:rsidRDefault="00E47578" w:rsidP="00E47578">
      <w:pPr>
        <w:pStyle w:val="Heading2"/>
      </w:pPr>
      <w:r>
        <w:t>9.2</w:t>
      </w:r>
      <w:r>
        <w:tab/>
        <w:t>Harmonization and consensus building</w:t>
      </w:r>
    </w:p>
    <w:p w:rsidR="00E47578" w:rsidRDefault="00E47578" w:rsidP="00E47578">
      <w:r>
        <w:t xml:space="preserve">Through their membership and through liaison communications, the SDO stakeholders, the IEEE and the </w:t>
      </w:r>
      <w:proofErr w:type="spellStart"/>
      <w:r>
        <w:t>WiMAX</w:t>
      </w:r>
      <w:proofErr w:type="spellEnd"/>
      <w:r>
        <w:t xml:space="preserve"> Forum, have established harmonization and consensus building.  IEEE expects that the system profile submitted by the </w:t>
      </w:r>
      <w:proofErr w:type="spellStart"/>
      <w:r>
        <w:t>WiMAX</w:t>
      </w:r>
      <w:proofErr w:type="spellEnd"/>
      <w:r>
        <w:t xml:space="preserve"> Forum will be fully consistent with IEEE </w:t>
      </w:r>
      <w:proofErr w:type="spellStart"/>
      <w:r>
        <w:t>Std</w:t>
      </w:r>
      <w:proofErr w:type="spellEnd"/>
      <w:r>
        <w:t> 802.16.</w:t>
      </w:r>
    </w:p>
    <w:p w:rsidR="00E47578" w:rsidRDefault="00E47578" w:rsidP="00E47578">
      <w:pPr>
        <w:pStyle w:val="headingb0"/>
      </w:pPr>
      <w:r>
        <w:t>9.3</w:t>
      </w:r>
      <w:r>
        <w:tab/>
        <w:t>Enhanced performance capabilities</w:t>
      </w:r>
    </w:p>
    <w:p w:rsidR="00E47578" w:rsidRDefault="00E47578" w:rsidP="001D6A78">
      <w:r>
        <w:t xml:space="preserve">The proposed update is fully in line with the </w:t>
      </w:r>
      <w:proofErr w:type="spellStart"/>
      <w:r>
        <w:t>ongoing</w:t>
      </w:r>
      <w:proofErr w:type="spellEnd"/>
      <w:r>
        <w:t xml:space="preserve"> activities on the vision for the enhancements of IMT-2000, also reflected in the Roadmap for the future updates of Rec</w:t>
      </w:r>
      <w:r w:rsidR="001D6A78">
        <w:t>ommendation ITU</w:t>
      </w:r>
      <w:r w:rsidR="001D6A78">
        <w:noBreakHyphen/>
      </w:r>
      <w:r w:rsidR="007F154F">
        <w:t>R M.1457.</w:t>
      </w:r>
    </w:p>
    <w:p w:rsidR="00E47578" w:rsidRDefault="00E47578" w:rsidP="007F154F"/>
    <w:p w:rsidR="00E47578" w:rsidRDefault="00E47578" w:rsidP="00E47578">
      <w:pPr>
        <w:pStyle w:val="Annextitle"/>
      </w:pPr>
      <w:r>
        <w:t>Annex</w:t>
      </w:r>
      <w:bookmarkStart w:id="16" w:name="a6"/>
      <w:bookmarkEnd w:id="16"/>
      <w:r>
        <w:t xml:space="preserve"> 6</w:t>
      </w:r>
      <w:r>
        <w:br/>
      </w:r>
      <w:r>
        <w:br/>
        <w:t>Self-declaration that the proposed amendments are self-consistent</w:t>
      </w:r>
      <w:r>
        <w:br/>
        <w:t>between Section 5.6.1, Section 5.6.2, and the GCS</w:t>
      </w:r>
    </w:p>
    <w:p w:rsidR="00E47578" w:rsidRDefault="00E47578" w:rsidP="007F154F">
      <w:pPr>
        <w:pStyle w:val="Normalaftertitle"/>
        <w:spacing w:before="480"/>
      </w:pPr>
      <w:r>
        <w:t>The proposed amendments are self-consistent between Sections 5.6.1, 5.6.2, and the GCS.</w:t>
      </w:r>
    </w:p>
    <w:p w:rsidR="00E47578" w:rsidRDefault="00E47578" w:rsidP="00E47578"/>
    <w:p w:rsidR="00E47578" w:rsidRDefault="00E47578" w:rsidP="00E47578"/>
    <w:p w:rsidR="001D6A78" w:rsidRDefault="001D6A78" w:rsidP="00E47578"/>
    <w:p w:rsidR="00E47578" w:rsidRPr="00291933" w:rsidRDefault="00E47578" w:rsidP="00E47578">
      <w:pPr>
        <w:jc w:val="center"/>
      </w:pPr>
      <w:r>
        <w:t>_____________</w:t>
      </w:r>
    </w:p>
    <w:p w:rsidR="00E47578" w:rsidRPr="00D8032B" w:rsidRDefault="00E47578" w:rsidP="00E47578">
      <w:pPr>
        <w:rPr>
          <w:lang w:val="fr-FR" w:eastAsia="zh-CN"/>
        </w:rPr>
      </w:pPr>
    </w:p>
    <w:sectPr w:rsidR="00E47578" w:rsidRPr="00D8032B" w:rsidSect="00E47578">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1CE" w:rsidRDefault="009221CE">
      <w:r>
        <w:separator/>
      </w:r>
    </w:p>
  </w:endnote>
  <w:endnote w:type="continuationSeparator" w:id="0">
    <w:p w:rsidR="009221CE" w:rsidRDefault="0092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1CE" w:rsidRDefault="009221CE">
    <w:pPr>
      <w:pStyle w:val="Footer"/>
    </w:pPr>
    <w:fldSimple w:instr=" FILENAME  \p  \* MERGEFORMAT ">
      <w:r>
        <w:t>M:\BRSGD\TEXT2012\SG05\WP5D\000\065e.docx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1CE" w:rsidRPr="001E3973" w:rsidRDefault="009221CE" w:rsidP="001E3973">
    <w:pPr>
      <w:pStyle w:val="Footer"/>
    </w:pPr>
    <w:fldSimple w:instr=" FILENAME  \p  \* MERGEFORMAT ">
      <w:r>
        <w:t>M:\BRSGD\TEXT2012\SG05\WP5D\000\065e.docx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1CE" w:rsidRDefault="009221CE">
      <w:r>
        <w:t>____________________</w:t>
      </w:r>
    </w:p>
  </w:footnote>
  <w:footnote w:type="continuationSeparator" w:id="0">
    <w:p w:rsidR="009221CE" w:rsidRDefault="00922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1CE" w:rsidRDefault="009221CE" w:rsidP="00E47578">
    <w:pPr>
      <w:pStyle w:val="Header"/>
      <w:rPr>
        <w:rStyle w:val="PageNumber"/>
        <w:sz w:val="24"/>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213A9">
      <w:rPr>
        <w:rStyle w:val="PageNumber"/>
        <w:noProof/>
      </w:rPr>
      <w:t>8</w:t>
    </w:r>
    <w:r>
      <w:rPr>
        <w:rStyle w:val="PageNumber"/>
      </w:rPr>
      <w:fldChar w:fldCharType="end"/>
    </w:r>
    <w:r>
      <w:rPr>
        <w:rStyle w:val="PageNumber"/>
      </w:rPr>
      <w:t xml:space="preserve"> -</w:t>
    </w:r>
  </w:p>
  <w:p w:rsidR="009221CE" w:rsidRDefault="009221CE" w:rsidP="001E3973">
    <w:pPr>
      <w:pStyle w:val="Header"/>
      <w:rPr>
        <w:lang w:val="en-US"/>
      </w:rPr>
    </w:pPr>
    <w:r>
      <w:rPr>
        <w:lang w:val="en-US"/>
      </w:rPr>
      <w:t>5D/65-E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AE5"/>
    <w:rsid w:val="00065DD5"/>
    <w:rsid w:val="0012041B"/>
    <w:rsid w:val="001C671D"/>
    <w:rsid w:val="001D6A78"/>
    <w:rsid w:val="001E3973"/>
    <w:rsid w:val="005070CE"/>
    <w:rsid w:val="0056586C"/>
    <w:rsid w:val="005A0472"/>
    <w:rsid w:val="006551D7"/>
    <w:rsid w:val="006F0184"/>
    <w:rsid w:val="00714A02"/>
    <w:rsid w:val="007A72B6"/>
    <w:rsid w:val="007F154F"/>
    <w:rsid w:val="0081664C"/>
    <w:rsid w:val="009221CE"/>
    <w:rsid w:val="00974BAD"/>
    <w:rsid w:val="009A232E"/>
    <w:rsid w:val="00AB418E"/>
    <w:rsid w:val="00AD1A10"/>
    <w:rsid w:val="00B213A9"/>
    <w:rsid w:val="00B53AEF"/>
    <w:rsid w:val="00CC692A"/>
    <w:rsid w:val="00D73F87"/>
    <w:rsid w:val="00E47578"/>
    <w:rsid w:val="00E51547"/>
    <w:rsid w:val="00F979DE"/>
  </w:rsids>
  <m:mathPr>
    <m:mathFont m:val="Cambria Math"/>
    <m:brkBin m:val="before"/>
    <m:brkBinSub m:val="--"/>
    <m:smallFrac m:val="0"/>
    <m:dispDef m:val="0"/>
    <m:lMargin m:val="0"/>
    <m:rMargin m:val="0"/>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H"/>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rsid w:val="00E63C59"/>
    <w:rPr>
      <w:b/>
    </w:rPr>
  </w:style>
  <w:style w:type="character" w:customStyle="1" w:styleId="Resdef">
    <w:name w:val="Res_def"/>
    <w:rsid w:val="00E63C59"/>
    <w:rPr>
      <w:rFonts w:ascii="Times New Roman" w:hAnsi="Times New Roman"/>
      <w:b/>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uiPriority w:val="99"/>
    <w:rsid w:val="00951DE7"/>
    <w:rPr>
      <w:color w:val="0000FF"/>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link w:val="Heading1"/>
    <w:rsid w:val="00951DE7"/>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951DE7"/>
    <w:rPr>
      <w:rFonts w:ascii="Times New Roman" w:hAnsi="Times New Roman"/>
      <w:b/>
      <w:sz w:val="24"/>
      <w:lang w:val="en-GB" w:eastAsia="en-US"/>
    </w:rPr>
  </w:style>
  <w:style w:type="character" w:customStyle="1" w:styleId="enumlev1Char">
    <w:name w:val="enumlev1 Char"/>
    <w:link w:val="enumlev1"/>
    <w:rsid w:val="00951DE7"/>
    <w:rPr>
      <w:rFonts w:ascii="Times New Roman" w:hAnsi="Times New Roman"/>
      <w:sz w:val="24"/>
      <w:lang w:val="en-GB" w:eastAsia="en-US"/>
    </w:rPr>
  </w:style>
  <w:style w:type="paragraph" w:customStyle="1" w:styleId="TableText0">
    <w:name w:val="Table_Text"/>
    <w:basedOn w:val="Normal"/>
    <w:rsid w:val="00951D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szCs w:val="22"/>
      <w:lang w:val="es-ES_tradnl"/>
    </w:rPr>
  </w:style>
  <w:style w:type="paragraph" w:customStyle="1" w:styleId="headingb0">
    <w:name w:val="heading_b"/>
    <w:basedOn w:val="Heading3"/>
    <w:next w:val="Normal"/>
    <w:rsid w:val="00951DE7"/>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style>
  <w:style w:type="paragraph" w:customStyle="1" w:styleId="Rec">
    <w:name w:val="Rec_#"/>
    <w:basedOn w:val="Normal"/>
    <w:next w:val="Rectitle"/>
    <w:rsid w:val="00951DE7"/>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customStyle="1" w:styleId="TableHead0">
    <w:name w:val="Table_Head"/>
    <w:basedOn w:val="TableText0"/>
    <w:rsid w:val="00951DE7"/>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951DE7"/>
    <w:rPr>
      <w:rFonts w:ascii="Times New Roman Bold" w:hAnsi="Times New Roman Bold"/>
      <w:b/>
      <w:lang w:val="en-GB" w:eastAsia="en-US"/>
    </w:rPr>
  </w:style>
  <w:style w:type="character" w:customStyle="1" w:styleId="TableNoChar">
    <w:name w:val="Table_No Char"/>
    <w:link w:val="TableNo"/>
    <w:rsid w:val="00951DE7"/>
    <w:rPr>
      <w:rFonts w:ascii="Times New Roman" w:hAnsi="Times New Roman"/>
      <w:caps/>
      <w:lang w:val="en-GB" w:eastAsia="en-US"/>
    </w:rPr>
  </w:style>
  <w:style w:type="character" w:customStyle="1" w:styleId="Hyperlink1">
    <w:name w:val="Hyperlink1"/>
    <w:autoRedefine/>
    <w:rsid w:val="00E174FC"/>
    <w:rPr>
      <w:color w:val="0000FF"/>
    </w:rPr>
  </w:style>
  <w:style w:type="paragraph" w:styleId="BalloonText">
    <w:name w:val="Balloon Text"/>
    <w:basedOn w:val="Normal"/>
    <w:link w:val="BalloonTextChar"/>
    <w:rsid w:val="005E3246"/>
    <w:pPr>
      <w:spacing w:before="0"/>
    </w:pPr>
    <w:rPr>
      <w:rFonts w:ascii="Arial" w:eastAsia="MS Gothic" w:hAnsi="Arial"/>
      <w:sz w:val="16"/>
      <w:szCs w:val="16"/>
    </w:rPr>
  </w:style>
  <w:style w:type="character" w:customStyle="1" w:styleId="BalloonTextChar">
    <w:name w:val="Balloon Text Char"/>
    <w:link w:val="BalloonText"/>
    <w:rsid w:val="005E3246"/>
    <w:rPr>
      <w:rFonts w:ascii="Arial" w:eastAsia="MS Gothic" w:hAnsi="Arial" w:cs="Times New Roman"/>
      <w:sz w:val="16"/>
      <w:szCs w:val="16"/>
      <w:lang w:val="en-GB" w:eastAsia="en-US"/>
    </w:rPr>
  </w:style>
  <w:style w:type="character" w:styleId="FollowedHyperlink">
    <w:name w:val="FollowedHyperlink"/>
    <w:rsid w:val="00303A48"/>
    <w:rPr>
      <w:color w:val="800080"/>
      <w:u w:val="single"/>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link w:val="Heading3"/>
    <w:rsid w:val="008166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1664C"/>
    <w:rPr>
      <w:rFonts w:ascii="Times New Roman" w:hAnsi="Times New Roman"/>
      <w:b/>
      <w:sz w:val="24"/>
      <w:lang w:val="en-GB"/>
    </w:rPr>
  </w:style>
  <w:style w:type="character" w:customStyle="1" w:styleId="Heading5Char">
    <w:name w:val="Heading 5 Char"/>
    <w:aliases w:val="H5 Char,T5 Char,h5 Char,5 Char1,heading 5 Char,Heading5 Char1,h51 Char1,heading 51 Char1,Heading51 Char1,h52 Char1,h53 Char1"/>
    <w:link w:val="Heading5"/>
    <w:rsid w:val="0081664C"/>
    <w:rPr>
      <w:rFonts w:ascii="Times New Roman" w:hAnsi="Times New Roman"/>
      <w:b/>
      <w:sz w:val="24"/>
      <w:lang w:val="en-GB"/>
    </w:rPr>
  </w:style>
  <w:style w:type="character" w:customStyle="1" w:styleId="Heading6Char">
    <w:name w:val="Heading 6 Char"/>
    <w:aliases w:val="T6 Char,H6 Char,Titre 66 Char,h6 Char,6 Char,Heading6 Char,h61 Char,h62 Char"/>
    <w:link w:val="Heading6"/>
    <w:rsid w:val="0081664C"/>
    <w:rPr>
      <w:rFonts w:ascii="Times New Roman" w:hAnsi="Times New Roman"/>
      <w:b/>
      <w:sz w:val="24"/>
      <w:lang w:val="en-GB"/>
    </w:rPr>
  </w:style>
  <w:style w:type="character" w:customStyle="1" w:styleId="Heading7Char">
    <w:name w:val="Heading 7 Char"/>
    <w:link w:val="Heading7"/>
    <w:rsid w:val="0081664C"/>
    <w:rPr>
      <w:rFonts w:ascii="Times New Roman" w:hAnsi="Times New Roman"/>
      <w:b/>
      <w:sz w:val="24"/>
      <w:lang w:val="en-GB"/>
    </w:rPr>
  </w:style>
  <w:style w:type="character" w:customStyle="1" w:styleId="HeadingbChar">
    <w:name w:val="Heading_b Char"/>
    <w:link w:val="Headingb"/>
    <w:rsid w:val="0081664C"/>
    <w:rPr>
      <w:rFonts w:ascii="Times" w:hAnsi="Times"/>
      <w:b/>
      <w:sz w:val="24"/>
      <w:lang w:val="en-GB"/>
    </w:rPr>
  </w:style>
  <w:style w:type="paragraph" w:customStyle="1" w:styleId="Tablefin">
    <w:name w:val="Table_fin"/>
    <w:basedOn w:val="Normal"/>
    <w:next w:val="Normal"/>
    <w:rsid w:val="0081664C"/>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Blanc">
    <w:name w:val="Blanc"/>
    <w:basedOn w:val="Normal"/>
    <w:next w:val="Tabletext"/>
    <w:rsid w:val="0081664C"/>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81664C"/>
    <w:pPr>
      <w:pBdr>
        <w:top w:val="single" w:sz="6" w:space="1" w:color="auto"/>
      </w:pBdr>
      <w:tabs>
        <w:tab w:val="clear" w:pos="1134"/>
        <w:tab w:val="clear" w:pos="1871"/>
        <w:tab w:val="clear" w:pos="2268"/>
      </w:tabs>
      <w:spacing w:before="240"/>
      <w:ind w:left="3997" w:right="3997"/>
      <w:jc w:val="center"/>
    </w:pPr>
    <w:rPr>
      <w:sz w:val="20"/>
    </w:rPr>
  </w:style>
  <w:style w:type="character" w:customStyle="1" w:styleId="TabletextChar">
    <w:name w:val="Table_text Char"/>
    <w:link w:val="Tabletext"/>
    <w:uiPriority w:val="99"/>
    <w:rsid w:val="0081664C"/>
    <w:rPr>
      <w:rFonts w:ascii="Times New Roman" w:hAnsi="Times New Roman"/>
      <w:lang w:val="en-GB"/>
    </w:rPr>
  </w:style>
  <w:style w:type="character" w:customStyle="1" w:styleId="TableheadChar">
    <w:name w:val="Table_head Char"/>
    <w:link w:val="Tablehead"/>
    <w:uiPriority w:val="99"/>
    <w:rsid w:val="0081664C"/>
    <w:rPr>
      <w:rFonts w:ascii="Times New Roman Bold" w:hAnsi="Times New Roman Bold"/>
      <w:b/>
      <w:lang w:val="en-GB"/>
    </w:rPr>
  </w:style>
  <w:style w:type="character" w:customStyle="1" w:styleId="apple-style-span">
    <w:name w:val="apple-style-span"/>
    <w:rsid w:val="0081664C"/>
  </w:style>
  <w:style w:type="character" w:customStyle="1" w:styleId="field-content">
    <w:name w:val="field-content"/>
    <w:rsid w:val="008166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H"/>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rsid w:val="00E63C59"/>
    <w:rPr>
      <w:b/>
    </w:rPr>
  </w:style>
  <w:style w:type="character" w:customStyle="1" w:styleId="Resdef">
    <w:name w:val="Res_def"/>
    <w:rsid w:val="00E63C59"/>
    <w:rPr>
      <w:rFonts w:ascii="Times New Roman" w:hAnsi="Times New Roman"/>
      <w:b/>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uiPriority w:val="99"/>
    <w:rsid w:val="00951DE7"/>
    <w:rPr>
      <w:color w:val="0000FF"/>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link w:val="Heading1"/>
    <w:rsid w:val="00951DE7"/>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951DE7"/>
    <w:rPr>
      <w:rFonts w:ascii="Times New Roman" w:hAnsi="Times New Roman"/>
      <w:b/>
      <w:sz w:val="24"/>
      <w:lang w:val="en-GB" w:eastAsia="en-US"/>
    </w:rPr>
  </w:style>
  <w:style w:type="character" w:customStyle="1" w:styleId="enumlev1Char">
    <w:name w:val="enumlev1 Char"/>
    <w:link w:val="enumlev1"/>
    <w:rsid w:val="00951DE7"/>
    <w:rPr>
      <w:rFonts w:ascii="Times New Roman" w:hAnsi="Times New Roman"/>
      <w:sz w:val="24"/>
      <w:lang w:val="en-GB" w:eastAsia="en-US"/>
    </w:rPr>
  </w:style>
  <w:style w:type="paragraph" w:customStyle="1" w:styleId="TableText0">
    <w:name w:val="Table_Text"/>
    <w:basedOn w:val="Normal"/>
    <w:rsid w:val="00951D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szCs w:val="22"/>
      <w:lang w:val="es-ES_tradnl"/>
    </w:rPr>
  </w:style>
  <w:style w:type="paragraph" w:customStyle="1" w:styleId="headingb0">
    <w:name w:val="heading_b"/>
    <w:basedOn w:val="Heading3"/>
    <w:next w:val="Normal"/>
    <w:rsid w:val="00951DE7"/>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style>
  <w:style w:type="paragraph" w:customStyle="1" w:styleId="Rec">
    <w:name w:val="Rec_#"/>
    <w:basedOn w:val="Normal"/>
    <w:next w:val="Rectitle"/>
    <w:rsid w:val="00951DE7"/>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customStyle="1" w:styleId="TableHead0">
    <w:name w:val="Table_Head"/>
    <w:basedOn w:val="TableText0"/>
    <w:rsid w:val="00951DE7"/>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951DE7"/>
    <w:rPr>
      <w:rFonts w:ascii="Times New Roman Bold" w:hAnsi="Times New Roman Bold"/>
      <w:b/>
      <w:lang w:val="en-GB" w:eastAsia="en-US"/>
    </w:rPr>
  </w:style>
  <w:style w:type="character" w:customStyle="1" w:styleId="TableNoChar">
    <w:name w:val="Table_No Char"/>
    <w:link w:val="TableNo"/>
    <w:rsid w:val="00951DE7"/>
    <w:rPr>
      <w:rFonts w:ascii="Times New Roman" w:hAnsi="Times New Roman"/>
      <w:caps/>
      <w:lang w:val="en-GB" w:eastAsia="en-US"/>
    </w:rPr>
  </w:style>
  <w:style w:type="character" w:customStyle="1" w:styleId="Hyperlink1">
    <w:name w:val="Hyperlink1"/>
    <w:autoRedefine/>
    <w:rsid w:val="00E174FC"/>
    <w:rPr>
      <w:color w:val="0000FF"/>
    </w:rPr>
  </w:style>
  <w:style w:type="paragraph" w:styleId="BalloonText">
    <w:name w:val="Balloon Text"/>
    <w:basedOn w:val="Normal"/>
    <w:link w:val="BalloonTextChar"/>
    <w:rsid w:val="005E3246"/>
    <w:pPr>
      <w:spacing w:before="0"/>
    </w:pPr>
    <w:rPr>
      <w:rFonts w:ascii="Arial" w:eastAsia="MS Gothic" w:hAnsi="Arial"/>
      <w:sz w:val="16"/>
      <w:szCs w:val="16"/>
    </w:rPr>
  </w:style>
  <w:style w:type="character" w:customStyle="1" w:styleId="BalloonTextChar">
    <w:name w:val="Balloon Text Char"/>
    <w:link w:val="BalloonText"/>
    <w:rsid w:val="005E3246"/>
    <w:rPr>
      <w:rFonts w:ascii="Arial" w:eastAsia="MS Gothic" w:hAnsi="Arial" w:cs="Times New Roman"/>
      <w:sz w:val="16"/>
      <w:szCs w:val="16"/>
      <w:lang w:val="en-GB" w:eastAsia="en-US"/>
    </w:rPr>
  </w:style>
  <w:style w:type="character" w:styleId="FollowedHyperlink">
    <w:name w:val="FollowedHyperlink"/>
    <w:rsid w:val="00303A48"/>
    <w:rPr>
      <w:color w:val="800080"/>
      <w:u w:val="single"/>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link w:val="Heading3"/>
    <w:rsid w:val="008166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1664C"/>
    <w:rPr>
      <w:rFonts w:ascii="Times New Roman" w:hAnsi="Times New Roman"/>
      <w:b/>
      <w:sz w:val="24"/>
      <w:lang w:val="en-GB"/>
    </w:rPr>
  </w:style>
  <w:style w:type="character" w:customStyle="1" w:styleId="Heading5Char">
    <w:name w:val="Heading 5 Char"/>
    <w:aliases w:val="H5 Char,T5 Char,h5 Char,5 Char1,heading 5 Char,Heading5 Char1,h51 Char1,heading 51 Char1,Heading51 Char1,h52 Char1,h53 Char1"/>
    <w:link w:val="Heading5"/>
    <w:rsid w:val="0081664C"/>
    <w:rPr>
      <w:rFonts w:ascii="Times New Roman" w:hAnsi="Times New Roman"/>
      <w:b/>
      <w:sz w:val="24"/>
      <w:lang w:val="en-GB"/>
    </w:rPr>
  </w:style>
  <w:style w:type="character" w:customStyle="1" w:styleId="Heading6Char">
    <w:name w:val="Heading 6 Char"/>
    <w:aliases w:val="T6 Char,H6 Char,Titre 66 Char,h6 Char,6 Char,Heading6 Char,h61 Char,h62 Char"/>
    <w:link w:val="Heading6"/>
    <w:rsid w:val="0081664C"/>
    <w:rPr>
      <w:rFonts w:ascii="Times New Roman" w:hAnsi="Times New Roman"/>
      <w:b/>
      <w:sz w:val="24"/>
      <w:lang w:val="en-GB"/>
    </w:rPr>
  </w:style>
  <w:style w:type="character" w:customStyle="1" w:styleId="Heading7Char">
    <w:name w:val="Heading 7 Char"/>
    <w:link w:val="Heading7"/>
    <w:rsid w:val="0081664C"/>
    <w:rPr>
      <w:rFonts w:ascii="Times New Roman" w:hAnsi="Times New Roman"/>
      <w:b/>
      <w:sz w:val="24"/>
      <w:lang w:val="en-GB"/>
    </w:rPr>
  </w:style>
  <w:style w:type="character" w:customStyle="1" w:styleId="HeadingbChar">
    <w:name w:val="Heading_b Char"/>
    <w:link w:val="Headingb"/>
    <w:rsid w:val="0081664C"/>
    <w:rPr>
      <w:rFonts w:ascii="Times" w:hAnsi="Times"/>
      <w:b/>
      <w:sz w:val="24"/>
      <w:lang w:val="en-GB"/>
    </w:rPr>
  </w:style>
  <w:style w:type="paragraph" w:customStyle="1" w:styleId="Tablefin">
    <w:name w:val="Table_fin"/>
    <w:basedOn w:val="Normal"/>
    <w:next w:val="Normal"/>
    <w:rsid w:val="0081664C"/>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Blanc">
    <w:name w:val="Blanc"/>
    <w:basedOn w:val="Normal"/>
    <w:next w:val="Tabletext"/>
    <w:rsid w:val="0081664C"/>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81664C"/>
    <w:pPr>
      <w:pBdr>
        <w:top w:val="single" w:sz="6" w:space="1" w:color="auto"/>
      </w:pBdr>
      <w:tabs>
        <w:tab w:val="clear" w:pos="1134"/>
        <w:tab w:val="clear" w:pos="1871"/>
        <w:tab w:val="clear" w:pos="2268"/>
      </w:tabs>
      <w:spacing w:before="240"/>
      <w:ind w:left="3997" w:right="3997"/>
      <w:jc w:val="center"/>
    </w:pPr>
    <w:rPr>
      <w:sz w:val="20"/>
    </w:rPr>
  </w:style>
  <w:style w:type="character" w:customStyle="1" w:styleId="TabletextChar">
    <w:name w:val="Table_text Char"/>
    <w:link w:val="Tabletext"/>
    <w:uiPriority w:val="99"/>
    <w:rsid w:val="0081664C"/>
    <w:rPr>
      <w:rFonts w:ascii="Times New Roman" w:hAnsi="Times New Roman"/>
      <w:lang w:val="en-GB"/>
    </w:rPr>
  </w:style>
  <w:style w:type="character" w:customStyle="1" w:styleId="TableheadChar">
    <w:name w:val="Table_head Char"/>
    <w:link w:val="Tablehead"/>
    <w:uiPriority w:val="99"/>
    <w:rsid w:val="0081664C"/>
    <w:rPr>
      <w:rFonts w:ascii="Times New Roman Bold" w:hAnsi="Times New Roman Bold"/>
      <w:b/>
      <w:lang w:val="en-GB"/>
    </w:rPr>
  </w:style>
  <w:style w:type="character" w:customStyle="1" w:styleId="apple-style-span">
    <w:name w:val="apple-style-span"/>
    <w:rsid w:val="0081664C"/>
  </w:style>
  <w:style w:type="character" w:customStyle="1" w:styleId="field-content">
    <w:name w:val="field-content"/>
    <w:rsid w:val="00816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Microsoft_Word_97_-_2003_Document1.doc"/><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eqmgr@iee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pub/R-QUE-SG05.229-3-2012" TargetMode="External"/><Relationship Id="rId14" Type="http://schemas.openxmlformats.org/officeDocument/2006/relationships/oleObject" Target="embeddings/Microsoft_Word_97_-_2003_Document2.doc"/></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C51AE-9FD8-4389-BB06-10172F319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19</TotalTime>
  <Pages>9</Pages>
  <Words>2311</Words>
  <Characters>13195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Hewlett-Packard</Company>
  <LinksUpToDate>false</LinksUpToDate>
  <CharactersWithSpaces>15476</CharactersWithSpaces>
  <SharedDoc>false</SharedDoc>
  <HLinks>
    <vt:vector size="48" baseType="variant">
      <vt:variant>
        <vt:i4>3014657</vt:i4>
      </vt:variant>
      <vt:variant>
        <vt:i4>21</vt:i4>
      </vt:variant>
      <vt:variant>
        <vt:i4>0</vt:i4>
      </vt:variant>
      <vt:variant>
        <vt:i4>5</vt:i4>
      </vt:variant>
      <vt:variant>
        <vt:lpwstr>mailto:freqmgr@ieee.org</vt:lpwstr>
      </vt:variant>
      <vt:variant>
        <vt:lpwstr/>
      </vt:variant>
      <vt:variant>
        <vt:i4>3539041</vt:i4>
      </vt:variant>
      <vt:variant>
        <vt:i4>18</vt:i4>
      </vt:variant>
      <vt:variant>
        <vt:i4>0</vt:i4>
      </vt:variant>
      <vt:variant>
        <vt:i4>5</vt:i4>
      </vt:variant>
      <vt:variant>
        <vt:lpwstr/>
      </vt:variant>
      <vt:variant>
        <vt:lpwstr>a6</vt:lpwstr>
      </vt:variant>
      <vt:variant>
        <vt:i4>3473505</vt:i4>
      </vt:variant>
      <vt:variant>
        <vt:i4>15</vt:i4>
      </vt:variant>
      <vt:variant>
        <vt:i4>0</vt:i4>
      </vt:variant>
      <vt:variant>
        <vt:i4>5</vt:i4>
      </vt:variant>
      <vt:variant>
        <vt:lpwstr/>
      </vt:variant>
      <vt:variant>
        <vt:lpwstr>a5</vt:lpwstr>
      </vt:variant>
      <vt:variant>
        <vt:i4>3407969</vt:i4>
      </vt:variant>
      <vt:variant>
        <vt:i4>12</vt:i4>
      </vt:variant>
      <vt:variant>
        <vt:i4>0</vt:i4>
      </vt:variant>
      <vt:variant>
        <vt:i4>5</vt:i4>
      </vt:variant>
      <vt:variant>
        <vt:lpwstr/>
      </vt:variant>
      <vt:variant>
        <vt:lpwstr>a4</vt:lpwstr>
      </vt:variant>
      <vt:variant>
        <vt:i4>3342433</vt:i4>
      </vt:variant>
      <vt:variant>
        <vt:i4>9</vt:i4>
      </vt:variant>
      <vt:variant>
        <vt:i4>0</vt:i4>
      </vt:variant>
      <vt:variant>
        <vt:i4>5</vt:i4>
      </vt:variant>
      <vt:variant>
        <vt:lpwstr/>
      </vt:variant>
      <vt:variant>
        <vt:lpwstr>a3</vt:lpwstr>
      </vt:variant>
      <vt:variant>
        <vt:i4>3276897</vt:i4>
      </vt:variant>
      <vt:variant>
        <vt:i4>6</vt:i4>
      </vt:variant>
      <vt:variant>
        <vt:i4>0</vt:i4>
      </vt:variant>
      <vt:variant>
        <vt:i4>5</vt:i4>
      </vt:variant>
      <vt:variant>
        <vt:lpwstr/>
      </vt:variant>
      <vt:variant>
        <vt:lpwstr>a2</vt:lpwstr>
      </vt:variant>
      <vt:variant>
        <vt:i4>3211361</vt:i4>
      </vt:variant>
      <vt:variant>
        <vt:i4>3</vt:i4>
      </vt:variant>
      <vt:variant>
        <vt:i4>0</vt:i4>
      </vt:variant>
      <vt:variant>
        <vt:i4>5</vt:i4>
      </vt:variant>
      <vt:variant>
        <vt:lpwstr/>
      </vt:variant>
      <vt:variant>
        <vt:lpwstr>a1</vt:lpwstr>
      </vt:variant>
      <vt:variant>
        <vt:i4>196621</vt:i4>
      </vt:variant>
      <vt:variant>
        <vt:i4>0</vt:i4>
      </vt:variant>
      <vt:variant>
        <vt:i4>0</vt:i4>
      </vt:variant>
      <vt:variant>
        <vt:i4>5</vt:i4>
      </vt:variant>
      <vt:variant>
        <vt:lpwstr>http://www.itu.int/pub/R-QUE-SG05.229-3-2012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detraz</dc:creator>
  <cp:keywords/>
  <cp:lastModifiedBy>capdessu</cp:lastModifiedBy>
  <cp:revision>6</cp:revision>
  <cp:lastPrinted>2012-07-06T07:13:00Z</cp:lastPrinted>
  <dcterms:created xsi:type="dcterms:W3CDTF">2012-07-06T09:41:00Z</dcterms:created>
  <dcterms:modified xsi:type="dcterms:W3CDTF">2012-07-06T10:02:00Z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