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 w:rsidP="00932F1C">
            <w:pPr>
              <w:pStyle w:val="covertext"/>
              <w:snapToGrid w:val="0"/>
              <w:rPr>
                <w:b/>
              </w:rPr>
            </w:pPr>
            <w:bookmarkStart w:id="0" w:name="_GoBack"/>
            <w:r w:rsidRPr="00DD7EE6">
              <w:rPr>
                <w:b/>
                <w:i/>
              </w:rPr>
              <w:t>Collision resolution method in reactive operation of HR-MS acting as HR-BS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 w:rsidRPr="00932F1C">
              <w:rPr>
                <w:b/>
              </w:rPr>
              <w:t>2012-01-1</w:t>
            </w:r>
            <w:r w:rsidR="004A169C">
              <w:rPr>
                <w:rFonts w:hint="eastAsia"/>
                <w:b/>
                <w:lang w:eastAsia="ko-KR"/>
              </w:rPr>
              <w:t>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92701D" w:rsidRPr="008C4159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6431A1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6431A1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DD7EE6" w:rsidRDefault="006431A1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>
            <w:pPr>
              <w:pStyle w:val="covertext"/>
              <w:snapToGrid w:val="0"/>
            </w:pPr>
            <w:r w:rsidRPr="00DD7EE6">
              <w:t>This contribution is proposes the collision resolution method when HR-MS tries to change the mode to HR-BS in reactive operation.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</w:p>
    <w:p w:rsidR="008C4159" w:rsidRPr="009A7C5B" w:rsidRDefault="008C4159" w:rsidP="008C4159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e"/>
          <w:i w:val="0"/>
          <w:lang w:eastAsia="ko-KR"/>
        </w:rPr>
      </w:pP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</w:t>
      </w:r>
      <w:proofErr w:type="spellStart"/>
      <w:r w:rsidRPr="009A7C5B">
        <w:rPr>
          <w:rStyle w:val="ae"/>
          <w:lang w:eastAsia="ko-KR"/>
        </w:rPr>
        <w:t>Yun</w:t>
      </w:r>
      <w:proofErr w:type="spellEnd"/>
      <w:r w:rsidRPr="009A7C5B">
        <w:rPr>
          <w:rStyle w:val="ae"/>
          <w:lang w:eastAsia="ko-KR"/>
        </w:rPr>
        <w:t xml:space="preserve">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GRIDMAN AWD for IEEE 802.16.1a describes base station function for HR-MS in Section 6.12.1.3. In the reactive operation described in Section 6.12.1.3.2,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</w:p>
    <w:p w:rsidR="008C4159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12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.1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.1a.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  <w:r w:rsidRPr="00DD7EE6">
        <w:rPr>
          <w:rFonts w:ascii="Times" w:eastAsia="맑은 고딕" w:hAnsi="Times"/>
          <w:b/>
          <w:sz w:val="28"/>
          <w:lang w:eastAsia="ko-KR"/>
        </w:rPr>
        <w:t>6.12.1 Multi-mode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 xml:space="preserve"> 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 xml:space="preserve">Base station 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function for HR-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M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S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2 Reactive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szCs w:val="24"/>
          <w:lang w:eastAsia="ko-KR"/>
        </w:rPr>
      </w:pPr>
      <w:r w:rsidRPr="00DD7EE6">
        <w:rPr>
          <w:rFonts w:ascii="Times" w:eastAsia="맑은 고딕" w:hAnsi="Times"/>
          <w:sz w:val="24"/>
          <w:szCs w:val="24"/>
          <w:lang w:eastAsia="ko-KR"/>
        </w:rPr>
        <w:t>…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lastRenderedPageBreak/>
        <w:t>6.12.1.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>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n order to avoid this situation, the HR-MS who wants to perform BS operation tries to transmit a preamble in a certain time period before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occurred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In initial access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sets two timers which are initial-access timer and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nitial-access timer is used to define the duration of initial access phase. The timer starts from 0 to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]. The value is deterministic and it is a function of battery level, maximum transmission power, etc.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After transmitting a preamble, HR-MS senses the channel again until the initial-access timer is timeout. If a preamble from other HR-MS is detected before the initial-access timer is timeout, the HR-MS gives up its mode change. Otherwise the HR-MS moves to the collision resolution phase.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sets two timers which are collision-resolution timer and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Collision-resolution timer is used for the duration of collision resolution phase. The timer starts from 0 to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vertAlign w:val="subscript"/>
          <w:lang w:eastAsia="ko-KR"/>
        </w:rPr>
        <w:t>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 randomly in the manner of uniform distribution.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 (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&lt;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).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After transmitting a preamble, HR-MS senses the channel again until the collision-resolution timer is timeout. If a preamble from other HR-MS is detected before the collision-resolution timer is timeout, the HR-MS gives up its mode change. Otherwise the HR-MS starts transmitting signals as base station does.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맑은 고딕" w:eastAsia="맑은 고딕" w:hAnsi="맑은 고딕" w:hint="eastAsia"/>
          <w:noProof/>
          <w:kern w:val="2"/>
          <w:szCs w:val="22"/>
          <w:lang w:eastAsia="ko-KR"/>
        </w:rPr>
        <w:lastRenderedPageBreak/>
        <w:drawing>
          <wp:inline distT="0" distB="0" distL="0" distR="0">
            <wp:extent cx="6858000" cy="38068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4A169C" w:rsidRDefault="00DD7EE6" w:rsidP="00DD7EE6">
      <w:pPr>
        <w:suppressAutoHyphens/>
        <w:wordWrap/>
        <w:autoSpaceDE/>
        <w:autoSpaceDN/>
        <w:rPr>
          <w:rFonts w:eastAsia="PMingLiU"/>
          <w:b/>
          <w:strike/>
          <w:color w:val="FF0000"/>
          <w:kern w:val="24"/>
          <w:sz w:val="24"/>
          <w:lang w:eastAsia="zh-TW"/>
        </w:rPr>
      </w:pPr>
      <w:r w:rsidRPr="00DD7EE6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6.12.1.3.2.1</w:t>
      </w:r>
      <w:r w:rsidR="004A169C"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 xml:space="preserve"> </w:t>
      </w:r>
      <w:r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Topology discovery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맑은 고딕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BC" w:rsidRDefault="004258BC" w:rsidP="004258BC">
      <w:r>
        <w:separator/>
      </w:r>
    </w:p>
  </w:endnote>
  <w:endnote w:type="continuationSeparator" w:id="0">
    <w:p w:rsidR="004258BC" w:rsidRDefault="004258BC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6431A1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6431A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1582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BC" w:rsidRDefault="004258BC" w:rsidP="004258BC">
      <w:r>
        <w:separator/>
      </w:r>
    </w:p>
  </w:footnote>
  <w:footnote w:type="continuationSeparator" w:id="0">
    <w:p w:rsidR="004258BC" w:rsidRDefault="004258BC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bookmarkEnd w:id="1"/>
    <w:bookmarkEnd w:id="2"/>
    <w:r w:rsidR="004A169C">
      <w:t>-0086-0</w:t>
    </w:r>
    <w:r w:rsidR="004A169C">
      <w:rPr>
        <w:rFonts w:hint="eastAsia"/>
        <w:lang w:eastAsia="ko-KR"/>
      </w:rPr>
      <w:t>1</w:t>
    </w:r>
    <w:r w:rsidR="007370B2" w:rsidRPr="007370B2">
      <w:t>-010a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92FBC"/>
    <w:rsid w:val="000F39E3"/>
    <w:rsid w:val="00111582"/>
    <w:rsid w:val="001873E1"/>
    <w:rsid w:val="001945BD"/>
    <w:rsid w:val="001E1E19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74B3D"/>
    <w:rsid w:val="004A169C"/>
    <w:rsid w:val="004C4989"/>
    <w:rsid w:val="004E4250"/>
    <w:rsid w:val="0055480C"/>
    <w:rsid w:val="00594A58"/>
    <w:rsid w:val="005A6A10"/>
    <w:rsid w:val="005B2A89"/>
    <w:rsid w:val="00620E9A"/>
    <w:rsid w:val="006431A1"/>
    <w:rsid w:val="006660AD"/>
    <w:rsid w:val="00675A03"/>
    <w:rsid w:val="006E6CA9"/>
    <w:rsid w:val="007370B2"/>
    <w:rsid w:val="007A65B2"/>
    <w:rsid w:val="007C2472"/>
    <w:rsid w:val="00860281"/>
    <w:rsid w:val="00883A58"/>
    <w:rsid w:val="008B705A"/>
    <w:rsid w:val="008C4159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F093A"/>
    <w:rsid w:val="00D22A31"/>
    <w:rsid w:val="00D70923"/>
    <w:rsid w:val="00D73040"/>
    <w:rsid w:val="00DD7EE6"/>
    <w:rsid w:val="00DE2F03"/>
    <w:rsid w:val="00E47D14"/>
    <w:rsid w:val="00E5656C"/>
    <w:rsid w:val="00E80323"/>
    <w:rsid w:val="00E86A34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D7EE6"/>
    <w:rPr>
      <w:color w:val="0000FF" w:themeColor="hyperlink"/>
      <w:u w:val="single"/>
    </w:rPr>
  </w:style>
  <w:style w:type="paragraph" w:styleId="af1">
    <w:name w:val="Balloon Text"/>
    <w:basedOn w:val="a"/>
    <w:link w:val="Char0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1"/>
    <w:rsid w:val="00DD7E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hin@chosun.ac.kr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6950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2113-01-01T05:00:00Z</cp:lastPrinted>
  <dcterms:created xsi:type="dcterms:W3CDTF">2012-01-17T06:10:00Z</dcterms:created>
  <dcterms:modified xsi:type="dcterms:W3CDTF">2012-01-17T06:10:00Z</dcterms:modified>
</cp:coreProperties>
</file>