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Proposal of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proofErr w:type="spellStart"/>
            <w:r w:rsidR="002C1574" w:rsidRPr="00021D53">
              <w:t>Akifumi</w:t>
            </w:r>
            <w:proofErr w:type="spellEnd"/>
            <w:r w:rsidR="002C1574" w:rsidRPr="00021D53">
              <w:t xml:space="preserve"> </w:t>
            </w:r>
            <w:proofErr w:type="spellStart"/>
            <w:r w:rsidR="002C1574" w:rsidRPr="00021D53">
              <w:t>Kasamatsu</w:t>
            </w:r>
            <w:proofErr w:type="spellEnd"/>
            <w:r w:rsidR="002C1574" w:rsidRPr="00021D53">
              <w:t>,</w:t>
            </w:r>
            <w:r w:rsidR="0058110D" w:rsidRPr="00021D53">
              <w:rPr>
                <w:rFonts w:hint="eastAsia"/>
                <w:lang w:eastAsia="ja-JP"/>
              </w:rPr>
              <w:t xml:space="preserve"> </w:t>
            </w:r>
            <w:r w:rsidR="002C1574" w:rsidRPr="00021D53">
              <w:t>Norihiko Sekine</w:t>
            </w:r>
            <w:r w:rsidR="0058110D" w:rsidRPr="00021D53">
              <w:rPr>
                <w:rFonts w:hint="eastAsia"/>
                <w:lang w:eastAsia="ja-JP"/>
              </w:rPr>
              <w:t>,</w:t>
            </w:r>
            <w:r w:rsidR="002C1574" w:rsidRPr="00021D53">
              <w:t xml:space="preserve"> Iwao Hosako</w:t>
            </w:r>
            <w:r w:rsidR="0058110D" w:rsidRPr="00021D53">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 xml:space="preserve">IEEE Standard for High Data Rate Wireless Multi-Media Networks--Amendment 2: 100 Gb/s Wireless Switched Point-to-Point Physical </w:t>
            </w:r>
            <w:proofErr w:type="spellStart"/>
            <w:r w:rsidR="00EA0783" w:rsidRPr="00EA0783">
              <w:rPr>
                <w:lang w:eastAsia="ja-JP"/>
              </w:rPr>
              <w:t>Laye</w:t>
            </w:r>
            <w:proofErr w:type="spellEnd"/>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C50E1">
            <w:rPr>
              <w:b/>
              <w:sz w:val="28"/>
            </w:rPr>
            <w:t>Proposal of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Hyperlink"/>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Hyperlink"/>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Hyperlink"/>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Hyperlink"/>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Hyperlink"/>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Hyperlink"/>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Hyperlink"/>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Hyperlink"/>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Hyperlink"/>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Hyperlink"/>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[11]</w:t>
      </w:r>
      <w:r w:rsidRPr="00493121">
        <w:rPr>
          <w:rStyle w:val="Hyperlink"/>
          <w:rFonts w:hint="eastAsia"/>
          <w:u w:val="none"/>
          <w:lang w:eastAsia="ja-JP"/>
        </w:rPr>
        <w:t xml:space="preserve"> </w:t>
      </w:r>
      <w:r w:rsidRPr="00975872">
        <w:rPr>
          <w:rStyle w:val="Hyperlink"/>
          <w:lang w:eastAsia="ja-JP"/>
        </w:rPr>
        <w:t>https://www.itu.int/pub/R-REP-M.2417-2017</w:t>
      </w:r>
    </w:p>
    <w:p w14:paraId="1BCD36A4" w14:textId="667A627F" w:rsidR="00975872" w:rsidRDefault="00493121" w:rsidP="00975872">
      <w:pPr>
        <w:snapToGrid w:val="0"/>
        <w:spacing w:afterLines="50" w:after="120"/>
        <w:ind w:left="283" w:hangingChars="118" w:hanging="283"/>
        <w:rPr>
          <w:rStyle w:val="Hyperlink"/>
          <w:lang w:eastAsia="ja-JP"/>
        </w:rPr>
      </w:pPr>
      <w:r>
        <w:rPr>
          <w:rStyle w:val="Hyperlink"/>
          <w:rFonts w:hint="eastAsia"/>
          <w:u w:val="none"/>
          <w:lang w:eastAsia="ja-JP"/>
        </w:rPr>
        <w:t xml:space="preserve">[12] </w:t>
      </w:r>
      <w:hyperlink r:id="rId18" w:history="1">
        <w:r w:rsidRPr="00FA3D48">
          <w:rPr>
            <w:rStyle w:val="Hyperlink"/>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 xml:space="preserve">[13] </w:t>
      </w:r>
      <w:r w:rsidR="00975872" w:rsidRPr="00975872">
        <w:rPr>
          <w:rStyle w:val="Hyperlink"/>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Hyperlink"/>
          <w:lang w:eastAsia="ja-JP"/>
        </w:rPr>
      </w:pPr>
      <w:r w:rsidRPr="00493121">
        <w:rPr>
          <w:rStyle w:val="Hyperlink"/>
          <w:color w:val="auto"/>
          <w:u w:val="none"/>
          <w:lang w:eastAsia="ja-JP"/>
        </w:rPr>
        <w:t>[</w:t>
      </w:r>
      <w:r w:rsidR="00493121" w:rsidRPr="00493121">
        <w:rPr>
          <w:rStyle w:val="Hyperlink"/>
          <w:rFonts w:hint="eastAsia"/>
          <w:color w:val="auto"/>
          <w:u w:val="none"/>
          <w:lang w:eastAsia="ja-JP"/>
        </w:rPr>
        <w:t>14</w:t>
      </w:r>
      <w:r w:rsidRPr="00493121">
        <w:rPr>
          <w:rStyle w:val="Hyperlink"/>
          <w:color w:val="auto"/>
          <w:u w:val="none"/>
          <w:lang w:eastAsia="ja-JP"/>
        </w:rPr>
        <w:t xml:space="preserve">] </w:t>
      </w:r>
      <w:r w:rsidRPr="00975872">
        <w:rPr>
          <w:rStyle w:val="Hyperlink"/>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6BF8BE4" w14:textId="77777777" w:rsidR="001A6270" w:rsidRPr="00903D98" w:rsidRDefault="001A6270" w:rsidP="001A6270">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D665E21" w14:textId="170E7E30" w:rsidR="001A6270" w:rsidRPr="00AA0EC1" w:rsidRDefault="001A6270" w:rsidP="001A6270">
      <w:pPr>
        <w:spacing w:before="120"/>
        <w:rPr>
          <w:bCs/>
          <w:color w:val="000000"/>
          <w:lang w:val="en-GB" w:eastAsia="ja-JP"/>
        </w:rPr>
      </w:pPr>
      <w:r w:rsidRPr="00903D98">
        <w:rPr>
          <w:bCs/>
          <w:color w:val="000000"/>
          <w:lang w:val="en-GB" w:eastAsia="ja-JP"/>
        </w:rP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w:t>
      </w:r>
      <w:r>
        <w:rPr>
          <w:rStyle w:val="Funotenzeichen"/>
          <w:bCs/>
          <w:color w:val="000000"/>
          <w:lang w:val="en-GB" w:eastAsia="ja-JP"/>
        </w:rPr>
        <w:footnoteReference w:id="1"/>
      </w:r>
      <w:r w:rsidRPr="00903D98">
        <w:rPr>
          <w:bCs/>
          <w:color w:val="000000"/>
          <w:lang w:val="en-GB" w:eastAsia="ja-JP"/>
        </w:rPr>
        <w:t xml:space="preserve">. </w:t>
      </w:r>
      <w:r w:rsidRPr="00AA0EC1">
        <w:rPr>
          <w:bCs/>
          <w:color w:val="000000"/>
          <w:lang w:val="en-GB" w:eastAsia="ja-JP"/>
        </w:rPr>
        <w:t xml:space="preserve"> </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52D48337" w:rsidR="00EF0910" w:rsidRDefault="00021D53" w:rsidP="00AA0EC1">
      <w:pPr>
        <w:spacing w:before="120"/>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provided ITU-R WPs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2669AD">
        <w:t>—</w:t>
      </w:r>
      <w:r w:rsidR="00966B4D" w:rsidRPr="00966B4D">
        <w:rPr>
          <w:bCs/>
          <w:color w:val="000000"/>
          <w:lang w:val="en-GB" w:eastAsia="ja-JP"/>
        </w:rPr>
        <w:t>2017 - 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Funotenzeichen"/>
          <w:bCs/>
          <w:color w:val="000000"/>
          <w:lang w:val="en-GB" w:eastAsia="ja-JP"/>
        </w:rPr>
        <w:footnoteReference w:id="2"/>
      </w:r>
      <w:r w:rsidR="006A18D5" w:rsidRPr="006A18D5">
        <w:rPr>
          <w:bCs/>
          <w:color w:val="000000"/>
          <w:lang w:val="en-GB" w:eastAsia="ja-JP"/>
        </w:rPr>
        <w:t xml:space="preserve"> and F.2416</w:t>
      </w:r>
      <w:r w:rsidR="006A18D5">
        <w:rPr>
          <w:rStyle w:val="Funotenzeichen"/>
          <w:bCs/>
          <w:color w:val="000000"/>
          <w:lang w:val="en-GB" w:eastAsia="ja-JP"/>
        </w:rPr>
        <w:footnoteReference w:id="3"/>
      </w:r>
      <w:r w:rsidR="006A18D5" w:rsidRPr="006A18D5">
        <w:rPr>
          <w:bCs/>
          <w:color w:val="000000"/>
          <w:lang w:val="en-GB" w:eastAsia="ja-JP"/>
        </w:rPr>
        <w:t xml:space="preserve"> in 2017, respectively. The frequency bands 275</w:t>
      </w:r>
      <w:r w:rsidR="001A6270">
        <w:rPr>
          <w:bCs/>
          <w:color w:val="000000"/>
          <w:lang w:val="en-GB" w:eastAsia="ja-JP"/>
        </w:rPr>
        <w:t xml:space="preserve"> GHz to </w:t>
      </w:r>
      <w:r w:rsidR="006A18D5" w:rsidRPr="006A18D5">
        <w:rPr>
          <w:bCs/>
          <w:color w:val="000000"/>
          <w:lang w:val="en-GB" w:eastAsia="ja-JP"/>
        </w:rPr>
        <w:t>296 GHz, 306</w:t>
      </w:r>
      <w:r w:rsidR="001A6270">
        <w:rPr>
          <w:bCs/>
          <w:color w:val="000000"/>
          <w:lang w:val="en-GB" w:eastAsia="ja-JP"/>
        </w:rPr>
        <w:t xml:space="preserve"> GHz to</w:t>
      </w:r>
      <w:r w:rsidR="006A18D5" w:rsidRPr="006A18D5">
        <w:rPr>
          <w:bCs/>
          <w:color w:val="000000"/>
          <w:lang w:val="en-GB" w:eastAsia="ja-JP"/>
        </w:rPr>
        <w:t>313 GHz, 318</w:t>
      </w:r>
      <w:r w:rsidR="001A6270">
        <w:rPr>
          <w:bCs/>
          <w:color w:val="000000"/>
          <w:lang w:val="en-GB" w:eastAsia="ja-JP"/>
        </w:rPr>
        <w:t xml:space="preserve"> GHz to</w:t>
      </w:r>
      <w:r w:rsidR="006A18D5" w:rsidRPr="006A18D5">
        <w:rPr>
          <w:bCs/>
          <w:color w:val="000000"/>
          <w:lang w:val="en-GB" w:eastAsia="ja-JP"/>
        </w:rPr>
        <w:t xml:space="preserve"> 333 GHz and 356</w:t>
      </w:r>
      <w:r w:rsidR="001A6270">
        <w:rPr>
          <w:bCs/>
          <w:color w:val="000000"/>
          <w:lang w:val="en-GB" w:eastAsia="ja-JP"/>
        </w:rPr>
        <w:t xml:space="preserve"> GHz to </w:t>
      </w:r>
      <w:r w:rsidR="006A18D5" w:rsidRPr="006A18D5">
        <w:rPr>
          <w:bCs/>
          <w:color w:val="000000"/>
          <w:lang w:val="en-GB" w:eastAsia="ja-JP"/>
        </w:rPr>
        <w:t>450 GHz were identified for use by administrations for the implementation of land mobile and fixed service applications at WRC-19. These Reports were revised according to the results of WRC-19</w:t>
      </w:r>
      <w:r w:rsidR="006A18D5">
        <w:rPr>
          <w:rStyle w:val="Funotenzeichen"/>
          <w:bCs/>
          <w:color w:val="000000"/>
          <w:lang w:val="en-GB" w:eastAsia="ja-JP"/>
        </w:rPr>
        <w:footnoteReference w:id="4"/>
      </w:r>
      <w:r w:rsidR="006A18D5">
        <w:rPr>
          <w:rFonts w:hint="eastAsia"/>
          <w:bCs/>
          <w:color w:val="000000"/>
          <w:vertAlign w:val="superscript"/>
          <w:lang w:val="en-GB" w:eastAsia="ja-JP"/>
        </w:rPr>
        <w:t xml:space="preserve">, </w:t>
      </w:r>
      <w:r w:rsidR="006A18D5">
        <w:rPr>
          <w:rStyle w:val="Funotenzeichen"/>
          <w:bCs/>
          <w:color w:val="000000"/>
          <w:lang w:val="en-GB" w:eastAsia="ja-JP"/>
        </w:rPr>
        <w:footnoteReference w:id="5"/>
      </w:r>
      <w:r w:rsidR="006A18D5" w:rsidRPr="006A18D5">
        <w:rPr>
          <w:bCs/>
          <w:color w:val="000000"/>
          <w:lang w:val="en-GB" w:eastAsia="ja-JP"/>
        </w:rPr>
        <w:t>, but the technical and operational characteristics in those Reports are maintained as it was before.</w:t>
      </w:r>
    </w:p>
    <w:p w14:paraId="7A7BD46E" w14:textId="216DE10B" w:rsidR="006A18D5" w:rsidRDefault="00021D53" w:rsidP="00AA0EC1">
      <w:pPr>
        <w:spacing w:before="120"/>
        <w:rPr>
          <w:bCs/>
          <w:color w:val="000000"/>
          <w:lang w:eastAsia="ja-JP"/>
        </w:rPr>
      </w:pPr>
      <w:r>
        <w:rPr>
          <w:lang w:eastAsia="ja-JP"/>
        </w:rPr>
        <w:lastRenderedPageBreak/>
        <w:t xml:space="preserve">In </w:t>
      </w:r>
      <w:r w:rsidR="006A18D5" w:rsidRPr="007C7B85">
        <w:rPr>
          <w:lang w:eastAsia="ja-JP"/>
        </w:rPr>
        <w:t>IEEE Std 802.15.3</w:t>
      </w:r>
      <w:r w:rsidR="006A18D5" w:rsidRPr="00407F73">
        <w:rPr>
          <w:vertAlign w:val="superscript"/>
          <w:lang w:eastAsia="ja-JP"/>
        </w:rPr>
        <w:t>TM</w:t>
      </w:r>
      <w:r w:rsidR="002669AD">
        <w:t>—</w:t>
      </w:r>
      <w:r w:rsidRPr="007C7B85">
        <w:rPr>
          <w:lang w:eastAsia="ja-JP"/>
        </w:rPr>
        <w:t>20</w:t>
      </w:r>
      <w:r>
        <w:rPr>
          <w:lang w:eastAsia="ja-JP"/>
        </w:rPr>
        <w:t>23</w:t>
      </w:r>
      <w:r>
        <w:rPr>
          <w:rFonts w:hint="eastAsia"/>
          <w:lang w:eastAsia="ja-JP"/>
        </w:rPr>
        <w:t xml:space="preserve"> </w:t>
      </w:r>
      <w:r>
        <w:rPr>
          <w:lang w:eastAsia="ja-JP"/>
        </w:rPr>
        <w:t xml:space="preserve">the frequency bands have been </w:t>
      </w:r>
      <w:r w:rsidR="0037516B">
        <w:rPr>
          <w:lang w:eastAsia="ja-JP"/>
        </w:rPr>
        <w:t xml:space="preserve">extended </w:t>
      </w:r>
      <w:r>
        <w:rPr>
          <w:lang w:eastAsia="ja-JP"/>
        </w:rPr>
        <w:t xml:space="preserve">up </w:t>
      </w:r>
      <w:r w:rsidR="006A18D5">
        <w:rPr>
          <w:rFonts w:hint="eastAsia"/>
          <w:lang w:eastAsia="ja-JP"/>
        </w:rPr>
        <w:t>to 450 GHz.</w:t>
      </w:r>
      <w:r w:rsidR="002669AD">
        <w:rPr>
          <w:rStyle w:val="Funotenzeichen"/>
          <w:lang w:eastAsia="ja-JP"/>
        </w:rPr>
        <w:footnoteReference w:id="6"/>
      </w:r>
      <w:r w:rsidR="003645DE">
        <w:rPr>
          <w:rFonts w:hint="eastAsia"/>
          <w:bCs/>
          <w:color w:val="000000"/>
          <w:lang w:eastAsia="ja-JP"/>
        </w:rPr>
        <w:t xml:space="preserve">The </w:t>
      </w:r>
      <w:r w:rsidR="0014365F">
        <w:rPr>
          <w:rFonts w:hint="eastAsia"/>
          <w:bCs/>
          <w:color w:val="000000"/>
          <w:lang w:eastAsia="ja-JP"/>
        </w:rPr>
        <w:t xml:space="preserve">additional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3645DE" w:rsidRPr="00697327">
        <w:rPr>
          <w:lang w:eastAsia="ja-JP"/>
        </w:rPr>
        <w:t>2023</w:t>
      </w:r>
      <w:r w:rsidR="003645DE">
        <w:rPr>
          <w:rFonts w:hint="eastAsia"/>
          <w:lang w:eastAsia="ja-JP"/>
        </w:rPr>
        <w:t xml:space="preserve"> are summarized in</w:t>
      </w:r>
      <w:r w:rsidR="001A6270">
        <w:rPr>
          <w:lang w:eastAsia="ja-JP"/>
        </w:rPr>
        <w:t xml:space="preserve"> Table</w:t>
      </w:r>
      <w:r w:rsidR="003645DE">
        <w:rPr>
          <w:rFonts w:hint="eastAsia"/>
          <w:lang w:eastAsia="ja-JP"/>
        </w:rPr>
        <w:t xml:space="preserve"> </w:t>
      </w:r>
      <w:r w:rsidR="001A6270">
        <w:rPr>
          <w:lang w:eastAsia="ja-JP"/>
        </w:rPr>
        <w:t xml:space="preserve"> 1 </w:t>
      </w:r>
      <w:r w:rsidR="003645DE">
        <w:rPr>
          <w:rFonts w:hint="eastAsia"/>
          <w:lang w:eastAsia="ja-JP"/>
        </w:rPr>
        <w:t xml:space="preserve">. </w:t>
      </w:r>
      <w:r w:rsidR="0014365F">
        <w:rPr>
          <w:lang w:eastAsia="ja-JP"/>
        </w:rPr>
        <w:t>Th</w:t>
      </w:r>
      <w:r w:rsidR="0014365F">
        <w:rPr>
          <w:rFonts w:hint="eastAsia"/>
          <w:lang w:eastAsia="ja-JP"/>
        </w:rPr>
        <w:t>e</w:t>
      </w:r>
      <w:r w:rsidR="001A6270">
        <w:rPr>
          <w:lang w:eastAsia="ja-JP"/>
        </w:rPr>
        <w:t xml:space="preserve"> </w:t>
      </w:r>
      <w:r w:rsidR="0014365F">
        <w:rPr>
          <w:rFonts w:hint="eastAsia"/>
          <w:lang w:eastAsia="ja-JP"/>
        </w:rPr>
        <w:t>characteristics</w:t>
      </w:r>
      <w:r w:rsidR="003645DE">
        <w:rPr>
          <w:rFonts w:hint="eastAsia"/>
          <w:lang w:eastAsia="ja-JP"/>
        </w:rPr>
        <w:t xml:space="preserve"> </w:t>
      </w:r>
      <w:r w:rsidR="001A6270">
        <w:rPr>
          <w:lang w:eastAsia="ja-JP"/>
        </w:rPr>
        <w:t>from Table 1</w:t>
      </w:r>
      <w:r w:rsidR="005F331E">
        <w:rPr>
          <w:lang w:eastAsia="ja-JP"/>
        </w:rPr>
        <w:t xml:space="preserve"> </w:t>
      </w:r>
      <w:r w:rsidR="003645DE">
        <w:rPr>
          <w:rFonts w:hint="eastAsia"/>
          <w:lang w:eastAsia="ja-JP"/>
        </w:rPr>
        <w:t>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028C7E78" w:rsidR="00527B5A" w:rsidRDefault="00527B5A" w:rsidP="00AA0EC1">
      <w:pPr>
        <w:spacing w:before="120"/>
        <w:rPr>
          <w:bCs/>
          <w:color w:val="000000"/>
          <w:lang w:eastAsia="ja-JP"/>
        </w:rPr>
      </w:pPr>
    </w:p>
    <w:p w14:paraId="62DC8327" w14:textId="1220A634" w:rsidR="001A6270" w:rsidRDefault="001A6270" w:rsidP="001A6270">
      <w:pPr>
        <w:spacing w:before="120"/>
        <w:jc w:val="center"/>
        <w:rPr>
          <w:b/>
          <w:color w:val="000000"/>
          <w:lang w:eastAsia="ja-JP"/>
        </w:rPr>
      </w:pPr>
      <w:r w:rsidRPr="001A6270">
        <w:rPr>
          <w:b/>
          <w:color w:val="000000"/>
          <w:lang w:eastAsia="ja-JP"/>
        </w:rPr>
        <w:t>Table 1 New operational PHY characteristics</w:t>
      </w:r>
    </w:p>
    <w:p w14:paraId="0994C720" w14:textId="77777777" w:rsidR="001A6270" w:rsidRPr="001A6270" w:rsidRDefault="001A6270" w:rsidP="001A6270">
      <w:pPr>
        <w:spacing w:before="120"/>
        <w:jc w:val="center"/>
        <w:rPr>
          <w:b/>
          <w:color w:val="000000"/>
          <w:lang w:eastAsia="ja-JP"/>
        </w:rPr>
      </w:pPr>
    </w:p>
    <w:tbl>
      <w:tblPr>
        <w:tblStyle w:val="Tabellenraster"/>
        <w:tblW w:w="0" w:type="auto"/>
        <w:tblInd w:w="1555" w:type="dxa"/>
        <w:tblLook w:val="04A0" w:firstRow="1" w:lastRow="0" w:firstColumn="1" w:lastColumn="0" w:noHBand="0" w:noVBand="1"/>
      </w:tblPr>
      <w:tblGrid>
        <w:gridCol w:w="3685"/>
        <w:gridCol w:w="2268"/>
      </w:tblGrid>
      <w:tr w:rsidR="001A6270" w:rsidRPr="000366FE" w14:paraId="1228CDA7" w14:textId="77777777" w:rsidTr="003645DE">
        <w:tc>
          <w:tcPr>
            <w:tcW w:w="3685" w:type="dxa"/>
          </w:tcPr>
          <w:p w14:paraId="2A6B2EC8" w14:textId="32B08782" w:rsidR="001A6270" w:rsidRDefault="002669AD" w:rsidP="003645DE">
            <w:pPr>
              <w:spacing w:before="120"/>
              <w:jc w:val="center"/>
              <w:rPr>
                <w:rFonts w:hint="eastAsia"/>
                <w:bCs/>
                <w:color w:val="000000"/>
                <w:sz w:val="21"/>
                <w:szCs w:val="21"/>
                <w:lang w:eastAsia="ja-JP"/>
              </w:rPr>
            </w:pPr>
            <w:r>
              <w:rPr>
                <w:bCs/>
                <w:color w:val="000000"/>
                <w:sz w:val="21"/>
                <w:szCs w:val="21"/>
                <w:lang w:eastAsia="ja-JP"/>
              </w:rPr>
              <w:t xml:space="preserve">New </w:t>
            </w:r>
            <w:proofErr w:type="spellStart"/>
            <w:r>
              <w:rPr>
                <w:bCs/>
                <w:color w:val="000000"/>
                <w:sz w:val="21"/>
                <w:szCs w:val="21"/>
                <w:lang w:eastAsia="ja-JP"/>
              </w:rPr>
              <w:t>characteritsics</w:t>
            </w:r>
            <w:proofErr w:type="spellEnd"/>
          </w:p>
        </w:tc>
        <w:tc>
          <w:tcPr>
            <w:tcW w:w="2268" w:type="dxa"/>
          </w:tcPr>
          <w:p w14:paraId="6CEE6F18" w14:textId="141CE308" w:rsidR="001A6270" w:rsidRDefault="002669AD" w:rsidP="003645DE">
            <w:pPr>
              <w:spacing w:before="120"/>
              <w:jc w:val="center"/>
              <w:rPr>
                <w:rFonts w:hint="eastAsia"/>
                <w:bCs/>
                <w:color w:val="000000"/>
                <w:sz w:val="21"/>
                <w:szCs w:val="21"/>
                <w:lang w:eastAsia="ja-JP"/>
              </w:rPr>
            </w:pPr>
            <w:r>
              <w:rPr>
                <w:bCs/>
                <w:color w:val="000000"/>
                <w:sz w:val="21"/>
                <w:szCs w:val="21"/>
                <w:lang w:eastAsia="ja-JP"/>
              </w:rPr>
              <w:t>Value</w:t>
            </w:r>
          </w:p>
        </w:tc>
      </w:tr>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0F5F332C"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w:t>
            </w:r>
            <w:r w:rsidR="002669AD">
              <w:rPr>
                <w:rFonts w:eastAsiaTheme="minorEastAsia"/>
                <w:bCs/>
                <w:color w:val="000000"/>
                <w:sz w:val="21"/>
                <w:szCs w:val="21"/>
                <w:lang w:eastAsia="ja-JP"/>
              </w:rPr>
              <w:t xml:space="preserve"> GHz to  </w:t>
            </w:r>
            <w:r w:rsidR="000366FE" w:rsidRPr="000366FE">
              <w:rPr>
                <w:rFonts w:eastAsiaTheme="minorEastAsia" w:hint="eastAsia"/>
                <w:bCs/>
                <w:color w:val="000000"/>
                <w:sz w:val="21"/>
                <w:szCs w:val="21"/>
                <w:lang w:eastAsia="ja-JP"/>
              </w:rPr>
              <w:t>450</w:t>
            </w:r>
            <w:r w:rsidR="002669AD">
              <w:rPr>
                <w:rFonts w:eastAsiaTheme="minorEastAsia"/>
                <w:bCs/>
                <w:color w:val="000000"/>
                <w:sz w:val="21"/>
                <w:szCs w:val="21"/>
                <w:lang w:eastAsia="ja-JP"/>
              </w:rPr>
              <w:t xml:space="preserve"> GHz</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021D53" w:rsidRDefault="00CF7CEC" w:rsidP="00AA0EC1">
      <w:pPr>
        <w:spacing w:before="120"/>
        <w:rPr>
          <w:bCs/>
          <w:color w:val="000000"/>
          <w:lang w:eastAsia="ja-JP"/>
        </w:rPr>
      </w:pPr>
      <w:r w:rsidRPr="00021D53">
        <w:rPr>
          <w:rFonts w:hint="eastAsia"/>
          <w:bCs/>
          <w:color w:val="000000"/>
          <w:lang w:eastAsia="ja-JP"/>
        </w:rPr>
        <w:t>IEEE 802 would appreciate if ITU-R WP</w:t>
      </w:r>
      <w:r w:rsidR="00246130" w:rsidRPr="00021D53">
        <w:rPr>
          <w:rFonts w:hint="eastAsia"/>
          <w:bCs/>
          <w:color w:val="000000"/>
          <w:lang w:eastAsia="ja-JP"/>
        </w:rPr>
        <w:t>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keep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p w14:paraId="19B7C694" w14:textId="77777777" w:rsidR="00754091" w:rsidRDefault="00754091" w:rsidP="00754091">
      <w:pPr>
        <w:spacing w:before="120"/>
        <w:rPr>
          <w:lang w:eastAsia="ja-JP"/>
        </w:rPr>
      </w:pPr>
      <w:r w:rsidRPr="002C09A9">
        <w:t>Respectfully submitted</w:t>
      </w:r>
      <w:r w:rsidRPr="00C13131">
        <w:rPr>
          <w:lang w:eastAsia="ja-JP"/>
        </w:rPr>
        <w:t xml:space="preserve"> </w:t>
      </w:r>
    </w:p>
    <w:p w14:paraId="472BD451" w14:textId="3C18AD29" w:rsidR="00754091" w:rsidRPr="00C13131" w:rsidRDefault="00754091" w:rsidP="00754091">
      <w:pPr>
        <w:spacing w:before="120"/>
        <w:rPr>
          <w:lang w:eastAsia="ja-JP"/>
        </w:rPr>
      </w:pPr>
      <w:r w:rsidRPr="00C13131">
        <w:rPr>
          <w:lang w:eastAsia="ja-JP"/>
        </w:rPr>
        <w:t>By: /ss/.</w:t>
      </w:r>
    </w:p>
    <w:p w14:paraId="777CF9B2" w14:textId="77777777" w:rsidR="00754091" w:rsidRPr="00C13131" w:rsidRDefault="00754091" w:rsidP="00754091">
      <w:pPr>
        <w:spacing w:before="120"/>
        <w:rPr>
          <w:lang w:eastAsia="ja-JP"/>
        </w:rPr>
      </w:pPr>
      <w:r w:rsidRPr="00C13131">
        <w:rPr>
          <w:lang w:eastAsia="ja-JP"/>
        </w:rPr>
        <w:t>James Gilb</w:t>
      </w:r>
    </w:p>
    <w:p w14:paraId="10840C71" w14:textId="77777777" w:rsidR="00754091" w:rsidRPr="00C13131" w:rsidRDefault="00754091" w:rsidP="00754091">
      <w:pPr>
        <w:spacing w:before="120"/>
        <w:rPr>
          <w:lang w:eastAsia="ja-JP"/>
        </w:rPr>
      </w:pPr>
      <w:r w:rsidRPr="00C13131">
        <w:rPr>
          <w:lang w:eastAsia="ja-JP"/>
        </w:rPr>
        <w:t>IEEE 802 LAN/MAN Standards Committee Chairman</w:t>
      </w:r>
    </w:p>
    <w:p w14:paraId="34DDF862" w14:textId="77777777" w:rsidR="00754091" w:rsidRPr="00473648" w:rsidRDefault="00754091" w:rsidP="00754091">
      <w:pPr>
        <w:spacing w:before="120"/>
        <w:rPr>
          <w:lang w:val="de-DE" w:eastAsia="ja-JP"/>
        </w:rPr>
      </w:pPr>
      <w:proofErr w:type="spellStart"/>
      <w:r w:rsidRPr="00C13131">
        <w:rPr>
          <w:lang w:val="de-DE" w:eastAsia="ja-JP"/>
        </w:rPr>
        <w:t>em</w:t>
      </w:r>
      <w:proofErr w:type="spellEnd"/>
      <w:r w:rsidRPr="00C13131">
        <w:rPr>
          <w:lang w:val="de-DE" w:eastAsia="ja-JP"/>
        </w:rPr>
        <w:t>: : gilb_i</w:t>
      </w:r>
      <w:r>
        <w:rPr>
          <w:lang w:val="de-DE" w:eastAsia="ja-JP"/>
        </w:rPr>
        <w:t>eee@tuta.com</w:t>
      </w:r>
    </w:p>
    <w:p w14:paraId="7D31753C" w14:textId="77777777" w:rsidR="002F1A5C" w:rsidRPr="006E6CE0" w:rsidRDefault="002F1A5C" w:rsidP="00862E96">
      <w:pPr>
        <w:spacing w:before="120"/>
        <w:rPr>
          <w:lang w:val="de-DE" w:eastAsia="ja-JP"/>
        </w:rPr>
      </w:pPr>
    </w:p>
    <w:sectPr w:rsidR="002F1A5C" w:rsidRPr="006E6CE0" w:rsidSect="00CA47BD">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F025" w14:textId="77777777" w:rsidR="00465E9F" w:rsidRDefault="00465E9F">
      <w:r>
        <w:separator/>
      </w:r>
    </w:p>
  </w:endnote>
  <w:endnote w:type="continuationSeparator" w:id="0">
    <w:p w14:paraId="2E753E92" w14:textId="77777777" w:rsidR="00465E9F" w:rsidRDefault="0046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CB17" w14:textId="77777777" w:rsidR="00465E9F" w:rsidRDefault="00465E9F">
      <w:r>
        <w:separator/>
      </w:r>
    </w:p>
  </w:footnote>
  <w:footnote w:type="continuationSeparator" w:id="0">
    <w:p w14:paraId="69A286D1" w14:textId="77777777" w:rsidR="00465E9F" w:rsidRDefault="00465E9F">
      <w:r>
        <w:continuationSeparator/>
      </w:r>
    </w:p>
  </w:footnote>
  <w:footnote w:id="1">
    <w:p w14:paraId="7B35E995" w14:textId="77777777" w:rsidR="001A6270" w:rsidRPr="00C13131" w:rsidRDefault="001A6270" w:rsidP="001A6270">
      <w:pPr>
        <w:pStyle w:val="Funotentext"/>
      </w:pPr>
      <w:r>
        <w:rPr>
          <w:rStyle w:val="Funotenzeichen"/>
        </w:rPr>
        <w:footnoteRef/>
      </w:r>
      <w:r>
        <w:t xml:space="preserve"> This document solely represents the views of IEEE 802 LMSC and does not necessarily represent a position of either IEEE or the IEEE Standards Association or IEEE Technical Activities.</w:t>
      </w:r>
    </w:p>
  </w:footnote>
  <w:footnote w:id="2">
    <w:p w14:paraId="58DAB3C2" w14:textId="6EA6DD27" w:rsid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https://www.itu.int/pub/R-REP-M.2417-2017</w:t>
      </w:r>
    </w:p>
  </w:footnote>
  <w:footnote w:id="3">
    <w:p w14:paraId="0D422FBB" w14:textId="615A1291" w:rsidR="006A18D5" w:rsidRPr="006A18D5" w:rsidRDefault="006A18D5">
      <w:pPr>
        <w:pStyle w:val="Funotentext"/>
        <w:rPr>
          <w:lang w:eastAsia="ja-JP"/>
        </w:rPr>
      </w:pPr>
      <w:r>
        <w:rPr>
          <w:rStyle w:val="Funotenzeichen"/>
        </w:rPr>
        <w:footnoteRef/>
      </w:r>
      <w:r>
        <w:t xml:space="preserve"> </w:t>
      </w:r>
      <w:hyperlink r:id="rId1" w:history="1">
        <w:r w:rsidRPr="00FA3D48">
          <w:rPr>
            <w:rStyle w:val="Hyperlink"/>
            <w:lang w:eastAsia="ja-JP"/>
          </w:rPr>
          <w:t>https://www.itu.int/pub/R-REP-F.2416-2018</w:t>
        </w:r>
      </w:hyperlink>
    </w:p>
  </w:footnote>
  <w:footnote w:id="4">
    <w:p w14:paraId="27AFD3C1" w14:textId="43191F7D"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https://www.itu.int/pub/R-REP-M.2417-1-2022</w:t>
      </w:r>
    </w:p>
  </w:footnote>
  <w:footnote w:id="5">
    <w:p w14:paraId="0D96E793" w14:textId="70B3368B"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https://www.itu.int/dms_ties/itu-r/md/23/sg05/c/R23-SG05-C-0033!R1!MSW-E.docx</w:t>
      </w:r>
    </w:p>
  </w:footnote>
  <w:footnote w:id="6">
    <w:p w14:paraId="7669F2A1" w14:textId="77777777" w:rsidR="002669AD" w:rsidRPr="00834A11" w:rsidRDefault="002669AD" w:rsidP="002669AD">
      <w:pPr>
        <w:pStyle w:val="Funotentext"/>
        <w:rPr>
          <w:lang w:eastAsia="ja-JP"/>
        </w:rPr>
      </w:pPr>
      <w:r>
        <w:rPr>
          <w:rStyle w:val="Funotenzeichen"/>
        </w:rPr>
        <w:footnoteRef/>
      </w:r>
      <w:r>
        <w:t xml:space="preserve"> </w:t>
      </w:r>
      <w:hyperlink r:id="rId2" w:history="1">
        <w:r w:rsidRPr="001521E1">
          <w:rPr>
            <w:rStyle w:val="Hyperlink"/>
          </w:rPr>
          <w:t>https://ieeexplore.ieee.org/document/10443750</w:t>
        </w:r>
      </w:hyperlink>
      <w:r>
        <w:rPr>
          <w:rFonts w:hint="eastAsia"/>
          <w:lang w:eastAsia="ja-JP"/>
        </w:rPr>
        <w:t xml:space="preserve"> or </w:t>
      </w:r>
      <w:hyperlink r:id="rId3" w:history="1">
        <w:r w:rsidRPr="001521E1">
          <w:rPr>
            <w:rStyle w:val="Hyperlink"/>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523AE019" w:rsidR="00102C65" w:rsidRDefault="0058110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4F4710">
          <w:rPr>
            <w:rFonts w:hint="eastAsia"/>
            <w:b/>
            <w:sz w:val="28"/>
            <w:lang w:eastAsia="ja-JP"/>
          </w:rPr>
          <w:t>IEEE P802.15-25-0689-0</w:t>
        </w:r>
        <w:r w:rsidR="004F4710">
          <w:rPr>
            <w:b/>
            <w:sz w:val="28"/>
            <w:lang w:eastAsia="ja-JP"/>
          </w:rPr>
          <w:t>2</w:t>
        </w:r>
        <w:r w:rsidR="004F4710">
          <w:rPr>
            <w:rFonts w:hint="eastAsia"/>
            <w:b/>
            <w:sz w:val="28"/>
            <w:lang w:eastAsia="ja-JP"/>
          </w:rPr>
          <w:t>-0thz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A6270"/>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9AD"/>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516B"/>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2E0"/>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5E9F"/>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92B"/>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4710"/>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31E"/>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91"/>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51C9"/>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03F"/>
    <w:rsid w:val="00A321C8"/>
    <w:rsid w:val="00A33143"/>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1851"/>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49115E"/>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fontTable" Target="fontTable.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53BE4"/>
    <w:rsid w:val="00067557"/>
    <w:rsid w:val="000B0629"/>
    <w:rsid w:val="000B7B92"/>
    <w:rsid w:val="000C23C1"/>
    <w:rsid w:val="000E3E26"/>
    <w:rsid w:val="001125BA"/>
    <w:rsid w:val="00195BCE"/>
    <w:rsid w:val="001C48DE"/>
    <w:rsid w:val="00211080"/>
    <w:rsid w:val="00211700"/>
    <w:rsid w:val="002147CF"/>
    <w:rsid w:val="0022234C"/>
    <w:rsid w:val="00241E55"/>
    <w:rsid w:val="00260F6B"/>
    <w:rsid w:val="002946FC"/>
    <w:rsid w:val="002B329A"/>
    <w:rsid w:val="0035288D"/>
    <w:rsid w:val="003656F0"/>
    <w:rsid w:val="003663E7"/>
    <w:rsid w:val="003A3D0C"/>
    <w:rsid w:val="003F2F91"/>
    <w:rsid w:val="003F451D"/>
    <w:rsid w:val="004272EA"/>
    <w:rsid w:val="00466B57"/>
    <w:rsid w:val="0047384E"/>
    <w:rsid w:val="0047542D"/>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52655"/>
    <w:rsid w:val="00975BF6"/>
    <w:rsid w:val="00977618"/>
    <w:rsid w:val="009A3B15"/>
    <w:rsid w:val="009A4659"/>
    <w:rsid w:val="009B1B5D"/>
    <w:rsid w:val="009B5827"/>
    <w:rsid w:val="009C06B5"/>
    <w:rsid w:val="009E21E9"/>
    <w:rsid w:val="009F71D2"/>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3E1F"/>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ED3724"/>
    <w:rsid w:val="00F001C1"/>
    <w:rsid w:val="00F426E7"/>
    <w:rsid w:val="00F42E2D"/>
    <w:rsid w:val="00F9214C"/>
    <w:rsid w:val="00FA37B8"/>
    <w:rsid w:val="00FA67EE"/>
    <w:rsid w:val="00FD78DD"/>
    <w:rsid w:val="00FF2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1206</Words>
  <Characters>7599</Characters>
  <Application>Microsoft Office Word</Application>
  <DocSecurity>0</DocSecurity>
  <Lines>63</Lines>
  <Paragraphs>17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P802.15-25-0689-01-0thz</vt:lpstr>
      <vt:lpstr>IEEE P802.15-25-0xxx-00-0thz</vt:lpstr>
      <vt:lpstr>THz IG Nov 2009 Minutes</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P802.15-25-0689-02-0thz</dc:title>
  <dc:subject>Proposal of a liaison statement to ITU-R Working Parties 5A and 5C</dc:subject>
  <dc:creator>Ken Hiraga</dc:creator>
  <cp:lastModifiedBy>Thomas Kuerner</cp:lastModifiedBy>
  <cp:revision>3</cp:revision>
  <cp:lastPrinted>2012-04-16T11:57:00Z</cp:lastPrinted>
  <dcterms:created xsi:type="dcterms:W3CDTF">2025-01-15T05:59:00Z</dcterms:created>
  <dcterms:modified xsi:type="dcterms:W3CDTF">2025-01-15T07:03:00Z</dcterms:modified>
</cp:coreProperties>
</file>