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5001" w14:textId="77777777" w:rsidR="00D517E3" w:rsidRPr="00FB0AC0" w:rsidRDefault="00D517E3" w:rsidP="00D517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FB0AC0">
        <w:rPr>
          <w:rFonts w:ascii="Times New Roman" w:eastAsia="Times New Roman" w:hAnsi="Times New Roman" w:cs="Times New Roman"/>
          <w:b/>
          <w:sz w:val="28"/>
          <w:szCs w:val="20"/>
        </w:rPr>
        <w:t>IEEE P802.15</w:t>
      </w:r>
    </w:p>
    <w:p w14:paraId="742A2AE0" w14:textId="77777777" w:rsidR="00D517E3" w:rsidRDefault="00D517E3" w:rsidP="00D517E3">
      <w:pPr>
        <w:jc w:val="center"/>
        <w:rPr>
          <w:rFonts w:ascii="Times New Roman" w:eastAsia="Times New Roman" w:hAnsi="Times New Roman" w:cs="Times New Roman"/>
          <w:b/>
          <w:sz w:val="28"/>
          <w:szCs w:val="20"/>
        </w:rPr>
      </w:pPr>
      <w:r w:rsidRPr="00321F8D">
        <w:rPr>
          <w:rFonts w:ascii="Times New Roman" w:eastAsia="Times New Roman" w:hAnsi="Times New Roman" w:cs="Times New Roman"/>
          <w:b/>
          <w:sz w:val="28"/>
          <w:szCs w:val="20"/>
        </w:rPr>
        <w:t>Wireless Specialty Networks</w:t>
      </w:r>
    </w:p>
    <w:p w14:paraId="10BBBE9A" w14:textId="77777777" w:rsidR="00D517E3" w:rsidRDefault="00D517E3" w:rsidP="00D517E3">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D517E3" w14:paraId="0CEEAE9C" w14:textId="77777777" w:rsidTr="0020031D">
        <w:tc>
          <w:tcPr>
            <w:tcW w:w="1260" w:type="dxa"/>
            <w:tcBorders>
              <w:top w:val="single" w:sz="6" w:space="0" w:color="auto"/>
            </w:tcBorders>
          </w:tcPr>
          <w:p w14:paraId="0D8BCABA" w14:textId="77777777" w:rsidR="00D517E3" w:rsidRDefault="00D517E3" w:rsidP="0020031D">
            <w:pPr>
              <w:pStyle w:val="covertext"/>
            </w:pPr>
            <w:r>
              <w:t>Project</w:t>
            </w:r>
          </w:p>
        </w:tc>
        <w:tc>
          <w:tcPr>
            <w:tcW w:w="8190" w:type="dxa"/>
            <w:gridSpan w:val="2"/>
            <w:tcBorders>
              <w:top w:val="single" w:sz="6" w:space="0" w:color="auto"/>
            </w:tcBorders>
          </w:tcPr>
          <w:p w14:paraId="46ECFE90" w14:textId="77777777" w:rsidR="00D517E3" w:rsidRDefault="00D517E3" w:rsidP="0020031D">
            <w:pPr>
              <w:pStyle w:val="covertext"/>
            </w:pPr>
            <w:r>
              <w:t>IEEE P802.15 Working Group for Wireless Specialty Networks (WSNs)</w:t>
            </w:r>
          </w:p>
        </w:tc>
      </w:tr>
      <w:tr w:rsidR="00D517E3" w14:paraId="6FAB095B" w14:textId="77777777" w:rsidTr="0020031D">
        <w:tc>
          <w:tcPr>
            <w:tcW w:w="1260" w:type="dxa"/>
            <w:tcBorders>
              <w:top w:val="single" w:sz="6" w:space="0" w:color="auto"/>
            </w:tcBorders>
          </w:tcPr>
          <w:p w14:paraId="3BAD5769" w14:textId="77777777" w:rsidR="00D517E3" w:rsidRDefault="00D517E3" w:rsidP="0020031D">
            <w:pPr>
              <w:pStyle w:val="covertext"/>
            </w:pPr>
            <w:r>
              <w:t>Title</w:t>
            </w:r>
          </w:p>
        </w:tc>
        <w:tc>
          <w:tcPr>
            <w:tcW w:w="8190" w:type="dxa"/>
            <w:gridSpan w:val="2"/>
            <w:tcBorders>
              <w:top w:val="single" w:sz="6" w:space="0" w:color="auto"/>
            </w:tcBorders>
          </w:tcPr>
          <w:p w14:paraId="03FF2E97" w14:textId="67E9C915" w:rsidR="00D517E3" w:rsidRDefault="003D4A3B" w:rsidP="0020031D">
            <w:pPr>
              <w:pStyle w:val="covertext"/>
            </w:pPr>
            <w:r w:rsidRPr="003D4A3B">
              <w:t xml:space="preserve">Miscellaneous Comments, Part </w:t>
            </w:r>
            <w:r w:rsidR="00CB0E0B">
              <w:t>2</w:t>
            </w:r>
          </w:p>
        </w:tc>
      </w:tr>
      <w:tr w:rsidR="00D517E3" w14:paraId="79C8A47E" w14:textId="77777777" w:rsidTr="0020031D">
        <w:tc>
          <w:tcPr>
            <w:tcW w:w="1260" w:type="dxa"/>
            <w:tcBorders>
              <w:top w:val="single" w:sz="6" w:space="0" w:color="auto"/>
            </w:tcBorders>
          </w:tcPr>
          <w:p w14:paraId="0F92D23C" w14:textId="77777777" w:rsidR="00D517E3" w:rsidRDefault="00D517E3" w:rsidP="0020031D">
            <w:pPr>
              <w:pStyle w:val="covertext"/>
            </w:pPr>
            <w:r>
              <w:t>Date Submitted</w:t>
            </w:r>
          </w:p>
        </w:tc>
        <w:tc>
          <w:tcPr>
            <w:tcW w:w="8190" w:type="dxa"/>
            <w:gridSpan w:val="2"/>
            <w:tcBorders>
              <w:top w:val="single" w:sz="6" w:space="0" w:color="auto"/>
            </w:tcBorders>
          </w:tcPr>
          <w:p w14:paraId="0E980A1D" w14:textId="5F6ED66A" w:rsidR="00D517E3" w:rsidRDefault="00537D5A" w:rsidP="0020031D">
            <w:pPr>
              <w:pStyle w:val="covertext"/>
            </w:pPr>
            <w:r>
              <w:t>14-</w:t>
            </w:r>
            <w:r w:rsidR="00193213">
              <w:t>November</w:t>
            </w:r>
            <w:r>
              <w:t>-2024</w:t>
            </w:r>
          </w:p>
        </w:tc>
      </w:tr>
      <w:tr w:rsidR="00D517E3" w14:paraId="3B822416" w14:textId="77777777" w:rsidTr="0020031D">
        <w:tc>
          <w:tcPr>
            <w:tcW w:w="1260" w:type="dxa"/>
            <w:tcBorders>
              <w:top w:val="single" w:sz="4" w:space="0" w:color="auto"/>
              <w:bottom w:val="single" w:sz="4" w:space="0" w:color="auto"/>
            </w:tcBorders>
          </w:tcPr>
          <w:p w14:paraId="215B6B30" w14:textId="77777777" w:rsidR="00D517E3" w:rsidRDefault="00D517E3" w:rsidP="0020031D">
            <w:pPr>
              <w:pStyle w:val="covertext"/>
            </w:pPr>
            <w:r>
              <w:t>Source</w:t>
            </w:r>
          </w:p>
        </w:tc>
        <w:tc>
          <w:tcPr>
            <w:tcW w:w="4050" w:type="dxa"/>
            <w:tcBorders>
              <w:top w:val="single" w:sz="4" w:space="0" w:color="auto"/>
              <w:bottom w:val="single" w:sz="4" w:space="0" w:color="auto"/>
            </w:tcBorders>
          </w:tcPr>
          <w:p w14:paraId="4B2BDC31" w14:textId="77777777" w:rsidR="00D517E3" w:rsidRDefault="00D517E3" w:rsidP="0020031D">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6CAB0FC7" w14:textId="77777777" w:rsidR="00D517E3" w:rsidRDefault="00D517E3" w:rsidP="0020031D">
            <w:pPr>
              <w:pStyle w:val="covertext"/>
              <w:spacing w:before="0" w:after="0"/>
            </w:pPr>
            <w:r>
              <w:t>[Benjamin A. Rolfe]</w:t>
            </w:r>
          </w:p>
          <w:p w14:paraId="7989262C" w14:textId="77777777" w:rsidR="00D517E3" w:rsidRDefault="00D517E3" w:rsidP="0020031D">
            <w:pPr>
              <w:pStyle w:val="covertext"/>
              <w:spacing w:before="0" w:after="0"/>
            </w:pPr>
            <w:r>
              <w:t>[BCA]</w:t>
            </w:r>
          </w:p>
        </w:tc>
        <w:tc>
          <w:tcPr>
            <w:tcW w:w="4140" w:type="dxa"/>
            <w:tcBorders>
              <w:top w:val="single" w:sz="4" w:space="0" w:color="auto"/>
              <w:bottom w:val="single" w:sz="4" w:space="0" w:color="auto"/>
            </w:tcBorders>
          </w:tcPr>
          <w:p w14:paraId="1D8A60F2" w14:textId="77777777" w:rsidR="00D517E3" w:rsidRDefault="00D517E3" w:rsidP="0020031D">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60B5DA3C" w14:textId="77777777" w:rsidR="00D517E3" w:rsidRPr="0061562F" w:rsidRDefault="00D517E3" w:rsidP="0020031D">
            <w:pPr>
              <w:pStyle w:val="covertext"/>
              <w:tabs>
                <w:tab w:val="left" w:pos="1152"/>
              </w:tabs>
              <w:spacing w:before="0" w:after="0"/>
            </w:pPr>
            <w:r>
              <w:t xml:space="preserve">             </w:t>
            </w:r>
          </w:p>
        </w:tc>
      </w:tr>
      <w:tr w:rsidR="00D517E3" w14:paraId="38D25B5C" w14:textId="77777777" w:rsidTr="0020031D">
        <w:tc>
          <w:tcPr>
            <w:tcW w:w="1260" w:type="dxa"/>
            <w:tcBorders>
              <w:top w:val="single" w:sz="6" w:space="0" w:color="auto"/>
            </w:tcBorders>
          </w:tcPr>
          <w:p w14:paraId="0AAF363D" w14:textId="77777777" w:rsidR="00D517E3" w:rsidRDefault="00D517E3" w:rsidP="0020031D">
            <w:pPr>
              <w:pStyle w:val="covertext"/>
            </w:pPr>
            <w:r>
              <w:t>Re:</w:t>
            </w:r>
          </w:p>
        </w:tc>
        <w:tc>
          <w:tcPr>
            <w:tcW w:w="8190" w:type="dxa"/>
            <w:gridSpan w:val="2"/>
            <w:tcBorders>
              <w:top w:val="single" w:sz="6" w:space="0" w:color="auto"/>
            </w:tcBorders>
          </w:tcPr>
          <w:p w14:paraId="7EC07841" w14:textId="63B00256" w:rsidR="00D517E3" w:rsidRDefault="00537D5A" w:rsidP="0020031D">
            <w:pPr>
              <w:pStyle w:val="covertext"/>
            </w:pPr>
            <w:r>
              <w:t>Resolving comments form LB207</w:t>
            </w:r>
          </w:p>
        </w:tc>
      </w:tr>
      <w:tr w:rsidR="00D517E3" w14:paraId="2EECC994" w14:textId="77777777" w:rsidTr="0020031D">
        <w:tc>
          <w:tcPr>
            <w:tcW w:w="1260" w:type="dxa"/>
            <w:tcBorders>
              <w:top w:val="single" w:sz="6" w:space="0" w:color="auto"/>
            </w:tcBorders>
          </w:tcPr>
          <w:p w14:paraId="7907BB19" w14:textId="77777777" w:rsidR="00D517E3" w:rsidRDefault="00D517E3" w:rsidP="0020031D">
            <w:pPr>
              <w:pStyle w:val="covertext"/>
            </w:pPr>
            <w:r>
              <w:t>Abstract</w:t>
            </w:r>
          </w:p>
        </w:tc>
        <w:tc>
          <w:tcPr>
            <w:tcW w:w="8190" w:type="dxa"/>
            <w:gridSpan w:val="2"/>
            <w:tcBorders>
              <w:top w:val="single" w:sz="6" w:space="0" w:color="auto"/>
            </w:tcBorders>
          </w:tcPr>
          <w:p w14:paraId="38A1B6C1" w14:textId="0ED4175A" w:rsidR="00D517E3" w:rsidRDefault="00537D5A" w:rsidP="00537D5A">
            <w:r>
              <w:t xml:space="preserve">Proposed resolutions to CIDs </w:t>
            </w:r>
          </w:p>
        </w:tc>
      </w:tr>
      <w:tr w:rsidR="00D517E3" w14:paraId="1C1207FF" w14:textId="77777777" w:rsidTr="0020031D">
        <w:tc>
          <w:tcPr>
            <w:tcW w:w="1260" w:type="dxa"/>
            <w:tcBorders>
              <w:top w:val="single" w:sz="6" w:space="0" w:color="auto"/>
            </w:tcBorders>
          </w:tcPr>
          <w:p w14:paraId="4CFE06D6" w14:textId="77777777" w:rsidR="00D517E3" w:rsidRDefault="00D517E3" w:rsidP="0020031D">
            <w:pPr>
              <w:pStyle w:val="covertext"/>
            </w:pPr>
            <w:r>
              <w:t>Purpose</w:t>
            </w:r>
          </w:p>
        </w:tc>
        <w:tc>
          <w:tcPr>
            <w:tcW w:w="8190" w:type="dxa"/>
            <w:gridSpan w:val="2"/>
            <w:tcBorders>
              <w:top w:val="single" w:sz="6" w:space="0" w:color="auto"/>
            </w:tcBorders>
          </w:tcPr>
          <w:p w14:paraId="485911F0" w14:textId="77777777" w:rsidR="00D517E3" w:rsidRDefault="00D517E3" w:rsidP="0020031D">
            <w:pPr>
              <w:pStyle w:val="covertext"/>
            </w:pPr>
            <w:r>
              <w:t>Make the world better by encouraging adoption and productive use of 802.15 standards based on accurate information</w:t>
            </w:r>
          </w:p>
        </w:tc>
      </w:tr>
      <w:tr w:rsidR="00D517E3" w14:paraId="5B6754DA" w14:textId="77777777" w:rsidTr="0020031D">
        <w:tc>
          <w:tcPr>
            <w:tcW w:w="1260" w:type="dxa"/>
            <w:tcBorders>
              <w:top w:val="single" w:sz="6" w:space="0" w:color="auto"/>
              <w:bottom w:val="single" w:sz="6" w:space="0" w:color="auto"/>
            </w:tcBorders>
          </w:tcPr>
          <w:p w14:paraId="7AC97303" w14:textId="77777777" w:rsidR="00D517E3" w:rsidRDefault="00D517E3" w:rsidP="0020031D">
            <w:pPr>
              <w:pStyle w:val="covertext"/>
            </w:pPr>
            <w:r>
              <w:t>Notice</w:t>
            </w:r>
          </w:p>
        </w:tc>
        <w:tc>
          <w:tcPr>
            <w:tcW w:w="8190" w:type="dxa"/>
            <w:gridSpan w:val="2"/>
            <w:tcBorders>
              <w:top w:val="single" w:sz="6" w:space="0" w:color="auto"/>
              <w:bottom w:val="single" w:sz="6" w:space="0" w:color="auto"/>
            </w:tcBorders>
          </w:tcPr>
          <w:p w14:paraId="1D4E2ED5" w14:textId="77777777" w:rsidR="00D517E3" w:rsidRDefault="00D517E3" w:rsidP="0020031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17E3" w14:paraId="0DFDFBE2" w14:textId="77777777" w:rsidTr="0020031D">
        <w:tc>
          <w:tcPr>
            <w:tcW w:w="1260" w:type="dxa"/>
            <w:tcBorders>
              <w:top w:val="single" w:sz="6" w:space="0" w:color="auto"/>
              <w:bottom w:val="single" w:sz="6" w:space="0" w:color="auto"/>
            </w:tcBorders>
          </w:tcPr>
          <w:p w14:paraId="262F273B" w14:textId="77777777" w:rsidR="00D517E3" w:rsidRDefault="00D517E3" w:rsidP="0020031D">
            <w:pPr>
              <w:pStyle w:val="covertext"/>
            </w:pPr>
            <w:r>
              <w:t>Release</w:t>
            </w:r>
          </w:p>
        </w:tc>
        <w:tc>
          <w:tcPr>
            <w:tcW w:w="8190" w:type="dxa"/>
            <w:gridSpan w:val="2"/>
            <w:tcBorders>
              <w:top w:val="single" w:sz="6" w:space="0" w:color="auto"/>
              <w:bottom w:val="single" w:sz="6" w:space="0" w:color="auto"/>
            </w:tcBorders>
          </w:tcPr>
          <w:p w14:paraId="7A00DBD2" w14:textId="77777777" w:rsidR="00D517E3" w:rsidRDefault="00D517E3" w:rsidP="0020031D">
            <w:pPr>
              <w:pStyle w:val="covertext"/>
            </w:pPr>
            <w:r>
              <w:t>The contributor acknowledges and accepts that this contribution becomes the property of IEEE and may be made publicly available by P802.15.</w:t>
            </w:r>
          </w:p>
        </w:tc>
      </w:tr>
    </w:tbl>
    <w:p w14:paraId="79236576" w14:textId="70AAEB31" w:rsidR="00324308" w:rsidRPr="00626033" w:rsidRDefault="00D517E3">
      <w:pPr>
        <w:rPr>
          <w:rFonts w:asciiTheme="majorHAnsi" w:eastAsiaTheme="majorEastAsia" w:hAnsiTheme="majorHAnsi" w:cstheme="majorBidi"/>
          <w:color w:val="0F4761" w:themeColor="accent1" w:themeShade="BF"/>
          <w:sz w:val="40"/>
          <w:szCs w:val="40"/>
        </w:rPr>
      </w:pPr>
      <w:r>
        <w:br w:type="page"/>
      </w:r>
    </w:p>
    <w:p w14:paraId="28F1C08C" w14:textId="1F5774AA" w:rsidR="00324308" w:rsidRDefault="00324308" w:rsidP="00324308">
      <w:pPr>
        <w:pStyle w:val="Heading1"/>
      </w:pPr>
      <w:r>
        <w:lastRenderedPageBreak/>
        <w:t>Introduction</w:t>
      </w:r>
    </w:p>
    <w:p w14:paraId="444F6540" w14:textId="7990A0AC" w:rsidR="00324308" w:rsidRPr="00324308" w:rsidRDefault="00324308" w:rsidP="00324308">
      <w:r>
        <w:t xml:space="preserve">This document addresses the following comments:  </w:t>
      </w:r>
    </w:p>
    <w:p w14:paraId="38A8293D" w14:textId="55E40DC9" w:rsidR="00F64CE0" w:rsidRDefault="00F64CE0">
      <w:r>
        <w:t>Comments:</w:t>
      </w:r>
    </w:p>
    <w:tbl>
      <w:tblPr>
        <w:tblStyle w:val="TableGrid"/>
        <w:tblW w:w="0" w:type="auto"/>
        <w:tblLook w:val="04A0" w:firstRow="1" w:lastRow="0" w:firstColumn="1" w:lastColumn="0" w:noHBand="0" w:noVBand="1"/>
      </w:tblPr>
      <w:tblGrid>
        <w:gridCol w:w="729"/>
        <w:gridCol w:w="755"/>
        <w:gridCol w:w="1314"/>
        <w:gridCol w:w="717"/>
        <w:gridCol w:w="2962"/>
        <w:gridCol w:w="2873"/>
      </w:tblGrid>
      <w:tr w:rsidR="006F52C9" w14:paraId="195FFA22" w14:textId="77777777" w:rsidTr="006E4CDA">
        <w:tc>
          <w:tcPr>
            <w:tcW w:w="729" w:type="dxa"/>
          </w:tcPr>
          <w:p w14:paraId="12292C1E" w14:textId="3BE055AA" w:rsidR="006F52C9" w:rsidRDefault="006F52C9" w:rsidP="006F52C9">
            <w:pPr>
              <w:rPr>
                <w:rFonts w:ascii="Arial" w:hAnsi="Arial" w:cs="Arial"/>
                <w:b/>
                <w:bCs/>
                <w:sz w:val="20"/>
                <w:szCs w:val="20"/>
              </w:rPr>
            </w:pPr>
            <w:r>
              <w:rPr>
                <w:rFonts w:ascii="Arial" w:hAnsi="Arial" w:cs="Arial"/>
                <w:b/>
                <w:bCs/>
                <w:sz w:val="20"/>
                <w:szCs w:val="20"/>
              </w:rPr>
              <w:t>CID</w:t>
            </w:r>
          </w:p>
        </w:tc>
        <w:tc>
          <w:tcPr>
            <w:tcW w:w="755" w:type="dxa"/>
          </w:tcPr>
          <w:p w14:paraId="47018C8B" w14:textId="365F5695" w:rsidR="006F52C9" w:rsidRDefault="006F52C9" w:rsidP="006F52C9">
            <w:r>
              <w:rPr>
                <w:rFonts w:ascii="Arial" w:hAnsi="Arial" w:cs="Arial"/>
                <w:b/>
                <w:bCs/>
                <w:sz w:val="20"/>
                <w:szCs w:val="20"/>
              </w:rPr>
              <w:t>Page</w:t>
            </w:r>
          </w:p>
        </w:tc>
        <w:tc>
          <w:tcPr>
            <w:tcW w:w="1314" w:type="dxa"/>
          </w:tcPr>
          <w:p w14:paraId="2179968D" w14:textId="69E67E75" w:rsidR="006F52C9" w:rsidRDefault="006F52C9" w:rsidP="006F52C9">
            <w:r>
              <w:rPr>
                <w:rFonts w:ascii="Arial" w:hAnsi="Arial" w:cs="Arial"/>
                <w:b/>
                <w:bCs/>
                <w:sz w:val="20"/>
                <w:szCs w:val="20"/>
              </w:rPr>
              <w:t>Sub-clause</w:t>
            </w:r>
          </w:p>
        </w:tc>
        <w:tc>
          <w:tcPr>
            <w:tcW w:w="717" w:type="dxa"/>
          </w:tcPr>
          <w:p w14:paraId="509161D5" w14:textId="4E57B67C" w:rsidR="006F52C9" w:rsidRDefault="006F52C9" w:rsidP="006F52C9">
            <w:r>
              <w:rPr>
                <w:rFonts w:ascii="Arial" w:hAnsi="Arial" w:cs="Arial"/>
                <w:b/>
                <w:bCs/>
                <w:sz w:val="20"/>
                <w:szCs w:val="20"/>
              </w:rPr>
              <w:t>Line #</w:t>
            </w:r>
          </w:p>
        </w:tc>
        <w:tc>
          <w:tcPr>
            <w:tcW w:w="2962" w:type="dxa"/>
          </w:tcPr>
          <w:p w14:paraId="74631493" w14:textId="2C9FE3DB" w:rsidR="006F52C9" w:rsidRDefault="006F52C9" w:rsidP="006F52C9">
            <w:r>
              <w:rPr>
                <w:rFonts w:ascii="Arial" w:hAnsi="Arial" w:cs="Arial"/>
                <w:b/>
                <w:bCs/>
                <w:sz w:val="20"/>
                <w:szCs w:val="20"/>
              </w:rPr>
              <w:t>Comment</w:t>
            </w:r>
          </w:p>
        </w:tc>
        <w:tc>
          <w:tcPr>
            <w:tcW w:w="2873" w:type="dxa"/>
          </w:tcPr>
          <w:p w14:paraId="18193055" w14:textId="31836842" w:rsidR="006F52C9" w:rsidRDefault="006F52C9" w:rsidP="006F52C9">
            <w:r>
              <w:rPr>
                <w:rFonts w:ascii="Arial" w:hAnsi="Arial" w:cs="Arial"/>
                <w:b/>
                <w:bCs/>
                <w:sz w:val="20"/>
                <w:szCs w:val="20"/>
              </w:rPr>
              <w:t>Proposed Change</w:t>
            </w:r>
          </w:p>
        </w:tc>
      </w:tr>
      <w:tr w:rsidR="006F52C9" w14:paraId="2F822CAF" w14:textId="77777777" w:rsidTr="006E4CDA">
        <w:tc>
          <w:tcPr>
            <w:tcW w:w="729" w:type="dxa"/>
          </w:tcPr>
          <w:p w14:paraId="45069F80" w14:textId="19436779" w:rsidR="006F52C9" w:rsidRDefault="006F52C9" w:rsidP="006F52C9">
            <w:pPr>
              <w:rPr>
                <w:rFonts w:ascii="Arial" w:hAnsi="Arial" w:cs="Arial"/>
                <w:sz w:val="20"/>
                <w:szCs w:val="20"/>
              </w:rPr>
            </w:pPr>
            <w:r>
              <w:rPr>
                <w:rFonts w:ascii="Arial" w:hAnsi="Arial" w:cs="Arial"/>
                <w:sz w:val="20"/>
                <w:szCs w:val="20"/>
              </w:rPr>
              <w:t>283</w:t>
            </w:r>
          </w:p>
        </w:tc>
        <w:tc>
          <w:tcPr>
            <w:tcW w:w="755" w:type="dxa"/>
          </w:tcPr>
          <w:p w14:paraId="31CE8B81" w14:textId="49E548F9" w:rsidR="006F52C9" w:rsidRDefault="006F52C9" w:rsidP="006F52C9">
            <w:bookmarkStart w:id="0" w:name="_Hlk182466250"/>
            <w:r>
              <w:rPr>
                <w:rFonts w:ascii="Arial" w:hAnsi="Arial" w:cs="Arial"/>
                <w:sz w:val="20"/>
                <w:szCs w:val="20"/>
              </w:rPr>
              <w:t>15</w:t>
            </w:r>
          </w:p>
        </w:tc>
        <w:tc>
          <w:tcPr>
            <w:tcW w:w="1314" w:type="dxa"/>
          </w:tcPr>
          <w:p w14:paraId="5BCAA3F6" w14:textId="7C2D6540" w:rsidR="006F52C9" w:rsidRDefault="006F52C9" w:rsidP="006F52C9">
            <w:r>
              <w:rPr>
                <w:rFonts w:ascii="Arial" w:hAnsi="Arial" w:cs="Arial"/>
                <w:sz w:val="20"/>
                <w:szCs w:val="20"/>
              </w:rPr>
              <w:t>6.6.3.3</w:t>
            </w:r>
          </w:p>
        </w:tc>
        <w:tc>
          <w:tcPr>
            <w:tcW w:w="717" w:type="dxa"/>
          </w:tcPr>
          <w:p w14:paraId="0800F4E1" w14:textId="74923E8F" w:rsidR="006F52C9" w:rsidRDefault="006F52C9" w:rsidP="006F52C9">
            <w:r>
              <w:rPr>
                <w:rFonts w:ascii="Arial" w:hAnsi="Arial" w:cs="Arial"/>
                <w:sz w:val="20"/>
                <w:szCs w:val="20"/>
              </w:rPr>
              <w:t>25</w:t>
            </w:r>
          </w:p>
        </w:tc>
        <w:tc>
          <w:tcPr>
            <w:tcW w:w="2962" w:type="dxa"/>
          </w:tcPr>
          <w:p w14:paraId="27BF0D6B" w14:textId="2976ECF6" w:rsidR="006F52C9" w:rsidRDefault="006F52C9" w:rsidP="006F52C9">
            <w:r>
              <w:rPr>
                <w:rFonts w:ascii="Arial" w:hAnsi="Arial" w:cs="Arial"/>
                <w:sz w:val="20"/>
                <w:szCs w:val="20"/>
              </w:rPr>
              <w:t xml:space="preserve">Why there is need for specific </w:t>
            </w:r>
            <w:proofErr w:type="spellStart"/>
            <w:r>
              <w:rPr>
                <w:rFonts w:ascii="Arial" w:hAnsi="Arial" w:cs="Arial"/>
                <w:sz w:val="20"/>
                <w:szCs w:val="20"/>
              </w:rPr>
              <w:t>macEmdevImmAckAifsPeriod</w:t>
            </w:r>
            <w:proofErr w:type="spellEnd"/>
            <w:r>
              <w:rPr>
                <w:rFonts w:ascii="Arial" w:hAnsi="Arial" w:cs="Arial"/>
                <w:sz w:val="20"/>
                <w:szCs w:val="20"/>
              </w:rPr>
              <w:t xml:space="preserve">? The HRP-EMDEV will always use </w:t>
            </w:r>
            <w:proofErr w:type="gramStart"/>
            <w:r>
              <w:rPr>
                <w:rFonts w:ascii="Arial" w:hAnsi="Arial" w:cs="Arial"/>
                <w:sz w:val="20"/>
                <w:szCs w:val="20"/>
              </w:rPr>
              <w:t>this different values</w:t>
            </w:r>
            <w:proofErr w:type="gramEnd"/>
            <w:r>
              <w:rPr>
                <w:rFonts w:ascii="Arial" w:hAnsi="Arial" w:cs="Arial"/>
                <w:sz w:val="20"/>
                <w:szCs w:val="20"/>
              </w:rPr>
              <w:t xml:space="preserve"> regardless of mode (i.e., the high-rate pulse repetition frequency UWB PHY based enhanced modulations device will always use this) so it can be just be configured in the </w:t>
            </w:r>
            <w:proofErr w:type="spellStart"/>
            <w:r>
              <w:rPr>
                <w:rFonts w:ascii="Arial" w:hAnsi="Arial" w:cs="Arial"/>
                <w:sz w:val="20"/>
                <w:szCs w:val="20"/>
              </w:rPr>
              <w:t>macSifsPeriod</w:t>
            </w:r>
            <w:proofErr w:type="spellEnd"/>
            <w:r>
              <w:rPr>
                <w:rFonts w:ascii="Arial" w:hAnsi="Arial" w:cs="Arial"/>
                <w:sz w:val="20"/>
                <w:szCs w:val="20"/>
              </w:rPr>
              <w:t xml:space="preserve">. </w:t>
            </w:r>
          </w:p>
        </w:tc>
        <w:tc>
          <w:tcPr>
            <w:tcW w:w="2873" w:type="dxa"/>
          </w:tcPr>
          <w:p w14:paraId="677285C1" w14:textId="526D5A54" w:rsidR="006F52C9" w:rsidRDefault="006F52C9" w:rsidP="006F52C9">
            <w:r>
              <w:rPr>
                <w:rFonts w:ascii="Arial" w:hAnsi="Arial" w:cs="Arial"/>
                <w:sz w:val="20"/>
                <w:szCs w:val="20"/>
              </w:rPr>
              <w:t xml:space="preserve">Or is it trying to say that high-rate pulse repetition frequency UWB PHY based enhanced modulations devices sometimes use this </w:t>
            </w:r>
            <w:proofErr w:type="spellStart"/>
            <w:r>
              <w:rPr>
                <w:rFonts w:ascii="Arial" w:hAnsi="Arial" w:cs="Arial"/>
                <w:sz w:val="20"/>
                <w:szCs w:val="20"/>
              </w:rPr>
              <w:t>macEmdevImmAckAifsPeriod</w:t>
            </w:r>
            <w:proofErr w:type="spellEnd"/>
            <w:r>
              <w:rPr>
                <w:rFonts w:ascii="Arial" w:hAnsi="Arial" w:cs="Arial"/>
                <w:sz w:val="20"/>
                <w:szCs w:val="20"/>
              </w:rPr>
              <w:t xml:space="preserve"> and sometimes uses </w:t>
            </w:r>
            <w:proofErr w:type="spellStart"/>
            <w:r>
              <w:rPr>
                <w:rFonts w:ascii="Arial" w:hAnsi="Arial" w:cs="Arial"/>
                <w:sz w:val="20"/>
                <w:szCs w:val="20"/>
              </w:rPr>
              <w:t>macSifsPeriod</w:t>
            </w:r>
            <w:proofErr w:type="spellEnd"/>
            <w:r>
              <w:rPr>
                <w:rFonts w:ascii="Arial" w:hAnsi="Arial" w:cs="Arial"/>
                <w:sz w:val="20"/>
                <w:szCs w:val="20"/>
              </w:rPr>
              <w:t>? The HRP-EMDEV is device property, not a mode inside the device. Is the HRP-EMDEV supposed to be mode for devices not a device type itself?</w:t>
            </w:r>
          </w:p>
        </w:tc>
      </w:tr>
      <w:tr w:rsidR="006F52C9" w14:paraId="2902E698" w14:textId="77777777" w:rsidTr="006E4CDA">
        <w:tc>
          <w:tcPr>
            <w:tcW w:w="729" w:type="dxa"/>
          </w:tcPr>
          <w:p w14:paraId="6E2C32A5" w14:textId="0EE5C37E" w:rsidR="006F52C9" w:rsidRDefault="006F52C9" w:rsidP="006F52C9">
            <w:pPr>
              <w:rPr>
                <w:rFonts w:ascii="Arial" w:hAnsi="Arial" w:cs="Arial"/>
                <w:sz w:val="20"/>
                <w:szCs w:val="20"/>
              </w:rPr>
            </w:pPr>
          </w:p>
        </w:tc>
        <w:tc>
          <w:tcPr>
            <w:tcW w:w="755" w:type="dxa"/>
          </w:tcPr>
          <w:p w14:paraId="2FF8FACF" w14:textId="592C95DA" w:rsidR="006F52C9" w:rsidRDefault="006F52C9" w:rsidP="006F52C9">
            <w:bookmarkStart w:id="1" w:name="_Hlk182407412"/>
            <w:bookmarkEnd w:id="0"/>
          </w:p>
        </w:tc>
        <w:tc>
          <w:tcPr>
            <w:tcW w:w="1314" w:type="dxa"/>
          </w:tcPr>
          <w:p w14:paraId="7DBAAABE" w14:textId="653263D4" w:rsidR="006F52C9" w:rsidRDefault="006F52C9" w:rsidP="006F52C9"/>
        </w:tc>
        <w:tc>
          <w:tcPr>
            <w:tcW w:w="717" w:type="dxa"/>
          </w:tcPr>
          <w:p w14:paraId="7D35292A" w14:textId="25450DE2" w:rsidR="006F52C9" w:rsidRDefault="006F52C9" w:rsidP="006F52C9"/>
        </w:tc>
        <w:tc>
          <w:tcPr>
            <w:tcW w:w="2962" w:type="dxa"/>
          </w:tcPr>
          <w:p w14:paraId="7B79310E" w14:textId="0A922FEB" w:rsidR="006F52C9" w:rsidRDefault="006F52C9" w:rsidP="006F52C9"/>
        </w:tc>
        <w:tc>
          <w:tcPr>
            <w:tcW w:w="2873" w:type="dxa"/>
          </w:tcPr>
          <w:p w14:paraId="735BEF94" w14:textId="0387C4B6" w:rsidR="006F52C9" w:rsidRDefault="006F52C9" w:rsidP="006F52C9"/>
        </w:tc>
      </w:tr>
      <w:bookmarkEnd w:id="1"/>
    </w:tbl>
    <w:p w14:paraId="6A8041F4" w14:textId="77777777" w:rsidR="00F64CE0" w:rsidRDefault="00F64CE0"/>
    <w:p w14:paraId="26B8B350" w14:textId="3AB726C7" w:rsidR="00324308" w:rsidRDefault="00324308" w:rsidP="00324308">
      <w:pPr>
        <w:pStyle w:val="Heading1"/>
      </w:pPr>
      <w:r>
        <w:t>Resolutions</w:t>
      </w:r>
    </w:p>
    <w:p w14:paraId="46ED6704" w14:textId="77777777" w:rsidR="006F52C9" w:rsidRDefault="006F52C9" w:rsidP="006F52C9">
      <w:pPr>
        <w:pStyle w:val="Heading2"/>
      </w:pPr>
      <w:r>
        <w:t>CID 283</w:t>
      </w:r>
    </w:p>
    <w:p w14:paraId="35FF75A0" w14:textId="395F7353" w:rsidR="00626033" w:rsidRDefault="00626033" w:rsidP="00626033">
      <w:pPr>
        <w:pStyle w:val="Heading3"/>
      </w:pPr>
      <w:r>
        <w:t>General Discussion</w:t>
      </w:r>
    </w:p>
    <w:p w14:paraId="6D76D5F1" w14:textId="251D0A94" w:rsidR="00626033" w:rsidRDefault="00626033" w:rsidP="00BD107B">
      <w:r>
        <w:t xml:space="preserve">Overall discussion:  The commenter is correct the statement is technically incorrect and self-contradictory.   It was noted that the timing specified previously in 802.15.4 (all revisions and amendments since IEEE Std 802.15.4a-2007) is broken. </w:t>
      </w:r>
      <w:r w:rsidR="00BD107B">
        <w:t xml:space="preserve">The “for all other PHYs” is not correct as stated.  It is true if we limit the scope </w:t>
      </w:r>
      <w:proofErr w:type="gramStart"/>
      <w:r w:rsidR="00BD107B">
        <w:t>to</w:t>
      </w:r>
      <w:proofErr w:type="gramEnd"/>
      <w:r w:rsidR="00BD107B">
        <w:t xml:space="preserve"> use of the HRP PHY. </w:t>
      </w:r>
    </w:p>
    <w:p w14:paraId="2F08EB2E" w14:textId="5E52611E" w:rsidR="00BD107B" w:rsidRDefault="00BD107B" w:rsidP="00BD107B">
      <w:r>
        <w:t xml:space="preserve">To </w:t>
      </w:r>
      <w:proofErr w:type="spellStart"/>
      <w:r>
        <w:t>achive</w:t>
      </w:r>
      <w:proofErr w:type="spellEnd"/>
      <w:r>
        <w:t xml:space="preserve"> compatibility with legacy devices, an HRP-EMDEV would be operating in a PHY mode compatible with the legacy device, and should expect behavior, including timing, as defined in the current version of the standard.  </w:t>
      </w:r>
      <w:proofErr w:type="gramStart"/>
      <w:r>
        <w:t>Thus</w:t>
      </w:r>
      <w:proofErr w:type="gramEnd"/>
      <w:r>
        <w:t xml:space="preserve"> the new values should be used only when using a new enhanced mode, which requires that the peer device is an HRP-EMDEV capable of using the same enhanced mode.  The text is revised to clarify that this applies under these specific conditions, when generating an IM-ACK</w:t>
      </w:r>
    </w:p>
    <w:p w14:paraId="48731E48" w14:textId="239F886A" w:rsidR="00626033" w:rsidRPr="00626033" w:rsidRDefault="00626033" w:rsidP="00626033">
      <w:r>
        <w:lastRenderedPageBreak/>
        <w:t xml:space="preserve">The assumption is that the intent is to provide flexible timing for new devices operating according to this standard (802.15.4ab) when communicating with similarly capable devices and not break compatibility with legacy HRP devices.  </w:t>
      </w:r>
    </w:p>
    <w:p w14:paraId="6BF49EA4" w14:textId="2D80FDF8" w:rsidR="00626033" w:rsidRDefault="00626033" w:rsidP="00626033">
      <w:pPr>
        <w:pStyle w:val="Heading4"/>
      </w:pPr>
      <w:r>
        <w:t>Option 1a</w:t>
      </w:r>
    </w:p>
    <w:p w14:paraId="4D1E1AB0" w14:textId="3904105D" w:rsidR="006F52C9" w:rsidRDefault="006F52C9" w:rsidP="006F52C9">
      <w:r>
        <w:t xml:space="preserve">Recommended resolution: </w:t>
      </w:r>
      <w:r w:rsidR="001910BE" w:rsidRPr="00BD107B">
        <w:rPr>
          <w:b/>
          <w:bCs/>
        </w:rPr>
        <w:t>Revised</w:t>
      </w:r>
    </w:p>
    <w:p w14:paraId="32654031" w14:textId="77777777" w:rsidR="00626033" w:rsidRDefault="00626033" w:rsidP="00626033">
      <w:r>
        <w:t xml:space="preserve">Resolution detail:  </w:t>
      </w:r>
    </w:p>
    <w:p w14:paraId="0C54DD8D" w14:textId="14F080C4" w:rsidR="00626033" w:rsidRDefault="00626033" w:rsidP="00626033">
      <w:r>
        <w:t xml:space="preserve">Change </w:t>
      </w:r>
    </w:p>
    <w:p w14:paraId="03CA792A" w14:textId="77777777" w:rsidR="00626033" w:rsidRDefault="00626033" w:rsidP="00626033">
      <w:pPr>
        <w:ind w:left="720"/>
      </w:pPr>
      <w:r>
        <w:t xml:space="preserve">For </w:t>
      </w:r>
      <w:proofErr w:type="gramStart"/>
      <w:r>
        <w:t>a</w:t>
      </w:r>
      <w:proofErr w:type="gramEnd"/>
      <w:r>
        <w:t xml:space="preserve"> HRP-EMDEV sending </w:t>
      </w:r>
      <w:proofErr w:type="spellStart"/>
      <w:r>
        <w:t>Imm</w:t>
      </w:r>
      <w:proofErr w:type="spellEnd"/>
      <w:r>
        <w:t xml:space="preserve">-Ack, the AIFS shall be equal to the value of the </w:t>
      </w:r>
      <w:proofErr w:type="spellStart"/>
      <w:r>
        <w:t>macEmdevImmAckAifsPeriod</w:t>
      </w:r>
      <w:proofErr w:type="spellEnd"/>
      <w:r>
        <w:t xml:space="preserve"> attribute in Table 8-36. The value of AIFS is equal to </w:t>
      </w:r>
      <w:proofErr w:type="spellStart"/>
      <w:r>
        <w:t>macSifsPeriod</w:t>
      </w:r>
      <w:proofErr w:type="spellEnd"/>
      <w:r>
        <w:t xml:space="preserve"> for all other PHYs and modes.</w:t>
      </w:r>
    </w:p>
    <w:p w14:paraId="0996DFA8" w14:textId="77777777" w:rsidR="00626033" w:rsidRDefault="00626033" w:rsidP="00626033">
      <w:r>
        <w:t>To</w:t>
      </w:r>
    </w:p>
    <w:p w14:paraId="7C0EE7A0" w14:textId="1F4A8977" w:rsidR="00626033" w:rsidRDefault="00626033" w:rsidP="00626033">
      <w:pPr>
        <w:ind w:left="720"/>
      </w:pPr>
      <w:r w:rsidRPr="00BD107B">
        <w:t xml:space="preserve">For an HRP-EMDEV </w:t>
      </w:r>
      <w:r w:rsidR="00BD107B">
        <w:t xml:space="preserve">while </w:t>
      </w:r>
      <w:r w:rsidR="00BD107B" w:rsidRPr="00BD107B">
        <w:t>communicating with another HRP-EMDEV</w:t>
      </w:r>
      <w:r w:rsidR="00BD107B">
        <w:t xml:space="preserve"> using any of the</w:t>
      </w:r>
      <w:r w:rsidR="00BD107B" w:rsidRPr="00BD107B">
        <w:t xml:space="preserve"> enhanced modulations modes defined for an HRP-EMDEV</w:t>
      </w:r>
      <w:r w:rsidR="00BD107B">
        <w:t xml:space="preserve"> in this </w:t>
      </w:r>
      <w:proofErr w:type="gramStart"/>
      <w:r w:rsidR="00BD107B">
        <w:t xml:space="preserve">standard, </w:t>
      </w:r>
      <w:r w:rsidR="00BD107B" w:rsidRPr="00BD107B">
        <w:t xml:space="preserve"> </w:t>
      </w:r>
      <w:r w:rsidR="00BD107B">
        <w:t>when</w:t>
      </w:r>
      <w:proofErr w:type="gramEnd"/>
      <w:r w:rsidR="00BD107B">
        <w:t xml:space="preserve"> generating an </w:t>
      </w:r>
      <w:proofErr w:type="spellStart"/>
      <w:r w:rsidRPr="00BD107B">
        <w:t>Imm</w:t>
      </w:r>
      <w:proofErr w:type="spellEnd"/>
      <w:r w:rsidRPr="00BD107B">
        <w:t>-Ack</w:t>
      </w:r>
      <w:r w:rsidR="00BD107B">
        <w:t xml:space="preserve"> </w:t>
      </w:r>
      <w:r w:rsidRPr="00BD107B">
        <w:t xml:space="preserve">the AIFS shall be equal to </w:t>
      </w:r>
      <w:proofErr w:type="spellStart"/>
      <w:r w:rsidRPr="00BD107B">
        <w:rPr>
          <w:i/>
          <w:iCs/>
        </w:rPr>
        <w:t>macEmdevImmAckAifsPeriod</w:t>
      </w:r>
      <w:proofErr w:type="spellEnd"/>
      <w:r w:rsidRPr="00BD107B">
        <w:t xml:space="preserve">  defined in Table 8-36.</w:t>
      </w:r>
      <w:r w:rsidR="00BD107B">
        <w:t xml:space="preserve">  </w:t>
      </w:r>
      <w:r w:rsidRPr="00BD107B">
        <w:t xml:space="preserve"> </w:t>
      </w:r>
      <w:r w:rsidR="00BD107B" w:rsidRPr="00BD107B">
        <w:t>Otherwise,</w:t>
      </w:r>
      <w:r w:rsidRPr="00BD107B">
        <w:t xml:space="preserve"> when using the HRP PHY, </w:t>
      </w:r>
      <w:r w:rsidR="00BD107B">
        <w:t xml:space="preserve">when generating an </w:t>
      </w:r>
      <w:proofErr w:type="spellStart"/>
      <w:r w:rsidR="00BD107B">
        <w:t>Imm</w:t>
      </w:r>
      <w:proofErr w:type="spellEnd"/>
      <w:r w:rsidR="00BD107B">
        <w:t xml:space="preserve">-Ack the </w:t>
      </w:r>
      <w:r w:rsidRPr="00BD107B">
        <w:t xml:space="preserve">value of AIFS is equal to </w:t>
      </w:r>
      <w:proofErr w:type="spellStart"/>
      <w:r w:rsidRPr="00BD107B">
        <w:t>macSifsPeriod</w:t>
      </w:r>
      <w:proofErr w:type="spellEnd"/>
      <w:r w:rsidRPr="00BD107B">
        <w:t>.</w:t>
      </w:r>
    </w:p>
    <w:p w14:paraId="54FA79A5" w14:textId="77777777" w:rsidR="00BD107B" w:rsidRDefault="00626033" w:rsidP="00626033">
      <w:r>
        <w:t>Discussion:</w:t>
      </w:r>
    </w:p>
    <w:p w14:paraId="46306FF9" w14:textId="27DA3E9E" w:rsidR="00BD107B" w:rsidRDefault="00BD107B" w:rsidP="00BD107B">
      <w:r>
        <w:t xml:space="preserve">This fixes the problem with the sentence, does not inadvertently appear to alter the behavior of legacy devices or devices not using an HRP PHY.  This creates an observable and testable behavior associated with the requirement, and preserves compatibility with a legacy HRP device, including HRP-ERDEV. When an HRP-EMDEV is operating in a legacy BPRF or HPRF mode to communicate with a legacy device, it should expect the legacy device may conform to the timing requirements in IEEE std 802.15.4-2020 (HRP) and IEEE Std 802.15.4z-2020 (HRP-ERDEV) and most certainly should not be prohibited from using the legacy timing expectations when communicating with a legacy device. </w:t>
      </w:r>
    </w:p>
    <w:p w14:paraId="0A54809F" w14:textId="7AA0F302" w:rsidR="00626033" w:rsidRPr="00626033" w:rsidRDefault="00BD107B" w:rsidP="00BD107B">
      <w:r>
        <w:t xml:space="preserve"> </w:t>
      </w:r>
    </w:p>
    <w:p w14:paraId="12DF3896" w14:textId="77777777" w:rsidR="00626033" w:rsidRPr="00626033" w:rsidRDefault="00626033" w:rsidP="00626033"/>
    <w:sectPr w:rsidR="00626033" w:rsidRPr="006260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78CA" w14:textId="77777777" w:rsidR="004F24BD" w:rsidRDefault="004F24BD" w:rsidP="00D517E3">
      <w:pPr>
        <w:spacing w:after="0" w:line="240" w:lineRule="auto"/>
      </w:pPr>
      <w:r>
        <w:separator/>
      </w:r>
    </w:p>
  </w:endnote>
  <w:endnote w:type="continuationSeparator" w:id="0">
    <w:p w14:paraId="07ECD86B" w14:textId="77777777" w:rsidR="004F24BD" w:rsidRDefault="004F24BD" w:rsidP="00D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3EF0" w14:textId="25D6C27D" w:rsidR="00D517E3" w:rsidRPr="00321F8D" w:rsidRDefault="00D517E3" w:rsidP="00D517E3">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lang w:val="fr-CA"/>
      </w:rPr>
    </w:pPr>
    <w:r w:rsidRPr="00321F8D">
      <w:rPr>
        <w:rFonts w:ascii="Times New Roman" w:eastAsia="Times New Roman" w:hAnsi="Times New Roman" w:cs="Times New Roman"/>
        <w:szCs w:val="20"/>
        <w:lang w:val="fr-CA"/>
      </w:rPr>
      <w:t>Submission</w:t>
    </w:r>
    <w:r w:rsidRPr="00321F8D">
      <w:rPr>
        <w:rFonts w:ascii="Times New Roman" w:eastAsia="Times New Roman" w:hAnsi="Times New Roman" w:cs="Times New Roman"/>
        <w:szCs w:val="20"/>
        <w:lang w:val="fr-CA"/>
      </w:rPr>
      <w:tab/>
      <w:t xml:space="preserve">Page </w:t>
    </w:r>
    <w:r w:rsidRPr="00FB0AC0">
      <w:rPr>
        <w:rFonts w:ascii="Times New Roman" w:eastAsia="Times New Roman" w:hAnsi="Times New Roman" w:cs="Times New Roman"/>
        <w:szCs w:val="20"/>
      </w:rPr>
      <w:pgNum/>
    </w:r>
    <w:r w:rsidRPr="00321F8D">
      <w:rPr>
        <w:rFonts w:ascii="Times New Roman" w:eastAsia="Times New Roman" w:hAnsi="Times New Roman" w:cs="Times New Roman"/>
        <w:szCs w:val="20"/>
        <w:lang w:val="fr-CA"/>
      </w:rPr>
      <w:tab/>
      <w:t xml:space="preserve">Benjamin A. Rolfe (BCA, et al) </w:t>
    </w:r>
  </w:p>
  <w:p w14:paraId="2869414D" w14:textId="77777777" w:rsidR="00D517E3" w:rsidRPr="00321F8D" w:rsidRDefault="00D517E3" w:rsidP="00D517E3">
    <w:pPr>
      <w:pStyle w:val="Footer"/>
      <w:rPr>
        <w:lang w:val="fr-CA"/>
      </w:rPr>
    </w:pPr>
  </w:p>
  <w:p w14:paraId="535D525C" w14:textId="3AB75222" w:rsidR="00D517E3" w:rsidRPr="00D517E3" w:rsidRDefault="00D517E3">
    <w:pPr>
      <w:pStyle w:val="Footer"/>
      <w:rPr>
        <w:lang w:val="fr-CA"/>
      </w:rPr>
    </w:pPr>
  </w:p>
  <w:p w14:paraId="47EF765A" w14:textId="77777777" w:rsidR="00D517E3" w:rsidRPr="00D517E3" w:rsidRDefault="00D517E3">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7FAF9" w14:textId="77777777" w:rsidR="004F24BD" w:rsidRDefault="004F24BD" w:rsidP="00D517E3">
      <w:pPr>
        <w:spacing w:after="0" w:line="240" w:lineRule="auto"/>
      </w:pPr>
      <w:r>
        <w:separator/>
      </w:r>
    </w:p>
  </w:footnote>
  <w:footnote w:type="continuationSeparator" w:id="0">
    <w:p w14:paraId="45A0747F" w14:textId="77777777" w:rsidR="004F24BD" w:rsidRDefault="004F24BD" w:rsidP="00D5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5099" w14:textId="2B34CCBF" w:rsidR="00D517E3" w:rsidRPr="00D517E3" w:rsidRDefault="00BD107B" w:rsidP="00D517E3">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January 2025</w:t>
    </w:r>
    <w:r w:rsidR="00D517E3" w:rsidRPr="00FB0AC0">
      <w:rPr>
        <w:rFonts w:ascii="Times New Roman" w:hAnsi="Times New Roman" w:cs="Times New Roman"/>
        <w:b/>
        <w:sz w:val="28"/>
      </w:rPr>
      <w:tab/>
      <w:t xml:space="preserve"> </w:t>
    </w:r>
    <w:r w:rsidR="00D517E3" w:rsidRPr="00FB0AC0">
      <w:rPr>
        <w:rFonts w:ascii="Times New Roman" w:hAnsi="Times New Roman" w:cs="Times New Roman"/>
        <w:b/>
        <w:sz w:val="28"/>
      </w:rPr>
      <w:tab/>
      <w:t xml:space="preserve">Doc: IEEE </w:t>
    </w:r>
    <w:r w:rsidR="00537D5A" w:rsidRPr="00537D5A">
      <w:rPr>
        <w:rFonts w:ascii="Times New Roman" w:hAnsi="Times New Roman" w:cs="Times New Roman"/>
        <w:b/>
        <w:sz w:val="28"/>
      </w:rPr>
      <w:t>15-24-065</w:t>
    </w:r>
    <w:r w:rsidR="00CB0E0B">
      <w:rPr>
        <w:rFonts w:ascii="Times New Roman" w:hAnsi="Times New Roman" w:cs="Times New Roman"/>
        <w:b/>
        <w:sz w:val="28"/>
      </w:rPr>
      <w:t>9</w:t>
    </w:r>
    <w:r w:rsidR="00537D5A" w:rsidRPr="00537D5A">
      <w:rPr>
        <w:rFonts w:ascii="Times New Roman" w:hAnsi="Times New Roman" w:cs="Times New Roman"/>
        <w:b/>
        <w:sz w:val="28"/>
      </w:rPr>
      <w:t>-0</w:t>
    </w:r>
    <w:r w:rsidR="00193213">
      <w:rPr>
        <w:rFonts w:ascii="Times New Roman" w:hAnsi="Times New Roman" w:cs="Times New Roman"/>
        <w:b/>
        <w:sz w:val="28"/>
      </w:rPr>
      <w:t>1</w:t>
    </w:r>
    <w:r w:rsidR="00537D5A" w:rsidRPr="00537D5A">
      <w:rPr>
        <w:rFonts w:ascii="Times New Roman" w:hAnsi="Times New Roman" w:cs="Times New Roman"/>
        <w:b/>
        <w:sz w:val="28"/>
      </w:rPr>
      <w:t>-04ab</w:t>
    </w:r>
  </w:p>
  <w:p w14:paraId="4B4579F7" w14:textId="77777777" w:rsidR="00D517E3" w:rsidRDefault="00D51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0"/>
    <w:rsid w:val="000143B5"/>
    <w:rsid w:val="00167005"/>
    <w:rsid w:val="00174D22"/>
    <w:rsid w:val="001910BE"/>
    <w:rsid w:val="00193213"/>
    <w:rsid w:val="001E2130"/>
    <w:rsid w:val="001F7898"/>
    <w:rsid w:val="002074B6"/>
    <w:rsid w:val="002F54D9"/>
    <w:rsid w:val="00324308"/>
    <w:rsid w:val="003463D5"/>
    <w:rsid w:val="00366528"/>
    <w:rsid w:val="00380144"/>
    <w:rsid w:val="003D4A3B"/>
    <w:rsid w:val="004224D7"/>
    <w:rsid w:val="00480E06"/>
    <w:rsid w:val="004F24BD"/>
    <w:rsid w:val="00530FF4"/>
    <w:rsid w:val="00537D5A"/>
    <w:rsid w:val="00626033"/>
    <w:rsid w:val="006A74D0"/>
    <w:rsid w:val="006E4CDA"/>
    <w:rsid w:val="006F52C9"/>
    <w:rsid w:val="007E2E37"/>
    <w:rsid w:val="00801D83"/>
    <w:rsid w:val="008725F2"/>
    <w:rsid w:val="00966A29"/>
    <w:rsid w:val="009A1CEF"/>
    <w:rsid w:val="00A6083E"/>
    <w:rsid w:val="00A93CC1"/>
    <w:rsid w:val="00A948C6"/>
    <w:rsid w:val="00AF48BD"/>
    <w:rsid w:val="00B462A0"/>
    <w:rsid w:val="00BD107B"/>
    <w:rsid w:val="00BF697F"/>
    <w:rsid w:val="00C24536"/>
    <w:rsid w:val="00C95603"/>
    <w:rsid w:val="00CB0E0B"/>
    <w:rsid w:val="00CE1747"/>
    <w:rsid w:val="00D106CC"/>
    <w:rsid w:val="00D436A0"/>
    <w:rsid w:val="00D517E3"/>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15E2"/>
  <w15:chartTrackingRefBased/>
  <w15:docId w15:val="{9783BFA8-D7E9-4D17-94DB-ECBA8C93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4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4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4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64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E0"/>
    <w:rPr>
      <w:rFonts w:eastAsiaTheme="majorEastAsia" w:cstheme="majorBidi"/>
      <w:color w:val="272727" w:themeColor="text1" w:themeTint="D8"/>
    </w:rPr>
  </w:style>
  <w:style w:type="paragraph" w:styleId="Title">
    <w:name w:val="Title"/>
    <w:basedOn w:val="Normal"/>
    <w:next w:val="Normal"/>
    <w:link w:val="TitleChar"/>
    <w:uiPriority w:val="10"/>
    <w:qFormat/>
    <w:rsid w:val="00F64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E0"/>
    <w:pPr>
      <w:spacing w:before="160"/>
      <w:jc w:val="center"/>
    </w:pPr>
    <w:rPr>
      <w:i/>
      <w:iCs/>
      <w:color w:val="404040" w:themeColor="text1" w:themeTint="BF"/>
    </w:rPr>
  </w:style>
  <w:style w:type="character" w:customStyle="1" w:styleId="QuoteChar">
    <w:name w:val="Quote Char"/>
    <w:basedOn w:val="DefaultParagraphFont"/>
    <w:link w:val="Quote"/>
    <w:uiPriority w:val="29"/>
    <w:rsid w:val="00F64CE0"/>
    <w:rPr>
      <w:i/>
      <w:iCs/>
      <w:color w:val="404040" w:themeColor="text1" w:themeTint="BF"/>
    </w:rPr>
  </w:style>
  <w:style w:type="paragraph" w:styleId="ListParagraph">
    <w:name w:val="List Paragraph"/>
    <w:basedOn w:val="Normal"/>
    <w:uiPriority w:val="34"/>
    <w:qFormat/>
    <w:rsid w:val="00F64CE0"/>
    <w:pPr>
      <w:ind w:left="720"/>
      <w:contextualSpacing/>
    </w:pPr>
  </w:style>
  <w:style w:type="character" w:styleId="IntenseEmphasis">
    <w:name w:val="Intense Emphasis"/>
    <w:basedOn w:val="DefaultParagraphFont"/>
    <w:uiPriority w:val="21"/>
    <w:qFormat/>
    <w:rsid w:val="00F64CE0"/>
    <w:rPr>
      <w:i/>
      <w:iCs/>
      <w:color w:val="0F4761" w:themeColor="accent1" w:themeShade="BF"/>
    </w:rPr>
  </w:style>
  <w:style w:type="paragraph" w:styleId="IntenseQuote">
    <w:name w:val="Intense Quote"/>
    <w:basedOn w:val="Normal"/>
    <w:next w:val="Normal"/>
    <w:link w:val="IntenseQuoteChar"/>
    <w:uiPriority w:val="30"/>
    <w:qFormat/>
    <w:rsid w:val="00F64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E0"/>
    <w:rPr>
      <w:i/>
      <w:iCs/>
      <w:color w:val="0F4761" w:themeColor="accent1" w:themeShade="BF"/>
    </w:rPr>
  </w:style>
  <w:style w:type="character" w:styleId="IntenseReference">
    <w:name w:val="Intense Reference"/>
    <w:basedOn w:val="DefaultParagraphFont"/>
    <w:uiPriority w:val="32"/>
    <w:qFormat/>
    <w:rsid w:val="00F64CE0"/>
    <w:rPr>
      <w:b/>
      <w:bCs/>
      <w:smallCaps/>
      <w:color w:val="0F4761" w:themeColor="accent1" w:themeShade="BF"/>
      <w:spacing w:val="5"/>
    </w:rPr>
  </w:style>
  <w:style w:type="table" w:styleId="TableGrid">
    <w:name w:val="Table Grid"/>
    <w:basedOn w:val="TableNormal"/>
    <w:uiPriority w:val="39"/>
    <w:rsid w:val="00F6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D517E3"/>
    <w:pPr>
      <w:spacing w:before="120" w:after="12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D517E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517E3"/>
    <w:rPr>
      <w:kern w:val="0"/>
      <w:sz w:val="22"/>
      <w:szCs w:val="22"/>
      <w14:ligatures w14:val="none"/>
    </w:rPr>
  </w:style>
  <w:style w:type="paragraph" w:styleId="Footer">
    <w:name w:val="footer"/>
    <w:basedOn w:val="Normal"/>
    <w:link w:val="FooterChar"/>
    <w:uiPriority w:val="99"/>
    <w:unhideWhenUsed/>
    <w:rsid w:val="00D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1230000310">
      <w:bodyDiv w:val="1"/>
      <w:marLeft w:val="0"/>
      <w:marRight w:val="0"/>
      <w:marTop w:val="0"/>
      <w:marBottom w:val="0"/>
      <w:divBdr>
        <w:top w:val="none" w:sz="0" w:space="0" w:color="auto"/>
        <w:left w:val="none" w:sz="0" w:space="0" w:color="auto"/>
        <w:bottom w:val="none" w:sz="0" w:space="0" w:color="auto"/>
        <w:right w:val="none" w:sz="0" w:space="0" w:color="auto"/>
      </w:divBdr>
    </w:div>
    <w:div w:id="13501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921D-1BD8-4A59-99F7-ED7AC17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2025-01-15T05:21:00Z</dcterms:created>
  <dcterms:modified xsi:type="dcterms:W3CDTF">2025-01-15T05:21:00Z</dcterms:modified>
</cp:coreProperties>
</file>