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sz w:val="28"/>
        </w:rPr>
      </w:pPr>
      <w:r>
        <w:rPr>
          <w:b/>
          <w:sz w:val="28"/>
        </w:rPr>
        <w:t>IEEE P802.15</w:t>
      </w:r>
    </w:p>
    <w:p>
      <w:pPr>
        <w:pStyle w:val="Normal"/>
        <w:jc w:val="center"/>
        <w:rPr>
          <w:b/>
          <w:b/>
          <w:sz w:val="28"/>
        </w:rPr>
      </w:pPr>
      <w:r>
        <w:rPr>
          <w:b/>
          <w:sz w:val="28"/>
        </w:rPr>
      </w:r>
    </w:p>
    <w:p>
      <w:pPr>
        <w:pStyle w:val="Normal"/>
        <w:jc w:val="center"/>
        <w:rPr>
          <w:b/>
          <w:b/>
          <w:sz w:val="28"/>
        </w:rPr>
      </w:pPr>
      <w:r>
        <w:rPr>
          <w:b/>
          <w:sz w:val="28"/>
        </w:rPr>
        <w:t>Wireless Specialty Networks</w:t>
      </w:r>
    </w:p>
    <w:p>
      <w:pPr>
        <w:pStyle w:val="Normal"/>
        <w:jc w:val="center"/>
        <w:rPr>
          <w:b/>
          <w:b/>
          <w:sz w:val="28"/>
        </w:rPr>
      </w:pPr>
      <w:r>
        <w:rPr>
          <w:b/>
          <w:sz w:val="28"/>
        </w:rPr>
      </w:r>
    </w:p>
    <w:p>
      <w:pPr>
        <w:pStyle w:val="Normal"/>
        <w:jc w:val="center"/>
        <w:rPr>
          <w:b/>
          <w:b/>
          <w:sz w:val="28"/>
        </w:rPr>
      </w:pPr>
      <w:r>
        <w:rPr>
          <w:b/>
          <w:sz w:val="28"/>
        </w:rPr>
      </w:r>
    </w:p>
    <w:tbl>
      <w:tblPr>
        <w:tblW w:w="9450"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1257"/>
        <w:gridCol w:w="4052"/>
        <w:gridCol w:w="4141"/>
      </w:tblGrid>
      <w:tr>
        <w:trPr/>
        <w:tc>
          <w:tcPr>
            <w:tcW w:w="1257" w:type="dxa"/>
            <w:tcBorders>
              <w:top w:val="single" w:sz="6" w:space="0" w:color="000000"/>
            </w:tcBorders>
            <w:vAlign w:val="center"/>
          </w:tcPr>
          <w:p>
            <w:pPr>
              <w:pStyle w:val="Covertext"/>
              <w:widowControl w:val="false"/>
              <w:spacing w:before="120" w:after="120"/>
              <w:rPr>
                <w:sz w:val="22"/>
              </w:rPr>
            </w:pPr>
            <w:r>
              <w:rPr>
                <w:sz w:val="22"/>
              </w:rPr>
              <w:t>Project</w:t>
            </w:r>
          </w:p>
        </w:tc>
        <w:tc>
          <w:tcPr>
            <w:tcW w:w="8193" w:type="dxa"/>
            <w:gridSpan w:val="2"/>
            <w:tcBorders>
              <w:top w:val="single" w:sz="6" w:space="0" w:color="000000"/>
            </w:tcBorders>
            <w:vAlign w:val="center"/>
          </w:tcPr>
          <w:p>
            <w:pPr>
              <w:pStyle w:val="Covertext"/>
              <w:widowControl w:val="false"/>
              <w:spacing w:before="120" w:after="120"/>
              <w:rPr>
                <w:sz w:val="22"/>
              </w:rPr>
            </w:pPr>
            <w:r>
              <w:rPr>
                <w:sz w:val="24"/>
                <w:szCs w:val="22"/>
              </w:rPr>
              <w:t>IEEE P802.15 Working Group for Wireless Specialty Networks (WSNs)</w:t>
            </w:r>
          </w:p>
        </w:tc>
      </w:tr>
      <w:tr>
        <w:trPr/>
        <w:tc>
          <w:tcPr>
            <w:tcW w:w="1257" w:type="dxa"/>
            <w:tcBorders>
              <w:top w:val="single" w:sz="6" w:space="0" w:color="000000"/>
            </w:tcBorders>
            <w:vAlign w:val="center"/>
          </w:tcPr>
          <w:p>
            <w:pPr>
              <w:pStyle w:val="Covertext"/>
              <w:widowControl w:val="false"/>
              <w:spacing w:before="120" w:after="120"/>
              <w:rPr>
                <w:sz w:val="24"/>
                <w:szCs w:val="22"/>
              </w:rPr>
            </w:pPr>
            <w:r>
              <w:rPr>
                <w:sz w:val="24"/>
                <w:szCs w:val="22"/>
              </w:rPr>
              <w:t>Title</w:t>
            </w:r>
          </w:p>
        </w:tc>
        <w:tc>
          <w:tcPr>
            <w:tcW w:w="8193" w:type="dxa"/>
            <w:gridSpan w:val="2"/>
            <w:tcBorders>
              <w:top w:val="single" w:sz="6" w:space="0" w:color="000000"/>
            </w:tcBorders>
            <w:vAlign w:val="center"/>
          </w:tcPr>
          <w:p>
            <w:pPr>
              <w:pStyle w:val="Covertext"/>
              <w:widowControl w:val="false"/>
              <w:spacing w:before="120" w:after="120"/>
              <w:rPr>
                <w:b/>
                <w:b/>
                <w:sz w:val="24"/>
                <w:szCs w:val="22"/>
              </w:rPr>
            </w:pPr>
            <w:r>
              <w:rPr>
                <w:b/>
                <w:sz w:val="24"/>
                <w:szCs w:val="22"/>
              </w:rPr>
              <w:t>TG 802.15.</w:t>
            </w:r>
            <w:r>
              <w:rPr>
                <w:b/>
                <w:sz w:val="24"/>
                <w:szCs w:val="22"/>
              </w:rPr>
              <w:t>9a</w:t>
            </w:r>
            <w:r>
              <w:rPr>
                <w:b/>
                <w:sz w:val="24"/>
                <w:szCs w:val="22"/>
              </w:rPr>
              <w:t xml:space="preserve"> List of changes to the IEEE Std 802.15.</w:t>
            </w:r>
            <w:r>
              <w:rPr>
                <w:b/>
                <w:sz w:val="24"/>
                <w:szCs w:val="22"/>
              </w:rPr>
              <w:t>9</w:t>
            </w:r>
          </w:p>
        </w:tc>
      </w:tr>
      <w:tr>
        <w:trPr/>
        <w:tc>
          <w:tcPr>
            <w:tcW w:w="1257" w:type="dxa"/>
            <w:tcBorders>
              <w:top w:val="single" w:sz="6" w:space="0" w:color="000000"/>
            </w:tcBorders>
            <w:vAlign w:val="center"/>
          </w:tcPr>
          <w:p>
            <w:pPr>
              <w:pStyle w:val="Covertext"/>
              <w:widowControl w:val="false"/>
              <w:spacing w:before="120" w:after="120"/>
              <w:rPr>
                <w:sz w:val="24"/>
                <w:szCs w:val="22"/>
              </w:rPr>
            </w:pPr>
            <w:r>
              <w:rPr>
                <w:sz w:val="24"/>
                <w:szCs w:val="22"/>
              </w:rPr>
              <w:t>Date Submitted</w:t>
            </w:r>
          </w:p>
        </w:tc>
        <w:tc>
          <w:tcPr>
            <w:tcW w:w="8193" w:type="dxa"/>
            <w:gridSpan w:val="2"/>
            <w:tcBorders>
              <w:top w:val="single" w:sz="6" w:space="0" w:color="000000"/>
              <w:bottom w:val="single" w:sz="4" w:space="0" w:color="000000"/>
            </w:tcBorders>
            <w:vAlign w:val="center"/>
          </w:tcPr>
          <w:p>
            <w:pPr>
              <w:pStyle w:val="Covertext"/>
              <w:widowControl w:val="false"/>
              <w:spacing w:before="120" w:after="120"/>
              <w:rPr>
                <w:sz w:val="24"/>
                <w:szCs w:val="22"/>
              </w:rPr>
            </w:pPr>
            <w:r>
              <w:rPr>
                <w:sz w:val="24"/>
                <w:szCs w:val="22"/>
              </w:rPr>
              <w:t>10</w:t>
            </w:r>
            <w:r>
              <w:rPr>
                <w:sz w:val="24"/>
                <w:szCs w:val="22"/>
                <w:vertAlign w:val="superscript"/>
              </w:rPr>
              <w:t>th</w:t>
            </w:r>
            <w:r>
              <w:rPr>
                <w:sz w:val="24"/>
                <w:szCs w:val="22"/>
              </w:rPr>
              <w:t xml:space="preserve"> September 2024</w:t>
            </w:r>
          </w:p>
        </w:tc>
      </w:tr>
      <w:tr>
        <w:trPr/>
        <w:tc>
          <w:tcPr>
            <w:tcW w:w="1257" w:type="dxa"/>
            <w:tcBorders>
              <w:top w:val="single" w:sz="4" w:space="0" w:color="000000"/>
              <w:bottom w:val="single" w:sz="4" w:space="0" w:color="000000"/>
            </w:tcBorders>
            <w:vAlign w:val="center"/>
          </w:tcPr>
          <w:p>
            <w:pPr>
              <w:pStyle w:val="Covertext"/>
              <w:widowControl w:val="false"/>
              <w:spacing w:before="120" w:after="120"/>
              <w:rPr>
                <w:sz w:val="24"/>
                <w:szCs w:val="24"/>
              </w:rPr>
            </w:pPr>
            <w:r>
              <w:rPr>
                <w:sz w:val="24"/>
                <w:szCs w:val="24"/>
              </w:rPr>
              <w:t>Source</w:t>
            </w:r>
          </w:p>
        </w:tc>
        <w:tc>
          <w:tcPr>
            <w:tcW w:w="4052" w:type="dxa"/>
            <w:tcBorders>
              <w:top w:val="single" w:sz="4" w:space="0" w:color="000000"/>
            </w:tcBorders>
            <w:vAlign w:val="center"/>
          </w:tcPr>
          <w:p>
            <w:pPr>
              <w:pStyle w:val="Covertext"/>
              <w:widowControl w:val="false"/>
              <w:spacing w:before="0" w:after="0"/>
              <w:rPr>
                <w:sz w:val="22"/>
                <w:szCs w:val="22"/>
                <w:lang w:val="fi-FI"/>
              </w:rPr>
            </w:pPr>
            <w:r>
              <w:rPr>
                <w:sz w:val="22"/>
                <w:szCs w:val="22"/>
                <w:lang w:val="fi-FI"/>
              </w:rPr>
            </w:r>
          </w:p>
          <w:p>
            <w:pPr>
              <w:pStyle w:val="Covertext"/>
              <w:widowControl w:val="false"/>
              <w:spacing w:before="0" w:after="0"/>
              <w:rPr>
                <w:sz w:val="22"/>
                <w:szCs w:val="22"/>
                <w:lang w:val="fi-FI"/>
              </w:rPr>
            </w:pPr>
            <w:r>
              <w:rPr>
                <w:sz w:val="22"/>
                <w:szCs w:val="22"/>
                <w:lang w:val="fi-FI"/>
              </w:rPr>
              <w:t>Tero Kivinen</w:t>
            </w:r>
          </w:p>
          <w:p>
            <w:pPr>
              <w:pStyle w:val="Covertext"/>
              <w:widowControl w:val="false"/>
              <w:spacing w:before="0" w:after="0"/>
              <w:rPr>
                <w:sz w:val="22"/>
                <w:szCs w:val="22"/>
                <w:lang w:val="fi-FI"/>
              </w:rPr>
            </w:pPr>
            <w:r>
              <w:rPr>
                <w:sz w:val="22"/>
                <w:szCs w:val="22"/>
                <w:lang w:val="fi-FI"/>
              </w:rPr>
            </w:r>
          </w:p>
        </w:tc>
        <w:tc>
          <w:tcPr>
            <w:tcW w:w="4141" w:type="dxa"/>
            <w:tcBorders>
              <w:top w:val="single" w:sz="4" w:space="0" w:color="000000"/>
            </w:tcBorders>
            <w:vAlign w:val="center"/>
          </w:tcPr>
          <w:p>
            <w:pPr>
              <w:pStyle w:val="Covertext"/>
              <w:widowControl w:val="false"/>
              <w:tabs>
                <w:tab w:val="clear" w:pos="720"/>
                <w:tab w:val="left" w:pos="1152" w:leader="none"/>
              </w:tabs>
              <w:spacing w:before="0" w:after="0"/>
              <w:rPr>
                <w:sz w:val="22"/>
                <w:szCs w:val="22"/>
                <w:lang w:val="fi-FI"/>
              </w:rPr>
            </w:pPr>
            <w:r>
              <w:rPr>
                <w:sz w:val="22"/>
                <w:szCs w:val="22"/>
                <w:lang w:val="fi-FI"/>
              </w:rPr>
            </w:r>
          </w:p>
          <w:p>
            <w:pPr>
              <w:pStyle w:val="Covertext"/>
              <w:widowControl w:val="false"/>
              <w:tabs>
                <w:tab w:val="clear" w:pos="720"/>
                <w:tab w:val="left" w:pos="1152" w:leader="none"/>
              </w:tabs>
              <w:spacing w:before="0" w:after="0"/>
              <w:rPr>
                <w:color w:val="000000" w:themeColor="text1"/>
                <w:sz w:val="22"/>
                <w:szCs w:val="22"/>
                <w:lang w:val="fi-FI" w:eastAsia="ja-JP"/>
              </w:rPr>
            </w:pPr>
            <w:r>
              <w:rPr>
                <w:rStyle w:val="InternetLink"/>
                <w:color w:val="000000" w:themeColor="text1"/>
                <w:sz w:val="22"/>
                <w:szCs w:val="22"/>
                <w:u w:val="none"/>
                <w:lang w:val="fi-FI" w:eastAsia="ja-JP"/>
              </w:rPr>
              <w:t>E-Mail: kivinen@iki.fi</w:t>
            </w:r>
          </w:p>
          <w:p>
            <w:pPr>
              <w:pStyle w:val="Covertext"/>
              <w:widowControl w:val="false"/>
              <w:tabs>
                <w:tab w:val="clear" w:pos="720"/>
                <w:tab w:val="left" w:pos="1152" w:leader="none"/>
              </w:tabs>
              <w:spacing w:before="0" w:after="0"/>
              <w:rPr>
                <w:sz w:val="22"/>
                <w:szCs w:val="22"/>
                <w:lang w:val="fi-FI"/>
              </w:rPr>
            </w:pPr>
            <w:r>
              <w:rPr>
                <w:sz w:val="22"/>
                <w:szCs w:val="22"/>
                <w:lang w:val="fi-FI"/>
              </w:rPr>
            </w:r>
          </w:p>
        </w:tc>
      </w:tr>
      <w:tr>
        <w:trPr/>
        <w:tc>
          <w:tcPr>
            <w:tcW w:w="1257" w:type="dxa"/>
            <w:tcBorders>
              <w:top w:val="single" w:sz="6" w:space="0" w:color="000000"/>
            </w:tcBorders>
            <w:vAlign w:val="center"/>
          </w:tcPr>
          <w:p>
            <w:pPr>
              <w:pStyle w:val="Covertext"/>
              <w:widowControl w:val="false"/>
              <w:spacing w:before="120" w:after="120"/>
              <w:rPr>
                <w:sz w:val="22"/>
              </w:rPr>
            </w:pPr>
            <w:r>
              <w:rPr>
                <w:sz w:val="22"/>
              </w:rPr>
              <w:t>Abstract</w:t>
            </w:r>
          </w:p>
        </w:tc>
        <w:tc>
          <w:tcPr>
            <w:tcW w:w="8193" w:type="dxa"/>
            <w:gridSpan w:val="2"/>
            <w:tcBorders>
              <w:top w:val="single" w:sz="6" w:space="0" w:color="000000"/>
            </w:tcBorders>
            <w:vAlign w:val="center"/>
          </w:tcPr>
          <w:p>
            <w:pPr>
              <w:pStyle w:val="Covertext"/>
              <w:widowControl w:val="false"/>
              <w:spacing w:before="120" w:after="120"/>
              <w:rPr>
                <w:sz w:val="22"/>
              </w:rPr>
            </w:pPr>
            <w:r>
              <w:rPr>
                <w:sz w:val="22"/>
              </w:rPr>
              <w:t>List of changes needed in the IEEE Std 802.15.</w:t>
            </w:r>
            <w:r>
              <w:rPr>
                <w:sz w:val="22"/>
              </w:rPr>
              <w:t>9</w:t>
            </w:r>
            <w:r>
              <w:rPr>
                <w:sz w:val="22"/>
              </w:rPr>
              <w:t xml:space="preserve"> to add </w:t>
            </w:r>
            <w:r>
              <w:rPr>
                <w:sz w:val="22"/>
              </w:rPr>
              <w:t>EDHOC KMP</w:t>
            </w:r>
            <w:r>
              <w:rPr>
                <w:sz w:val="22"/>
              </w:rPr>
              <w:t>.</w:t>
            </w:r>
          </w:p>
        </w:tc>
      </w:tr>
      <w:tr>
        <w:trPr/>
        <w:tc>
          <w:tcPr>
            <w:tcW w:w="1257" w:type="dxa"/>
            <w:tcBorders>
              <w:top w:val="single" w:sz="6" w:space="0" w:color="000000"/>
            </w:tcBorders>
            <w:vAlign w:val="center"/>
          </w:tcPr>
          <w:p>
            <w:pPr>
              <w:pStyle w:val="Covertext"/>
              <w:widowControl w:val="false"/>
              <w:spacing w:before="120" w:after="120"/>
              <w:rPr>
                <w:sz w:val="22"/>
              </w:rPr>
            </w:pPr>
            <w:r>
              <w:rPr>
                <w:sz w:val="22"/>
              </w:rPr>
              <w:t>Purpose</w:t>
            </w:r>
          </w:p>
        </w:tc>
        <w:tc>
          <w:tcPr>
            <w:tcW w:w="8193" w:type="dxa"/>
            <w:gridSpan w:val="2"/>
            <w:tcBorders>
              <w:top w:val="single" w:sz="6" w:space="0" w:color="000000"/>
            </w:tcBorders>
            <w:vAlign w:val="center"/>
          </w:tcPr>
          <w:p>
            <w:pPr>
              <w:pStyle w:val="Covertext"/>
              <w:widowControl w:val="false"/>
              <w:spacing w:before="120" w:after="120"/>
              <w:rPr>
                <w:sz w:val="22"/>
                <w:szCs w:val="22"/>
              </w:rPr>
            </w:pPr>
            <w:r>
              <w:rPr>
                <w:sz w:val="22"/>
                <w:szCs w:val="22"/>
              </w:rPr>
              <w:t>Getting ready for draft proposal.</w:t>
            </w:r>
          </w:p>
        </w:tc>
      </w:tr>
      <w:tr>
        <w:trPr/>
        <w:tc>
          <w:tcPr>
            <w:tcW w:w="1257" w:type="dxa"/>
            <w:tcBorders>
              <w:top w:val="single" w:sz="6" w:space="0" w:color="000000"/>
              <w:bottom w:val="single" w:sz="6" w:space="0" w:color="000000"/>
            </w:tcBorders>
            <w:vAlign w:val="center"/>
          </w:tcPr>
          <w:p>
            <w:pPr>
              <w:pStyle w:val="Covertext"/>
              <w:widowControl w:val="false"/>
              <w:spacing w:before="120" w:after="120"/>
              <w:rPr>
                <w:sz w:val="22"/>
              </w:rPr>
            </w:pPr>
            <w:r>
              <w:rPr>
                <w:sz w:val="22"/>
              </w:rPr>
              <w:t>Notice</w:t>
            </w:r>
          </w:p>
        </w:tc>
        <w:tc>
          <w:tcPr>
            <w:tcW w:w="8193" w:type="dxa"/>
            <w:gridSpan w:val="2"/>
            <w:tcBorders>
              <w:top w:val="single" w:sz="6" w:space="0" w:color="000000"/>
              <w:bottom w:val="single" w:sz="6" w:space="0" w:color="000000"/>
            </w:tcBorders>
            <w:vAlign w:val="center"/>
          </w:tcPr>
          <w:p>
            <w:pPr>
              <w:pStyle w:val="Covertext"/>
              <w:widowControl w:val="false"/>
              <w:spacing w:before="120" w:after="120"/>
              <w:jc w:val="both"/>
              <w:rPr>
                <w:sz w:val="22"/>
              </w:rPr>
            </w:pPr>
            <w:r>
              <w:rPr>
                <w:sz w:val="22"/>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7" w:type="dxa"/>
            <w:tcBorders>
              <w:top w:val="single" w:sz="6" w:space="0" w:color="000000"/>
              <w:bottom w:val="single" w:sz="6" w:space="0" w:color="000000"/>
            </w:tcBorders>
            <w:vAlign w:val="center"/>
          </w:tcPr>
          <w:p>
            <w:pPr>
              <w:pStyle w:val="Covertext"/>
              <w:widowControl w:val="false"/>
              <w:spacing w:before="120" w:after="120"/>
              <w:rPr>
                <w:sz w:val="22"/>
              </w:rPr>
            </w:pPr>
            <w:r>
              <w:rPr>
                <w:sz w:val="22"/>
              </w:rPr>
              <w:t>Release</w:t>
            </w:r>
          </w:p>
        </w:tc>
        <w:tc>
          <w:tcPr>
            <w:tcW w:w="8193" w:type="dxa"/>
            <w:gridSpan w:val="2"/>
            <w:tcBorders>
              <w:top w:val="single" w:sz="6" w:space="0" w:color="000000"/>
              <w:bottom w:val="single" w:sz="6" w:space="0" w:color="000000"/>
            </w:tcBorders>
            <w:vAlign w:val="center"/>
          </w:tcPr>
          <w:p>
            <w:pPr>
              <w:pStyle w:val="Covertext"/>
              <w:widowControl w:val="false"/>
              <w:spacing w:before="120" w:after="120"/>
              <w:jc w:val="both"/>
              <w:rPr>
                <w:sz w:val="22"/>
              </w:rPr>
            </w:pPr>
            <w:r>
              <w:rPr>
                <w:sz w:val="22"/>
              </w:rPr>
              <w:t>The contributor acknowledges and accepts that this contribution becomes the property of IEEE and may be made publicly available by P802.15.</w:t>
            </w:r>
          </w:p>
        </w:tc>
      </w:tr>
    </w:tbl>
    <w:p>
      <w:pPr>
        <w:pStyle w:val="Heading2"/>
        <w:numPr>
          <w:ilvl w:val="0"/>
          <w:numId w:val="0"/>
        </w:numPr>
        <w:ind w:left="576" w:hanging="0"/>
        <w:rPr/>
      </w:pPr>
      <w:r>
        <w:rPr/>
      </w:r>
      <w:r>
        <w:br w:type="page"/>
      </w:r>
    </w:p>
    <w:p>
      <w:pPr>
        <w:pStyle w:val="Normal"/>
        <w:rPr/>
      </w:pPr>
      <w:r>
        <w:rPr/>
      </w:r>
    </w:p>
    <w:p>
      <w:pPr>
        <w:pStyle w:val="IEEEheading"/>
        <w:numPr>
          <w:ilvl w:val="0"/>
          <w:numId w:val="2"/>
        </w:numPr>
        <w:rPr/>
      </w:pPr>
      <w:r>
        <w:rPr/>
        <w:t xml:space="preserve">Changes to Clause </w:t>
      </w:r>
      <w:r>
        <w:rPr/>
        <w:t>2</w:t>
      </w:r>
    </w:p>
    <w:p>
      <w:pPr>
        <w:pStyle w:val="IEEEText"/>
        <w:rPr/>
      </w:pPr>
      <w:r>
        <w:rPr/>
        <w:t>Add EDHOC to Acronyms.</w:t>
      </w:r>
    </w:p>
    <w:p>
      <w:pPr>
        <w:pStyle w:val="IEEEheading"/>
        <w:numPr>
          <w:ilvl w:val="0"/>
          <w:numId w:val="2"/>
        </w:numPr>
        <w:rPr/>
      </w:pPr>
      <w:r>
        <w:rPr/>
        <w:t>Changes to Clause 8.1</w:t>
      </w:r>
    </w:p>
    <w:p>
      <w:pPr>
        <w:pStyle w:val="IEEEText"/>
        <w:rPr/>
      </w:pPr>
      <w:r>
        <w:rPr/>
        <w:t xml:space="preserve">Add </w:t>
      </w:r>
      <w:r>
        <w:rPr/>
        <w:t xml:space="preserve">EDHOC </w:t>
      </w:r>
      <w:r>
        <w:rPr/>
        <w:t xml:space="preserve">algorithm to Table </w:t>
      </w:r>
      <w:r>
        <w:rPr/>
        <w:t>22</w:t>
      </w:r>
      <w:r>
        <w:rPr/>
        <w:t>.</w:t>
      </w:r>
    </w:p>
    <w:p>
      <w:pPr>
        <w:pStyle w:val="IEEEheading"/>
        <w:numPr>
          <w:ilvl w:val="0"/>
          <w:numId w:val="2"/>
        </w:numPr>
        <w:rPr/>
      </w:pPr>
      <w:r>
        <w:rPr/>
        <w:t xml:space="preserve">New annex </w:t>
      </w:r>
      <w:r>
        <w:rPr/>
        <w:t>E</w:t>
      </w:r>
      <w:r>
        <w:rPr/>
        <w:t xml:space="preserve">a for specifying how to use </w:t>
      </w:r>
      <w:r>
        <w:rPr/>
        <w:t>EDHOC KMP</w:t>
      </w:r>
    </w:p>
    <w:p>
      <w:pPr>
        <w:pStyle w:val="IEEEText"/>
        <w:rPr/>
      </w:pPr>
      <w:r>
        <w:rPr/>
        <w:t xml:space="preserve">The new annex would specify how to use </w:t>
      </w:r>
      <w:r>
        <w:rPr/>
        <w:t>EDHOC in the IEEE Std 802.15.9.</w:t>
      </w:r>
    </w:p>
    <w:p>
      <w:pPr>
        <w:pStyle w:val="IEEEText"/>
        <w:ind w:left="720" w:hanging="0"/>
        <w:rPr/>
      </w:pPr>
      <w:r>
        <w:rPr/>
        <w:t>E</w:t>
      </w:r>
      <w:r>
        <w:rPr/>
        <w:t xml:space="preserve">a.1 </w:t>
      </w:r>
      <w:r>
        <w:rPr/>
        <w:t>Description</w:t>
      </w:r>
    </w:p>
    <w:p>
      <w:pPr>
        <w:pStyle w:val="IEEEText"/>
        <w:ind w:left="720" w:hanging="0"/>
        <w:rPr/>
      </w:pPr>
      <w:r>
        <w:rPr/>
        <w:t>E</w:t>
      </w:r>
      <w:r>
        <w:rPr/>
        <w:t xml:space="preserve">a.2 </w:t>
      </w:r>
      <w:r>
        <w:rPr/>
        <w:t>Use cases</w:t>
      </w:r>
    </w:p>
    <w:p>
      <w:pPr>
        <w:pStyle w:val="IEEEText"/>
        <w:ind w:left="720" w:hanging="0"/>
        <w:rPr/>
      </w:pPr>
      <w:r>
        <w:rPr/>
        <w:t>E</w:t>
      </w:r>
      <w:r>
        <w:rPr/>
        <w:t xml:space="preserve">a.3 </w:t>
      </w:r>
      <w:r>
        <w:rPr/>
        <w:t>EDHOC and IEEE 802.15 specifics</w:t>
      </w:r>
    </w:p>
    <w:p>
      <w:pPr>
        <w:pStyle w:val="IEEEText"/>
        <w:ind w:left="720" w:hanging="0"/>
        <w:rPr/>
      </w:pPr>
      <w:r>
        <w:rPr/>
        <w:t>E</w:t>
      </w:r>
      <w:r>
        <w:rPr/>
        <w:t xml:space="preserve">a.3.1 </w:t>
      </w:r>
      <w:r>
        <w:rPr/>
        <w:t>Overview</w:t>
      </w:r>
    </w:p>
    <w:p>
      <w:pPr>
        <w:pStyle w:val="IEEEText"/>
        <w:ind w:left="720" w:hanging="0"/>
        <w:rPr/>
      </w:pPr>
      <w:r>
        <w:rPr/>
        <w:t>E</w:t>
      </w:r>
      <w:r>
        <w:rPr/>
        <w:t xml:space="preserve">a.3.2 </w:t>
      </w:r>
      <w:r>
        <w:rPr/>
        <w:t>Message framing</w:t>
      </w:r>
    </w:p>
    <w:p>
      <w:pPr>
        <w:pStyle w:val="IEEEText"/>
        <w:ind w:left="720" w:hanging="0"/>
        <w:rPr/>
      </w:pPr>
      <w:r>
        <w:rPr/>
        <w:t>Ea.3.3 Algorithm negotiation</w:t>
      </w:r>
    </w:p>
    <w:p>
      <w:pPr>
        <w:pStyle w:val="IEEEText"/>
        <w:ind w:left="720" w:hanging="0"/>
        <w:rPr/>
      </w:pPr>
      <w:r>
        <w:rPr/>
        <w:t>Ea.3.4 Key derivation</w:t>
      </w:r>
    </w:p>
    <w:p>
      <w:pPr>
        <w:pStyle w:val="IEEEText"/>
        <w:ind w:left="720" w:hanging="0"/>
        <w:rPr/>
      </w:pPr>
      <w:r>
        <w:rPr/>
        <w:t>Ea.3.5 Broadcast and multicast key distribution</w:t>
      </w:r>
    </w:p>
    <w:sectPr>
      <w:headerReference w:type="default" r:id="rId2"/>
      <w:footerReference w:type="default" r:id="rId3"/>
      <w:type w:val="nextPage"/>
      <w:pgSz w:w="12240" w:h="15840"/>
      <w:pgMar w:left="1440" w:right="1440" w:gutter="0" w:header="1296" w:top="1800" w:footer="1296" w:bottom="180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Segoe UI">
    <w:charset w:val="00"/>
    <w:family w:val="roman"/>
    <w:pitch w:val="variable"/>
  </w:font>
  <w:font w:name="Courier New">
    <w:charset w:val="00"/>
    <w:family w:val="roman"/>
    <w:pitch w:val="variable"/>
  </w:font>
  <w:font w:name="Liberation Sans">
    <w:altName w:val="Arial"/>
    <w:charset w:val="00"/>
    <w:family w:val="roman"/>
    <w:pitch w:val="variable"/>
  </w:font>
  <w:font w:name="Palatino">
    <w:charset w:val="00"/>
    <w:family w:val="roman"/>
    <w:pitch w:val="variable"/>
  </w:font>
  <w:font w:name="New Century Schlbk">
    <w:charset w:val="00"/>
    <w:family w:val="roman"/>
    <w:pitch w:val="variable"/>
  </w:font>
  <w:font w:name="Tahoma">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val="false"/>
      <w:pBdr>
        <w:top w:val="single" w:sz="6" w:space="0" w:color="000000"/>
      </w:pBdr>
      <w:tabs>
        <w:tab w:val="clear" w:pos="4320"/>
        <w:tab w:val="clear" w:pos="8640"/>
        <w:tab w:val="center" w:pos="4680" w:leader="none"/>
        <w:tab w:val="right" w:pos="9360" w:leader="none"/>
      </w:tabs>
      <w:spacing w:before="240" w:after="0"/>
      <w:jc w:val="center"/>
      <w:rPr/>
    </w:pPr>
    <w:r>
      <w:rPr/>
      <w:t>Submission</w:t>
      <w:tab/>
      <w:t xml:space="preserve">                                                         Page                          Tero Kivinen (Wi-SUN Alliance)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val="false"/>
      <w:pBdr>
        <w:bottom w:val="single" w:sz="6" w:space="0" w:color="000000"/>
      </w:pBdr>
      <w:tabs>
        <w:tab w:val="clear" w:pos="4320"/>
        <w:tab w:val="clear" w:pos="8640"/>
        <w:tab w:val="right" w:pos="9270" w:leader="none"/>
      </w:tabs>
      <w:spacing w:before="0" w:after="360"/>
      <w:jc w:val="both"/>
      <w:rPr>
        <w:b/>
        <w:b/>
        <w:sz w:val="28"/>
      </w:rPr>
    </w:pPr>
    <w:r>
      <w:rPr>
        <w:b/>
        <w:sz w:val="28"/>
      </w:rPr>
      <w:t>September 2024</w:t>
      <w:tab/>
      <w:t xml:space="preserve"> IEEE P802.15-24-0</w:t>
    </w:r>
    <w:r>
      <w:rPr>
        <w:b/>
        <w:sz w:val="28"/>
      </w:rPr>
      <w:t>500</w:t>
    </w:r>
    <w:r>
      <w:rPr>
        <w:b/>
        <w:sz w:val="28"/>
      </w:rPr>
      <w:t>-0</w:t>
    </w:r>
    <w:r>
      <w:rPr>
        <w:b/>
        <w:sz w:val="28"/>
      </w:rPr>
      <w:t>0</w:t>
    </w:r>
    <w:r>
      <w:rPr>
        <w:b/>
        <w:sz w:val="28"/>
      </w:rPr>
      <w:t>-0</w:t>
    </w:r>
    <w:r>
      <w:rPr>
        <w:b/>
        <w:sz w:val="28"/>
      </w:rPr>
      <w:t>094</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lvl>
    <w:lvl w:ilvl="1">
      <w:start w:val="1"/>
      <w:pStyle w:val="Heading2"/>
      <w:numFmt w:val="decimal"/>
      <w:lvlText w:val="%1.%2"/>
      <w:lvlJc w:val="left"/>
      <w:pPr>
        <w:tabs>
          <w:tab w:val="num" w:pos="0"/>
        </w:tabs>
        <w:ind w:left="576" w:hanging="576"/>
      </w:pPr>
      <w:rPr/>
    </w:lvl>
    <w:lvl w:ilvl="2">
      <w:start w:val="1"/>
      <w:pStyle w:val="Heading3"/>
      <w:numFmt w:val="decimal"/>
      <w:lvlText w:val="%1.%2.%3"/>
      <w:lvlJc w:val="left"/>
      <w:pPr>
        <w:tabs>
          <w:tab w:val="num" w:pos="0"/>
        </w:tabs>
        <w:ind w:left="720" w:hanging="720"/>
      </w:pPr>
      <w:rPr>
        <w:b/>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0"/>
        </w:tabs>
        <w:ind w:left="620" w:hanging="500"/>
      </w:pPr>
      <w:rPr/>
    </w:lvl>
    <w:lvl w:ilvl="1">
      <w:start w:val="1"/>
      <w:numFmt w:val="decimal"/>
      <w:lvlText w:val="%1.%2 "/>
      <w:lvlJc w:val="left"/>
      <w:pPr>
        <w:tabs>
          <w:tab w:val="num" w:pos="0"/>
        </w:tabs>
        <w:ind w:left="620" w:hanging="500"/>
      </w:pPr>
      <w:rPr/>
    </w:lvl>
    <w:lvl w:ilvl="2">
      <w:start w:val="1"/>
      <w:numFmt w:val="decimal"/>
      <w:lvlText w:val="%1.%2.%3 "/>
      <w:lvlJc w:val="left"/>
      <w:pPr>
        <w:tabs>
          <w:tab w:val="num" w:pos="0"/>
        </w:tabs>
        <w:ind w:left="620" w:hanging="500"/>
      </w:pPr>
      <w:rPr/>
    </w:lvl>
    <w:lvl w:ilvl="3">
      <w:start w:val="1"/>
      <w:numFmt w:val="decimal"/>
      <w:lvlText w:val="%1.%2.%3.%4 "/>
      <w:lvlJc w:val="left"/>
      <w:pPr>
        <w:tabs>
          <w:tab w:val="num" w:pos="0"/>
        </w:tabs>
        <w:ind w:left="3962" w:hanging="3843"/>
      </w:pPr>
      <w:rPr/>
    </w:lvl>
    <w:lvl w:ilvl="4">
      <w:start w:val="1"/>
      <w:numFmt w:val="bullet"/>
      <w:lvlText w:val=""/>
      <w:lvlJc w:val="left"/>
      <w:pPr>
        <w:tabs>
          <w:tab w:val="num" w:pos="0"/>
        </w:tabs>
        <w:ind w:left="5076" w:hanging="500"/>
      </w:pPr>
      <w:rPr>
        <w:rFonts w:ascii="Symbol" w:hAnsi="Symbol" w:cs="Symbol" w:hint="default"/>
      </w:rPr>
    </w:lvl>
    <w:lvl w:ilvl="5">
      <w:start w:val="1"/>
      <w:numFmt w:val="bullet"/>
      <w:lvlText w:val=""/>
      <w:lvlJc w:val="left"/>
      <w:pPr>
        <w:tabs>
          <w:tab w:val="num" w:pos="0"/>
        </w:tabs>
        <w:ind w:left="6190" w:hanging="500"/>
      </w:pPr>
      <w:rPr>
        <w:rFonts w:ascii="Symbol" w:hAnsi="Symbol" w:cs="Symbol" w:hint="default"/>
      </w:rPr>
    </w:lvl>
    <w:lvl w:ilvl="6">
      <w:start w:val="1"/>
      <w:numFmt w:val="bullet"/>
      <w:lvlText w:val=""/>
      <w:lvlJc w:val="left"/>
      <w:pPr>
        <w:tabs>
          <w:tab w:val="num" w:pos="0"/>
        </w:tabs>
        <w:ind w:left="7304" w:hanging="500"/>
      </w:pPr>
      <w:rPr>
        <w:rFonts w:ascii="Symbol" w:hAnsi="Symbol" w:cs="Symbol" w:hint="default"/>
      </w:rPr>
    </w:lvl>
    <w:lvl w:ilvl="7">
      <w:start w:val="1"/>
      <w:numFmt w:val="bullet"/>
      <w:lvlText w:val=""/>
      <w:lvlJc w:val="left"/>
      <w:pPr>
        <w:tabs>
          <w:tab w:val="num" w:pos="0"/>
        </w:tabs>
        <w:ind w:left="8418" w:hanging="500"/>
      </w:pPr>
      <w:rPr>
        <w:rFonts w:ascii="Symbol" w:hAnsi="Symbol" w:cs="Symbol" w:hint="default"/>
      </w:rPr>
    </w:lvl>
    <w:lvl w:ilvl="8">
      <w:start w:val="1"/>
      <w:numFmt w:val="bullet"/>
      <w:lvlText w:val=""/>
      <w:lvlJc w:val="left"/>
      <w:pPr>
        <w:tabs>
          <w:tab w:val="num" w:pos="0"/>
        </w:tabs>
        <w:ind w:left="9532" w:hanging="500"/>
      </w:pPr>
      <w:rPr>
        <w:rFonts w:ascii="Symbol" w:hAnsi="Symbol" w:cs="Symbol" w:hint="default"/>
      </w:rPr>
    </w:lvl>
  </w:abstractNum>
  <w:num w:numId="1">
    <w:abstractNumId w:val="1"/>
  </w:num>
  <w:num w:numId="2">
    <w:abstractNumId w:val="2"/>
  </w:num>
</w:numbering>
</file>

<file path=word/settings.xml><?xml version="1.0" encoding="utf-8"?>
<w:settings xmlns:w="http://schemas.openxmlformats.org/wordprocessingml/2006/main">
  <w:zoom w:percent="160"/>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eastAsiaTheme="minorEastAsia"/>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687d"/>
    <w:pPr>
      <w:widowControl/>
      <w:suppressAutoHyphens w:val="true"/>
      <w:bidi w:val="0"/>
      <w:spacing w:before="0" w:after="0"/>
      <w:jc w:val="left"/>
    </w:pPr>
    <w:rPr>
      <w:rFonts w:ascii="Times New Roman" w:hAnsi="Times New Roman" w:eastAsia="ＭＳ 明朝" w:cs="Times New Roman"/>
      <w:color w:val="000000"/>
      <w:kern w:val="0"/>
      <w:sz w:val="20"/>
      <w:szCs w:val="20"/>
      <w:lang w:val="en-US" w:eastAsia="en-US" w:bidi="ar-SA"/>
    </w:rPr>
  </w:style>
  <w:style w:type="paragraph" w:styleId="Heading1">
    <w:name w:val="Heading 1"/>
    <w:basedOn w:val="Normal"/>
    <w:next w:val="Normal"/>
    <w:uiPriority w:val="1"/>
    <w:qFormat/>
    <w:pPr>
      <w:keepNext w:val="true"/>
      <w:numPr>
        <w:ilvl w:val="0"/>
        <w:numId w:val="1"/>
      </w:numPr>
      <w:tabs>
        <w:tab w:val="clear" w:pos="720"/>
      </w:tabs>
      <w:spacing w:before="240" w:after="60"/>
      <w:outlineLvl w:val="0"/>
    </w:pPr>
    <w:rPr>
      <w:rFonts w:ascii="Arial" w:hAnsi="Arial"/>
      <w:b/>
      <w:kern w:val="2"/>
      <w:sz w:val="28"/>
      <w:u w:val="none"/>
    </w:rPr>
  </w:style>
  <w:style w:type="paragraph" w:styleId="Heading2">
    <w:name w:val="Heading 2"/>
    <w:basedOn w:val="Normal"/>
    <w:next w:val="Normal"/>
    <w:qFormat/>
    <w:pPr>
      <w:keepNext w:val="true"/>
      <w:numPr>
        <w:ilvl w:val="1"/>
        <w:numId w:val="1"/>
      </w:numPr>
      <w:spacing w:before="240" w:after="60"/>
      <w:outlineLvl w:val="1"/>
    </w:pPr>
    <w:rPr>
      <w:rFonts w:ascii="Arial" w:hAnsi="Arial"/>
      <w:b/>
      <w:i/>
      <w:sz w:val="28"/>
      <w:u w:val="wave"/>
    </w:rPr>
  </w:style>
  <w:style w:type="paragraph" w:styleId="Heading3">
    <w:name w:val="Heading 3"/>
    <w:basedOn w:val="Normal"/>
    <w:next w:val="Normal"/>
    <w:qFormat/>
    <w:pPr>
      <w:keepNext w:val="true"/>
      <w:numPr>
        <w:ilvl w:val="2"/>
        <w:numId w:val="1"/>
      </w:numPr>
      <w:tabs>
        <w:tab w:val="clear" w:pos="720"/>
        <w:tab w:val="left" w:pos="792" w:leader="none"/>
      </w:tabs>
      <w:spacing w:before="240" w:after="60"/>
      <w:outlineLvl w:val="2"/>
    </w:pPr>
    <w:rPr>
      <w:rFonts w:ascii="Arial" w:hAnsi="Arial"/>
      <w:sz w:val="26"/>
    </w:rPr>
  </w:style>
  <w:style w:type="paragraph" w:styleId="Heading4">
    <w:name w:val="Heading 4"/>
    <w:basedOn w:val="Normal"/>
    <w:next w:val="Normal"/>
    <w:qFormat/>
    <w:pPr>
      <w:numPr>
        <w:ilvl w:val="3"/>
        <w:numId w:val="1"/>
      </w:numPr>
      <w:outlineLvl w:val="3"/>
    </w:pPr>
    <w:rPr>
      <w:rFonts w:ascii="Times" w:hAnsi="Times"/>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Pr/>
  </w:style>
  <w:style w:type="character" w:styleId="Internet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qFormat/>
    <w:rsid w:val="00cb4625"/>
    <w:rPr>
      <w:color w:val="605E5C"/>
      <w:shd w:fill="E1DFDD" w:val="clear"/>
    </w:rPr>
  </w:style>
  <w:style w:type="character" w:styleId="Annotationreference">
    <w:name w:val="annotation reference"/>
    <w:basedOn w:val="DefaultParagraphFont"/>
    <w:uiPriority w:val="99"/>
    <w:semiHidden/>
    <w:unhideWhenUsed/>
    <w:qFormat/>
    <w:rsid w:val="00107fe7"/>
    <w:rPr>
      <w:sz w:val="16"/>
      <w:szCs w:val="16"/>
    </w:rPr>
  </w:style>
  <w:style w:type="character" w:styleId="Style5" w:customStyle="1">
    <w:name w:val="コメント文字列 (文字)"/>
    <w:basedOn w:val="DefaultParagraphFont"/>
    <w:link w:val="Annotationtext"/>
    <w:uiPriority w:val="99"/>
    <w:semiHidden/>
    <w:qFormat/>
    <w:rsid w:val="00107fe7"/>
    <w:rPr>
      <w:color w:val="000000"/>
    </w:rPr>
  </w:style>
  <w:style w:type="character" w:styleId="Style6" w:customStyle="1">
    <w:name w:val="コメント内容 (文字)"/>
    <w:basedOn w:val="Style5"/>
    <w:link w:val="Annotationsubject"/>
    <w:uiPriority w:val="99"/>
    <w:semiHidden/>
    <w:qFormat/>
    <w:rsid w:val="00107fe7"/>
    <w:rPr>
      <w:b/>
      <w:bCs/>
      <w:color w:val="000000"/>
    </w:rPr>
  </w:style>
  <w:style w:type="character" w:styleId="Style7" w:customStyle="1">
    <w:name w:val="吹き出し (文字)"/>
    <w:basedOn w:val="DefaultParagraphFont"/>
    <w:link w:val="BalloonText"/>
    <w:uiPriority w:val="99"/>
    <w:semiHidden/>
    <w:qFormat/>
    <w:rsid w:val="00107fe7"/>
    <w:rPr>
      <w:rFonts w:ascii="Segoe UI" w:hAnsi="Segoe UI" w:cs="Segoe UI"/>
      <w:color w:val="000000"/>
      <w:sz w:val="18"/>
      <w:szCs w:val="18"/>
    </w:rPr>
  </w:style>
  <w:style w:type="character" w:styleId="Style8" w:customStyle="1">
    <w:name w:val="書式なし (文字)"/>
    <w:basedOn w:val="DefaultParagraphFont"/>
    <w:link w:val="PlainText"/>
    <w:uiPriority w:val="99"/>
    <w:qFormat/>
    <w:rsid w:val="00a70e99"/>
    <w:rPr>
      <w:rFonts w:ascii="Courier New" w:hAnsi="Courier New" w:eastAsia="ＭＳ 明朝"/>
      <w:lang w:val="x-none" w:eastAsia="x-none"/>
    </w:rPr>
  </w:style>
  <w:style w:type="character" w:styleId="VisitedInternetLink">
    <w:name w:val="FollowedHyperlink"/>
    <w:basedOn w:val="DefaultParagraphFont"/>
    <w:uiPriority w:val="99"/>
    <w:semiHidden/>
    <w:unhideWhenUsed/>
    <w:rsid w:val="00a87983"/>
    <w:rPr>
      <w:color w:val="800080" w:themeColor="followedHyperlink"/>
      <w:u w:val="single"/>
    </w:rPr>
  </w:style>
  <w:style w:type="character" w:styleId="LineNumbering">
    <w:name w:val="Line Number"/>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uiPriority w:val="1"/>
    <w:qFormat/>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Footer">
    <w:name w:val="Footer"/>
    <w:basedOn w:val="Normal"/>
    <w:semiHidden/>
    <w:pPr>
      <w:tabs>
        <w:tab w:val="clear" w:pos="720"/>
        <w:tab w:val="center" w:pos="4320" w:leader="none"/>
        <w:tab w:val="right" w:pos="8640" w:leader="none"/>
      </w:tabs>
    </w:pPr>
    <w:rPr/>
  </w:style>
  <w:style w:type="paragraph" w:styleId="Header">
    <w:name w:val="Header"/>
    <w:basedOn w:val="Normal"/>
    <w:semiHidden/>
    <w:pPr>
      <w:tabs>
        <w:tab w:val="clear" w:pos="720"/>
        <w:tab w:val="center" w:pos="4320" w:leader="none"/>
        <w:tab w:val="right" w:pos="8640" w:leader="none"/>
      </w:tabs>
    </w:pPr>
    <w:rPr/>
  </w:style>
  <w:style w:type="paragraph" w:styleId="BitHeading" w:customStyle="1">
    <w:name w:val="Bit Heading"/>
    <w:basedOn w:val="Normal"/>
    <w:qFormat/>
    <w:pPr>
      <w:spacing w:before="120" w:after="0"/>
      <w:jc w:val="both"/>
    </w:pPr>
    <w:rPr>
      <w:rFonts w:ascii="Palatino" w:hAnsi="Palatino"/>
      <w:i/>
    </w:rPr>
  </w:style>
  <w:style w:type="paragraph" w:styleId="BlockParagraph" w:customStyle="1">
    <w:name w:val="BlockParagraph"/>
    <w:basedOn w:val="Normal"/>
    <w:qFormat/>
    <w:pPr>
      <w:spacing w:before="120" w:after="0"/>
    </w:pPr>
    <w:rPr>
      <w:rFonts w:ascii="Palatino" w:hAnsi="Palatino"/>
    </w:rPr>
  </w:style>
  <w:style w:type="paragraph" w:styleId="Definition" w:customStyle="1">
    <w:name w:val="Definition"/>
    <w:basedOn w:val="Normal"/>
    <w:qFormat/>
    <w:pPr>
      <w:spacing w:before="0" w:after="200"/>
      <w:ind w:right="-720" w:hanging="0"/>
      <w:jc w:val="both"/>
    </w:pPr>
    <w:rPr>
      <w:rFonts w:ascii="New Century Schlbk" w:hAnsi="New Century Schlbk"/>
    </w:rPr>
  </w:style>
  <w:style w:type="paragraph" w:styleId="DocumentMap">
    <w:name w:val="Document Map"/>
    <w:basedOn w:val="Normal"/>
    <w:semiHidden/>
    <w:qFormat/>
    <w:pPr>
      <w:shd w:val="clear" w:color="auto" w:fill="000080"/>
    </w:pPr>
    <w:rPr>
      <w:rFonts w:ascii="Tahoma" w:hAnsi="Tahoma"/>
    </w:rPr>
  </w:style>
  <w:style w:type="paragraph" w:styleId="Covertext" w:customStyle="1">
    <w:name w:val="cover text"/>
    <w:basedOn w:val="Normal"/>
    <w:qFormat/>
    <w:pPr>
      <w:spacing w:before="120" w:after="120"/>
    </w:pPr>
    <w:rPr/>
  </w:style>
  <w:style w:type="paragraph" w:styleId="ListParagraph">
    <w:name w:val="List Paragraph"/>
    <w:basedOn w:val="Normal"/>
    <w:uiPriority w:val="34"/>
    <w:qFormat/>
    <w:rsid w:val="00467c10"/>
    <w:pPr>
      <w:spacing w:before="0" w:after="0"/>
      <w:contextualSpacing/>
    </w:pPr>
    <w:rPr>
      <w:rFonts w:ascii="Times" w:hAnsi="Times"/>
      <w:sz w:val="28"/>
      <w:szCs w:val="24"/>
    </w:rPr>
  </w:style>
  <w:style w:type="paragraph" w:styleId="Annotationtext">
    <w:name w:val="annotation text"/>
    <w:basedOn w:val="Normal"/>
    <w:link w:val="Style5"/>
    <w:uiPriority w:val="99"/>
    <w:semiHidden/>
    <w:unhideWhenUsed/>
    <w:qFormat/>
    <w:rsid w:val="00107fe7"/>
    <w:pPr/>
    <w:rPr/>
  </w:style>
  <w:style w:type="paragraph" w:styleId="Annotationsubject">
    <w:name w:val="annotation subject"/>
    <w:basedOn w:val="Annotationtext"/>
    <w:next w:val="Annotationtext"/>
    <w:link w:val="Style6"/>
    <w:uiPriority w:val="99"/>
    <w:semiHidden/>
    <w:unhideWhenUsed/>
    <w:qFormat/>
    <w:rsid w:val="00107fe7"/>
    <w:pPr/>
    <w:rPr>
      <w:b/>
      <w:bCs/>
    </w:rPr>
  </w:style>
  <w:style w:type="paragraph" w:styleId="BalloonText">
    <w:name w:val="Balloon Text"/>
    <w:basedOn w:val="Normal"/>
    <w:link w:val="Style7"/>
    <w:uiPriority w:val="99"/>
    <w:semiHidden/>
    <w:unhideWhenUsed/>
    <w:qFormat/>
    <w:rsid w:val="00107fe7"/>
    <w:pPr/>
    <w:rPr>
      <w:rFonts w:ascii="Segoe UI" w:hAnsi="Segoe UI" w:cs="Segoe UI"/>
      <w:sz w:val="18"/>
      <w:szCs w:val="18"/>
    </w:rPr>
  </w:style>
  <w:style w:type="paragraph" w:styleId="Revision">
    <w:name w:val="Revision"/>
    <w:uiPriority w:val="99"/>
    <w:semiHidden/>
    <w:qFormat/>
    <w:rsid w:val="00b06bbe"/>
    <w:pPr>
      <w:widowControl/>
      <w:suppressAutoHyphens w:val="true"/>
      <w:bidi w:val="0"/>
      <w:spacing w:before="0" w:after="0"/>
      <w:jc w:val="left"/>
    </w:pPr>
    <w:rPr>
      <w:rFonts w:ascii="Times New Roman" w:hAnsi="Times New Roman" w:eastAsia="ＭＳ 明朝" w:cs="Times New Roman"/>
      <w:color w:val="000000"/>
      <w:kern w:val="0"/>
      <w:sz w:val="20"/>
      <w:szCs w:val="20"/>
      <w:lang w:val="en-US" w:eastAsia="en-US" w:bidi="ar-SA"/>
    </w:rPr>
  </w:style>
  <w:style w:type="paragraph" w:styleId="LetteredList1" w:customStyle="1">
    <w:name w:val="Lettered List 1"/>
    <w:basedOn w:val="Normal"/>
    <w:qFormat/>
    <w:rsid w:val="00210b54"/>
    <w:pPr>
      <w:tabs>
        <w:tab w:val="left" w:pos="0" w:leader="none"/>
        <w:tab w:val="left" w:pos="720" w:leader="none"/>
      </w:tabs>
      <w:suppressAutoHyphens w:val="true"/>
      <w:ind w:left="720" w:hanging="720"/>
    </w:pPr>
    <w:rPr>
      <w:rFonts w:eastAsia="ＭＳ 明朝"/>
      <w:color w:val="00000A"/>
      <w:sz w:val="24"/>
      <w:lang w:eastAsia="zh-CN"/>
    </w:rPr>
  </w:style>
  <w:style w:type="paragraph" w:styleId="PlainText">
    <w:name w:val="Plain Text"/>
    <w:basedOn w:val="Normal"/>
    <w:link w:val="Style8"/>
    <w:uiPriority w:val="99"/>
    <w:qFormat/>
    <w:rsid w:val="00a70e99"/>
    <w:pPr/>
    <w:rPr>
      <w:rFonts w:ascii="Courier New" w:hAnsi="Courier New" w:eastAsia="ＭＳ 明朝"/>
      <w:color w:val="auto"/>
      <w:lang w:val="x-none" w:eastAsia="x-none"/>
    </w:rPr>
  </w:style>
  <w:style w:type="paragraph" w:styleId="Subtitle">
    <w:name w:val="Subtitle"/>
    <w:basedOn w:val="Heading"/>
    <w:next w:val="TextBody"/>
    <w:qFormat/>
    <w:pPr>
      <w:spacing w:before="60" w:after="120"/>
      <w:jc w:val="center"/>
    </w:pPr>
    <w:rPr>
      <w:sz w:val="36"/>
      <w:szCs w:val="36"/>
    </w:rPr>
  </w:style>
  <w:style w:type="paragraph" w:styleId="IEEEText">
    <w:name w:val="IEEE Text"/>
    <w:basedOn w:val="TextBody"/>
    <w:qFormat/>
    <w:pPr>
      <w:spacing w:before="173" w:after="0"/>
    </w:pPr>
    <w:rPr/>
  </w:style>
  <w:style w:type="paragraph" w:styleId="IEEEheading">
    <w:name w:val="IEEE heading"/>
    <w:basedOn w:val="Heading1"/>
    <w:next w:val="IEEEText"/>
    <w:qFormat/>
    <w:pPr>
      <w:numPr>
        <w:ilvl w:val="0"/>
        <w:numId w:val="2"/>
      </w:numPr>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2">
    <w:name w:val="Table Grid"/>
    <w:basedOn w:val="a1"/>
    <w:uiPriority w:val="59"/>
    <w:rsid w:val="00ed19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Application>LibreOffice/7.4.7.2$Linux_X86_64 LibreOffice_project/40$Build-2</Application>
  <AppVersion>15.0000</AppVersion>
  <Pages>2</Pages>
  <Words>219</Words>
  <Characters>1190</Characters>
  <CharactersWithSpaces>1454</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2024-09-10T09:13:49Z</dcterms:created>
  <dc:creator>Tero Kivinen</dc:creator>
  <dc:description/>
  <dc:language>en-US</dc:language>
  <cp:lastModifiedBy>Tero Kivinen</cp:lastModifiedBy>
  <dcterms:modified xsi:type="dcterms:W3CDTF">2024-09-10T13:45:46Z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