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6"/>
        <w:gridCol w:w="4053"/>
        <w:gridCol w:w="4141"/>
      </w:tblGrid>
      <w:tr>
        <w:trPr/>
        <w:tc>
          <w:tcPr>
            <w:tcW w:w="1256" w:type="dxa"/>
            <w:tcBorders>
              <w:top w:val="single" w:sz="6" w:space="0" w:color="000000"/>
            </w:tcBorders>
            <w:vAlign w:val="center"/>
          </w:tcPr>
          <w:p>
            <w:pPr>
              <w:pStyle w:val="Covertext"/>
              <w:widowControl w:val="false"/>
              <w:spacing w:before="120" w:after="120"/>
              <w:rPr>
                <w:sz w:val="22"/>
              </w:rPr>
            </w:pPr>
            <w:r>
              <w:rPr>
                <w:sz w:val="22"/>
              </w:rPr>
              <w:t>Project</w:t>
            </w:r>
          </w:p>
        </w:tc>
        <w:tc>
          <w:tcPr>
            <w:tcW w:w="8194"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6"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4"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TG 802.15.4ae List of changes to the IEEE Std 802.15.4</w:t>
            </w:r>
          </w:p>
        </w:tc>
      </w:tr>
      <w:tr>
        <w:trPr/>
        <w:tc>
          <w:tcPr>
            <w:tcW w:w="1256"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4"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9</w:t>
            </w:r>
            <w:r>
              <w:rPr>
                <w:sz w:val="24"/>
                <w:szCs w:val="22"/>
                <w:vertAlign w:val="superscript"/>
              </w:rPr>
              <w:t>th</w:t>
            </w:r>
            <w:r>
              <w:rPr>
                <w:sz w:val="24"/>
                <w:szCs w:val="22"/>
              </w:rPr>
              <w:t xml:space="preserve"> September 2024</w:t>
            </w:r>
          </w:p>
        </w:tc>
      </w:tr>
      <w:tr>
        <w:trPr/>
        <w:tc>
          <w:tcPr>
            <w:tcW w:w="1256"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3"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6" w:type="dxa"/>
            <w:tcBorders>
              <w:top w:val="single" w:sz="6" w:space="0" w:color="000000"/>
            </w:tcBorders>
            <w:vAlign w:val="center"/>
          </w:tcPr>
          <w:p>
            <w:pPr>
              <w:pStyle w:val="Covertext"/>
              <w:widowControl w:val="false"/>
              <w:spacing w:before="120" w:after="120"/>
              <w:rPr>
                <w:sz w:val="22"/>
              </w:rPr>
            </w:pPr>
            <w:r>
              <w:rPr>
                <w:sz w:val="22"/>
              </w:rPr>
              <w:t>Abstract</w:t>
            </w:r>
          </w:p>
        </w:tc>
        <w:tc>
          <w:tcPr>
            <w:tcW w:w="8194" w:type="dxa"/>
            <w:gridSpan w:val="2"/>
            <w:tcBorders>
              <w:top w:val="single" w:sz="6" w:space="0" w:color="000000"/>
            </w:tcBorders>
            <w:vAlign w:val="center"/>
          </w:tcPr>
          <w:p>
            <w:pPr>
              <w:pStyle w:val="Covertext"/>
              <w:widowControl w:val="false"/>
              <w:spacing w:before="120" w:after="120"/>
              <w:rPr>
                <w:sz w:val="22"/>
              </w:rPr>
            </w:pPr>
            <w:r>
              <w:rPr>
                <w:sz w:val="22"/>
              </w:rPr>
              <w:t>List of changes needed in the IEEE Std 802.15.4 to add ASCON.</w:t>
            </w:r>
          </w:p>
        </w:tc>
      </w:tr>
      <w:tr>
        <w:trPr/>
        <w:tc>
          <w:tcPr>
            <w:tcW w:w="1256" w:type="dxa"/>
            <w:tcBorders>
              <w:top w:val="single" w:sz="6" w:space="0" w:color="000000"/>
            </w:tcBorders>
            <w:vAlign w:val="center"/>
          </w:tcPr>
          <w:p>
            <w:pPr>
              <w:pStyle w:val="Covertext"/>
              <w:widowControl w:val="false"/>
              <w:spacing w:before="120" w:after="120"/>
              <w:rPr>
                <w:sz w:val="22"/>
              </w:rPr>
            </w:pPr>
            <w:r>
              <w:rPr>
                <w:sz w:val="22"/>
              </w:rPr>
              <w:t>Purpose</w:t>
            </w:r>
          </w:p>
        </w:tc>
        <w:tc>
          <w:tcPr>
            <w:tcW w:w="8194" w:type="dxa"/>
            <w:gridSpan w:val="2"/>
            <w:tcBorders>
              <w:top w:val="single" w:sz="6" w:space="0" w:color="000000"/>
            </w:tcBorders>
            <w:vAlign w:val="center"/>
          </w:tcPr>
          <w:p>
            <w:pPr>
              <w:pStyle w:val="Covertext"/>
              <w:widowControl w:val="false"/>
              <w:spacing w:before="120" w:after="120"/>
              <w:rPr>
                <w:sz w:val="22"/>
                <w:szCs w:val="22"/>
              </w:rPr>
            </w:pPr>
            <w:r>
              <w:rPr>
                <w:sz w:val="22"/>
                <w:szCs w:val="22"/>
              </w:rPr>
              <w:t>Getting ready for draft proposal.</w:t>
            </w:r>
          </w:p>
        </w:tc>
      </w:tr>
      <w:tr>
        <w:trPr/>
        <w:tc>
          <w:tcPr>
            <w:tcW w:w="1256"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4"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6"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4"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r>
        <w:br w:type="page"/>
      </w:r>
    </w:p>
    <w:p>
      <w:pPr>
        <w:pStyle w:val="Normal"/>
        <w:rPr/>
      </w:pPr>
      <w:r>
        <w:rPr/>
      </w:r>
    </w:p>
    <w:p>
      <w:pPr>
        <w:pStyle w:val="IEEEheading"/>
        <w:numPr>
          <w:ilvl w:val="0"/>
          <w:numId w:val="2"/>
        </w:numPr>
        <w:rPr/>
      </w:pPr>
      <w:r>
        <w:rPr/>
        <w:t>Changes to Clause 9</w:t>
      </w:r>
    </w:p>
    <w:p>
      <w:pPr>
        <w:pStyle w:val="IEEEText"/>
        <w:rPr/>
      </w:pPr>
      <w:r>
        <w:rPr/>
        <w:t>Add ASCON algorithm to Table 9-9.</w:t>
      </w:r>
    </w:p>
    <w:p>
      <w:pPr>
        <w:pStyle w:val="IEEEheading"/>
        <w:numPr>
          <w:ilvl w:val="0"/>
          <w:numId w:val="2"/>
        </w:numPr>
        <w:rPr/>
      </w:pPr>
      <w:r>
        <w:rPr/>
        <w:t>New annex Ba for specifying how to use AEAD ciphers in general</w:t>
      </w:r>
    </w:p>
    <w:p>
      <w:pPr>
        <w:pStyle w:val="IEEEText"/>
        <w:rPr/>
      </w:pPr>
      <w:r>
        <w:rPr/>
        <w:t>The new annex would specify how to use AEAD just like the Annex B now specifies how to use AES-CCM* and AES-CCM modes of operation. This might not be even needed if the text in Section 9.3.2 is enough. Or we might just update the text in 9.3.2 to be sufficient.</w:t>
      </w:r>
    </w:p>
    <w:p>
      <w:pPr>
        <w:pStyle w:val="IEEEText"/>
        <w:ind w:left="720" w:hanging="0"/>
        <w:rPr>
          <w:b/>
          <w:b/>
          <w:bCs/>
        </w:rPr>
      </w:pPr>
      <w:r>
        <w:rPr>
          <w:b/>
          <w:bCs/>
        </w:rPr>
        <w:t>Ba.1 Introduction</w:t>
      </w:r>
    </w:p>
    <w:p>
      <w:pPr>
        <w:pStyle w:val="IEEEText"/>
        <w:ind w:left="720" w:hanging="0"/>
        <w:rPr/>
      </w:pPr>
      <w:r>
        <w:rPr/>
        <w:t xml:space="preserve">AEAD ciphers are defined in document “An Interface and Algorithms for Authenticated Encryption” RFC 5116. This annex defines how AEAD ciphers </w:t>
      </w:r>
      <w:r>
        <w:rPr/>
        <w:t xml:space="preserve">are going </w:t>
      </w:r>
      <w:r>
        <w:rPr/>
        <w:t xml:space="preserve">to be used in environments for which the use of variable-length authentication tags, rather than fixed-length authentication tags only, is beneficial. </w:t>
      </w:r>
      <w:r>
        <w:rPr/>
        <w:t>This annex encodes the authentication tag length in part of the nonce given to AEAD algorithm.</w:t>
      </w:r>
    </w:p>
    <w:p>
      <w:pPr>
        <w:pStyle w:val="IEEEText"/>
        <w:ind w:left="720" w:hanging="0"/>
        <w:rPr>
          <w:b/>
          <w:b/>
          <w:bCs/>
        </w:rPr>
      </w:pPr>
      <w:r>
        <w:rPr>
          <w:b/>
          <w:bCs/>
        </w:rPr>
        <w:t>Ba.2 Symmetric-key cryptographic building blocks</w:t>
      </w:r>
    </w:p>
    <w:p>
      <w:pPr>
        <w:pStyle w:val="IEEEText"/>
        <w:ind w:left="720" w:hanging="0"/>
        <w:rPr/>
      </w:pPr>
      <w:r>
        <w:rPr/>
        <w:t>This annex uses the notation, and representation of strings, integers and octets as described in 9.3.1</w:t>
      </w:r>
    </w:p>
    <w:p>
      <w:pPr>
        <w:pStyle w:val="IEEEText"/>
        <w:ind w:left="720" w:hanging="0"/>
        <w:rPr>
          <w:b/>
          <w:b/>
          <w:bCs/>
        </w:rPr>
      </w:pPr>
      <w:r>
        <w:rPr>
          <w:b/>
          <w:bCs/>
        </w:rPr>
        <w:t>Ba.2.</w:t>
      </w:r>
      <w:r>
        <w:rPr>
          <w:b/>
          <w:bCs/>
        </w:rPr>
        <w:t>1</w:t>
      </w:r>
      <w:r>
        <w:rPr>
          <w:b/>
          <w:bCs/>
        </w:rPr>
        <w:t xml:space="preserve"> </w:t>
      </w:r>
      <w:r>
        <w:rPr>
          <w:b/>
          <w:bCs/>
        </w:rPr>
        <w:t>C</w:t>
      </w:r>
      <w:r>
        <w:rPr>
          <w:b/>
          <w:bCs/>
        </w:rPr>
        <w:t>ipher</w:t>
      </w:r>
    </w:p>
    <w:p>
      <w:pPr>
        <w:pStyle w:val="IEEEText"/>
        <w:ind w:left="720" w:hanging="0"/>
        <w:rPr/>
      </w:pPr>
      <w:r>
        <w:rPr/>
        <w:t>This annex can use any cipher defined as AEAD algorithm.</w:t>
      </w:r>
    </w:p>
    <w:p>
      <w:pPr>
        <w:pStyle w:val="IEEEText"/>
        <w:ind w:left="720" w:hanging="0"/>
        <w:rPr>
          <w:b/>
          <w:b/>
          <w:bCs/>
        </w:rPr>
      </w:pPr>
      <w:r>
        <w:rPr>
          <w:b/>
          <w:bCs/>
        </w:rPr>
        <w:t>Ba.2.2 Parameters for AEAD algorithms</w:t>
      </w:r>
    </w:p>
    <w:p>
      <w:pPr>
        <w:pStyle w:val="IEEEText"/>
        <w:ind w:left="720" w:hanging="0"/>
        <w:rPr/>
      </w:pPr>
      <w:r>
        <w:rPr/>
        <w:t>Parameters for different AEAD ciphers are defined in Table 1.</w:t>
      </w:r>
    </w:p>
    <w:p>
      <w:pPr>
        <w:pStyle w:val="IEEEText"/>
        <w:ind w:left="720" w:hanging="0"/>
        <w:rPr/>
      </w:pPr>
      <w:r>
        <w:rPr/>
      </w:r>
    </w:p>
    <w:tbl>
      <w:tblPr>
        <w:tblW w:w="8332" w:type="dxa"/>
        <w:jc w:val="left"/>
        <w:tblInd w:w="791" w:type="dxa"/>
        <w:tblLayout w:type="fixed"/>
        <w:tblCellMar>
          <w:top w:w="55" w:type="dxa"/>
          <w:left w:w="55" w:type="dxa"/>
          <w:bottom w:w="55" w:type="dxa"/>
          <w:right w:w="55" w:type="dxa"/>
        </w:tblCellMar>
      </w:tblPr>
      <w:tblGrid>
        <w:gridCol w:w="1398"/>
        <w:gridCol w:w="6934"/>
      </w:tblGrid>
      <w:tr>
        <w:trPr/>
        <w:tc>
          <w:tcPr>
            <w:tcW w:w="1398" w:type="dxa"/>
            <w:tcBorders>
              <w:top w:val="single" w:sz="4" w:space="0" w:color="000000"/>
              <w:left w:val="single" w:sz="4" w:space="0" w:color="000000"/>
              <w:bottom w:val="single" w:sz="4" w:space="0" w:color="000000"/>
            </w:tcBorders>
          </w:tcPr>
          <w:p>
            <w:pPr>
              <w:pStyle w:val="TableContents"/>
              <w:jc w:val="center"/>
              <w:rPr>
                <w:b/>
                <w:b/>
                <w:bCs/>
              </w:rPr>
            </w:pPr>
            <w:r>
              <w:rPr>
                <w:b/>
                <w:bCs/>
              </w:rPr>
              <w:t>AEAD Cipher</w:t>
            </w:r>
          </w:p>
        </w:tc>
        <w:tc>
          <w:tcPr>
            <w:tcW w:w="6934" w:type="dxa"/>
            <w:tcBorders>
              <w:top w:val="single" w:sz="4" w:space="0" w:color="000000"/>
              <w:left w:val="single" w:sz="4" w:space="0" w:color="000000"/>
              <w:bottom w:val="single" w:sz="4" w:space="0" w:color="000000"/>
              <w:right w:val="single" w:sz="4" w:space="0" w:color="000000"/>
            </w:tcBorders>
          </w:tcPr>
          <w:p>
            <w:pPr>
              <w:pStyle w:val="TableContents"/>
              <w:jc w:val="center"/>
              <w:rPr>
                <w:b/>
                <w:b/>
                <w:bCs/>
              </w:rPr>
            </w:pPr>
            <w:r>
              <w:rPr>
                <w:b/>
                <w:bCs/>
              </w:rPr>
              <w:t>Parameters</w:t>
            </w:r>
          </w:p>
        </w:tc>
      </w:tr>
      <w:tr>
        <w:trPr/>
        <w:tc>
          <w:tcPr>
            <w:tcW w:w="1398" w:type="dxa"/>
            <w:tcBorders>
              <w:left w:val="single" w:sz="4" w:space="0" w:color="000000"/>
              <w:bottom w:val="single" w:sz="4" w:space="0" w:color="000000"/>
            </w:tcBorders>
          </w:tcPr>
          <w:p>
            <w:pPr>
              <w:pStyle w:val="TableContents"/>
              <w:rPr/>
            </w:pPr>
            <w:r>
              <w:rPr/>
              <w:t>Ascon</w:t>
            </w:r>
          </w:p>
        </w:tc>
        <w:tc>
          <w:tcPr>
            <w:tcW w:w="6934" w:type="dxa"/>
            <w:tcBorders>
              <w:left w:val="single" w:sz="4" w:space="0" w:color="000000"/>
              <w:bottom w:val="single" w:sz="4" w:space="0" w:color="000000"/>
              <w:right w:val="single" w:sz="4" w:space="0" w:color="000000"/>
            </w:tcBorders>
          </w:tcPr>
          <w:p>
            <w:pPr>
              <w:pStyle w:val="TableContents"/>
              <w:numPr>
                <w:ilvl w:val="0"/>
                <w:numId w:val="6"/>
              </w:numPr>
              <w:rPr/>
            </w:pPr>
            <w:r>
              <w:rPr/>
              <w:t xml:space="preserve">K length is 16 octets. </w:t>
            </w:r>
          </w:p>
          <w:p>
            <w:pPr>
              <w:pStyle w:val="TableContents"/>
              <w:numPr>
                <w:ilvl w:val="0"/>
                <w:numId w:val="6"/>
              </w:numPr>
              <w:rPr/>
            </w:pPr>
            <w:r>
              <w:rPr/>
              <w:t xml:space="preserve">N length is 16 octets. </w:t>
            </w:r>
          </w:p>
          <w:p>
            <w:pPr>
              <w:pStyle w:val="TableContents"/>
              <w:numPr>
                <w:ilvl w:val="0"/>
                <w:numId w:val="6"/>
              </w:numPr>
              <w:rPr/>
            </w:pPr>
            <w:r>
              <w:rPr/>
              <w:t>Does not need counter.</w:t>
            </w:r>
          </w:p>
          <w:p>
            <w:pPr>
              <w:pStyle w:val="TableContents"/>
              <w:numPr>
                <w:ilvl w:val="0"/>
                <w:numId w:val="6"/>
              </w:numPr>
              <w:rPr/>
            </w:pPr>
            <w:r>
              <w:rPr/>
              <w:t>MIC length shall be 4, 8, or 16 octets.</w:t>
            </w:r>
          </w:p>
        </w:tc>
      </w:tr>
    </w:tbl>
    <w:p>
      <w:pPr>
        <w:pStyle w:val="IEEEText"/>
        <w:ind w:left="720" w:hanging="0"/>
        <w:rPr/>
      </w:pPr>
      <w:r>
        <w:rPr/>
      </w:r>
    </w:p>
    <w:p>
      <w:pPr>
        <w:pStyle w:val="IEEEText"/>
        <w:ind w:left="720" w:hanging="0"/>
        <w:rPr>
          <w:b/>
          <w:b/>
          <w:bCs/>
        </w:rPr>
      </w:pPr>
      <w:r>
        <w:rPr>
          <w:b/>
          <w:bCs/>
        </w:rPr>
        <w:t>Ba.3 Specification of AEAD operations</w:t>
      </w:r>
    </w:p>
    <w:p>
      <w:pPr>
        <w:pStyle w:val="IEEEText"/>
        <w:ind w:left="720" w:hanging="0"/>
        <w:rPr/>
      </w:pPr>
      <w:r>
        <w:rPr>
          <w:b/>
          <w:bCs/>
        </w:rPr>
        <w:t>Ba.3.1 Prerequisites</w:t>
      </w:r>
    </w:p>
    <w:p>
      <w:pPr>
        <w:pStyle w:val="IEEEText"/>
        <w:ind w:left="720" w:hanging="0"/>
        <w:rPr/>
      </w:pPr>
      <w:r>
        <w:rPr/>
        <w:t>The authenticated encryption operation has four inputs, each of which is an octet string (for specifics see RFC 5116 section 2.1):</w:t>
      </w:r>
    </w:p>
    <w:p>
      <w:pPr>
        <w:pStyle w:val="IEEEText"/>
        <w:numPr>
          <w:ilvl w:val="0"/>
          <w:numId w:val="3"/>
        </w:numPr>
        <w:rPr/>
      </w:pPr>
      <w:r>
        <w:rPr/>
        <w:t>A secret key K</w:t>
      </w:r>
    </w:p>
    <w:p>
      <w:pPr>
        <w:pStyle w:val="IEEEText"/>
        <w:numPr>
          <w:ilvl w:val="0"/>
          <w:numId w:val="3"/>
        </w:numPr>
        <w:rPr/>
      </w:pPr>
      <w:r>
        <w:rPr/>
        <w:t xml:space="preserve">A nonce N.  Each nonce provided to distinct invocations of the Authenticated Encryption operation shall be distinct, for any particular value of the key. Nonces used in the IEEE Std 802.15.4 use 13-octet long </w:t>
      </w:r>
      <w:r>
        <w:rPr/>
        <w:t>part derived from addresses</w:t>
      </w:r>
      <w:r>
        <w:rPr/>
        <w:t xml:space="preserve"> as specified in 9.3.2.</w:t>
      </w:r>
    </w:p>
    <w:p>
      <w:pPr>
        <w:pStyle w:val="IEEEText"/>
        <w:numPr>
          <w:ilvl w:val="0"/>
          <w:numId w:val="3"/>
        </w:numPr>
        <w:rPr/>
      </w:pPr>
      <w:r>
        <w:rPr/>
        <w:t xml:space="preserve">A plaintext P, which contains the data to be encrypted and authenticated (string </w:t>
      </w:r>
      <w:r>
        <w:rPr>
          <w:i/>
          <w:iCs/>
        </w:rPr>
        <w:t>m</w:t>
      </w:r>
      <w:r>
        <w:rPr/>
        <w:t xml:space="preserve"> of length l(</w:t>
      </w:r>
      <w:r>
        <w:rPr>
          <w:i/>
          <w:iCs/>
        </w:rPr>
        <w:t>m</w:t>
      </w:r>
      <w:r>
        <w:rPr/>
        <w:t>) octets).</w:t>
      </w:r>
    </w:p>
    <w:p>
      <w:pPr>
        <w:pStyle w:val="IEEEText"/>
        <w:numPr>
          <w:ilvl w:val="0"/>
          <w:numId w:val="3"/>
        </w:numPr>
        <w:rPr/>
      </w:pPr>
      <w:r>
        <w:rPr/>
        <w:t xml:space="preserve">The associated data A, which contains the data to be authenticated, but not encrypted (string </w:t>
      </w:r>
      <w:r>
        <w:rPr>
          <w:i/>
          <w:iCs/>
        </w:rPr>
        <w:t>a</w:t>
      </w:r>
      <w:r>
        <w:rPr/>
        <w:t xml:space="preserve"> of length l(</w:t>
      </w:r>
      <w:r>
        <w:rPr>
          <w:i/>
          <w:iCs/>
        </w:rPr>
        <w:t>a</w:t>
      </w:r>
      <w:r>
        <w:rPr/>
        <w:t>) octets).</w:t>
      </w:r>
    </w:p>
    <w:p>
      <w:pPr>
        <w:pStyle w:val="IEEEText"/>
        <w:ind w:left="720" w:hanging="0"/>
        <w:rPr/>
      </w:pPr>
      <w:r>
        <w:rPr/>
        <w:t>There is a single output:</w:t>
      </w:r>
    </w:p>
    <w:p>
      <w:pPr>
        <w:pStyle w:val="IEEEText"/>
        <w:numPr>
          <w:ilvl w:val="0"/>
          <w:numId w:val="4"/>
        </w:numPr>
        <w:rPr/>
      </w:pPr>
      <w:r>
        <w:rPr/>
        <w:t>A ciphertext C, which is at least as long as the plaintext, or an indication that the requested encryption operation could not be performed.</w:t>
      </w:r>
    </w:p>
    <w:p>
      <w:pPr>
        <w:pStyle w:val="IEEEText"/>
        <w:ind w:left="720" w:hanging="0"/>
        <w:rPr>
          <w:b/>
          <w:b/>
          <w:bCs/>
        </w:rPr>
      </w:pPr>
      <w:r>
        <w:rPr>
          <w:b/>
          <w:bCs/>
        </w:rPr>
        <w:t>Ba.3.1 AEAD encryption and authentication transform</w:t>
      </w:r>
    </w:p>
    <w:p>
      <w:pPr>
        <w:pStyle w:val="IEEEText"/>
        <w:ind w:left="720" w:hanging="0"/>
        <w:rPr/>
      </w:pPr>
      <w:r>
        <w:rPr/>
        <w:t xml:space="preserve">Generate </w:t>
      </w:r>
      <w:r>
        <w:rPr/>
        <w:t>N</w:t>
      </w:r>
      <w:r>
        <w:rPr/>
        <w:t xml:space="preserve"> as follows:</w:t>
      </w:r>
    </w:p>
    <w:p>
      <w:pPr>
        <w:pStyle w:val="IEEEText"/>
        <w:numPr>
          <w:ilvl w:val="0"/>
          <w:numId w:val="5"/>
        </w:numPr>
        <w:rPr/>
      </w:pPr>
      <w:r>
        <w:rPr/>
        <w:t>Form the 1-octet Flags field consisting of the 1-bit Reserved field, the 1-bit Adata field, and particular 3-bit representations of the integers M and L = 2, as follows:</w:t>
      </w:r>
    </w:p>
    <w:p>
      <w:pPr>
        <w:pStyle w:val="IEEEText"/>
        <w:numPr>
          <w:ilvl w:val="0"/>
          <w:numId w:val="0"/>
        </w:numPr>
        <w:ind w:left="1440" w:hanging="0"/>
        <w:rPr/>
      </w:pPr>
      <w:r>
        <w:rPr/>
        <w:t>Flags = Reserved || Adata || M || L</w:t>
      </w:r>
    </w:p>
    <w:p>
      <w:pPr>
        <w:pStyle w:val="IEEEText"/>
        <w:numPr>
          <w:ilvl w:val="0"/>
          <w:numId w:val="0"/>
        </w:numPr>
        <w:ind w:left="1440" w:hanging="0"/>
        <w:rPr/>
      </w:pPr>
      <w:r>
        <w:rPr/>
        <w:t>Here, the 1-bit Reserved field is reserved for future expansions and shall be set to zero. The 1-bit Adata field is set to zero if length of authenticated additional data is zero and set to one if length of additional authenticated data is not zero. The M field is the 3-bit representation of the integer (M – 2)/2 in most-significant-bit-first order, where M is the length of the authentication tag in octets. The L field is the 3-bit representation of the integer L – 1, in most-significant-bit-first order, where L is always two.</w:t>
      </w:r>
    </w:p>
    <w:p>
      <w:pPr>
        <w:pStyle w:val="IEEEText"/>
        <w:numPr>
          <w:ilvl w:val="0"/>
          <w:numId w:val="5"/>
        </w:numPr>
        <w:rPr/>
      </w:pPr>
      <w:r>
        <w:rPr/>
        <w:t xml:space="preserve">Form a </w:t>
      </w:r>
      <w:r>
        <w:rPr/>
        <w:t xml:space="preserve">N </w:t>
      </w:r>
      <w:r>
        <w:rPr/>
        <w:t>as follows:</w:t>
      </w:r>
    </w:p>
    <w:p>
      <w:pPr>
        <w:pStyle w:val="IEEEText"/>
        <w:numPr>
          <w:ilvl w:val="0"/>
          <w:numId w:val="0"/>
        </w:numPr>
        <w:ind w:left="1440" w:hanging="0"/>
        <w:rPr/>
      </w:pPr>
      <w:r>
        <w:rPr/>
        <w:t>N</w:t>
      </w:r>
      <w:r>
        <w:rPr/>
        <w:t xml:space="preserve"> = Flags || </w:t>
      </w:r>
      <w:r>
        <w:rPr/>
        <w:t xml:space="preserve">AEAD </w:t>
      </w:r>
      <w:r>
        <w:rPr/>
        <w:t xml:space="preserve">Nonce </w:t>
      </w:r>
    </w:p>
    <w:p>
      <w:pPr>
        <w:pStyle w:val="IEEEText"/>
        <w:numPr>
          <w:ilvl w:val="0"/>
          <w:numId w:val="0"/>
        </w:numPr>
        <w:ind w:left="1440" w:hanging="0"/>
        <w:rPr/>
      </w:pPr>
      <w:r>
        <w:rPr/>
        <w:t>Where AEAD Nonce is as defined in 9.3.2.</w:t>
      </w:r>
    </w:p>
    <w:p>
      <w:pPr>
        <w:pStyle w:val="IEEEText"/>
        <w:ind w:left="720" w:hanging="0"/>
        <w:rPr/>
      </w:pPr>
      <w:r>
        <w:rPr/>
        <w:t xml:space="preserve">The generated </w:t>
      </w:r>
      <w:r>
        <w:rPr/>
        <w:t>N</w:t>
      </w:r>
      <w:r>
        <w:rPr/>
        <w:t xml:space="preserve"> is used as fixed part of nonce as specified in the section 3.2 of RFC5116. The counter length used in nonce is always two. If the counter is no</w:t>
      </w:r>
      <w:r>
        <w:rPr/>
        <w:t>t</w:t>
      </w:r>
      <w:r>
        <w:rPr/>
        <w:t xml:space="preserve"> needed by the AEAD algorithm then fixed nonce is padded with two octets of 0x00.</w:t>
      </w:r>
    </w:p>
    <w:p>
      <w:pPr>
        <w:pStyle w:val="IEEEText"/>
        <w:rPr/>
      </w:pPr>
      <w:r>
        <w:rPr/>
        <w:tab/>
        <w:t>Do authentication encryption AEAD operation as specified in RFC5116 section 2.1.</w:t>
      </w:r>
    </w:p>
    <w:p>
      <w:pPr>
        <w:pStyle w:val="IEEEText"/>
        <w:ind w:left="720" w:hanging="0"/>
        <w:rPr>
          <w:b/>
          <w:b/>
          <w:bCs/>
        </w:rPr>
      </w:pPr>
      <w:r>
        <w:rPr>
          <w:b/>
          <w:bCs/>
        </w:rPr>
        <w:t>Ba.3.2 AEAD decryption and authentication checking transformations</w:t>
      </w:r>
    </w:p>
    <w:p>
      <w:pPr>
        <w:pStyle w:val="IEEEText"/>
        <w:ind w:left="720" w:hanging="0"/>
        <w:rPr/>
      </w:pPr>
      <w:r>
        <w:rPr/>
        <w:t xml:space="preserve">Calculate the </w:t>
      </w:r>
      <w:r>
        <w:rPr/>
        <w:t>N</w:t>
      </w:r>
      <w:r>
        <w:rPr/>
        <w:t xml:space="preserve"> as in Ba.3.1 and do authenticated decryption AEAD operation as specified in RFC5116 section 2.2.</w:t>
      </w:r>
    </w:p>
    <w:p>
      <w:pPr>
        <w:pStyle w:val="IEEEheading"/>
        <w:numPr>
          <w:ilvl w:val="0"/>
          <w:numId w:val="2"/>
        </w:numPr>
        <w:rPr/>
      </w:pPr>
      <w:r>
        <w:rPr/>
        <w:t>Create test vector document in mentor</w:t>
      </w:r>
    </w:p>
    <w:p>
      <w:pPr>
        <w:pStyle w:val="IEEEText"/>
        <w:rPr/>
      </w:pPr>
      <w:r>
        <w:rPr/>
        <w:t>Create document providing test vectors using ASCON and add reference to that in Table 9-9.</w:t>
      </w:r>
    </w:p>
    <w:p>
      <w:pPr>
        <w:pStyle w:val="IEEEheading"/>
        <w:numPr>
          <w:ilvl w:val="0"/>
          <w:numId w:val="2"/>
        </w:numPr>
        <w:rPr/>
      </w:pPr>
      <w:r>
        <w:rPr/>
        <w:t>Add ASCON to bibliography</w:t>
      </w:r>
    </w:p>
    <w:p>
      <w:pPr>
        <w:pStyle w:val="IEEEText"/>
        <w:rPr/>
      </w:pPr>
      <w:r>
        <w:rPr/>
        <w:t xml:space="preserve">Add Ascon </w:t>
      </w:r>
      <w:r>
        <w:rPr/>
        <w:t xml:space="preserve">NIST </w:t>
      </w:r>
      <w:r>
        <w:rPr/>
        <w:t xml:space="preserve">specification, </w:t>
      </w:r>
      <w:r>
        <w:rPr/>
        <w:t xml:space="preserve">and RFC 5116 </w:t>
      </w:r>
      <w:r>
        <w:rPr/>
        <w:t>to the bibliography.</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Segoe UI">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Palatino">
    <w:charset w:val="01"/>
    <w:family w:val="roman"/>
    <w:pitch w:val="variable"/>
  </w:font>
  <w:font w:name="New Century Schlbk">
    <w:charset w:val="01"/>
    <w:family w:val="roman"/>
    <w:pitch w:val="variable"/>
  </w:font>
  <w:font w:name="Tahoma">
    <w:charset w:val="01"/>
    <w:family w:val="roman"/>
    <w:pitch w:val="variable"/>
  </w:font>
  <w:font w:name="Liberation Mono">
    <w:altName w:val="Courier New"/>
    <w:charset w:val="01"/>
    <w:family w:val="roman"/>
    <w:pitch w:val="variable"/>
  </w:font>
  <w:font w:name="Symbol">
    <w:charset w:val="02"/>
    <w:family w:val="auto"/>
    <w:pitch w:val="default"/>
  </w:font>
  <w:font w:name="OpenSymbol">
    <w:altName w:val="Arial Unicode MS"/>
    <w:charset w:val="01"/>
    <w:family w:val="auto"/>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t xml:space="preserve">                                                         Page </w:t>
    </w:r>
    <w:r>
      <w:rPr/>
      <w:fldChar w:fldCharType="begin"/>
    </w:r>
    <w:r>
      <w:rPr/>
      <w:instrText xml:space="preserve"> PAGE </w:instrText>
    </w:r>
    <w:r>
      <w:rPr/>
      <w:fldChar w:fldCharType="separate"/>
    </w:r>
    <w:r>
      <w:rPr/>
      <w:t>2</w:t>
    </w:r>
    <w:r>
      <w:rPr/>
      <w:fldChar w:fldCharType="end"/>
    </w:r>
    <w:r>
      <w:rPr/>
      <w:t xml:space="preserve">                          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January 2025</w:t>
      <w:tab/>
      <w:t xml:space="preserve"> IEEE P802.15-24-0484-0</w:t>
    </w:r>
    <w:r>
      <w:rPr>
        <w:b/>
        <w:sz w:val="28"/>
      </w:rPr>
      <w:t>3</w:t>
    </w:r>
    <w:r>
      <w:rPr>
        <w:b/>
        <w:sz w:val="28"/>
      </w:rPr>
      <w:t>-04ae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b/>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620" w:hanging="500"/>
      </w:pPr>
      <w:rPr/>
    </w:lvl>
    <w:lvl w:ilvl="1">
      <w:start w:val="1"/>
      <w:numFmt w:val="decimal"/>
      <w:lvlText w:val="%1.%2 "/>
      <w:lvlJc w:val="left"/>
      <w:pPr>
        <w:tabs>
          <w:tab w:val="num" w:pos="0"/>
        </w:tabs>
        <w:ind w:left="620" w:hanging="500"/>
      </w:pPr>
      <w:rPr/>
    </w:lvl>
    <w:lvl w:ilvl="2">
      <w:start w:val="1"/>
      <w:numFmt w:val="decimal"/>
      <w:lvlText w:val="%1.%2.%3 "/>
      <w:lvlJc w:val="left"/>
      <w:pPr>
        <w:tabs>
          <w:tab w:val="num" w:pos="0"/>
        </w:tabs>
        <w:ind w:left="620" w:hanging="500"/>
      </w:pPr>
      <w:rPr/>
    </w:lvl>
    <w:lvl w:ilvl="3">
      <w:start w:val="1"/>
      <w:numFmt w:val="decimal"/>
      <w:lvlText w:val="%1.%2.%3.%4 "/>
      <w:lvlJc w:val="left"/>
      <w:pPr>
        <w:tabs>
          <w:tab w:val="num" w:pos="0"/>
        </w:tabs>
        <w:ind w:left="3962" w:hanging="3843"/>
      </w:pPr>
      <w:rPr/>
    </w:lvl>
    <w:lvl w:ilvl="4">
      <w:start w:val="1"/>
      <w:numFmt w:val="bullet"/>
      <w:lvlText w:val=""/>
      <w:lvlJc w:val="left"/>
      <w:pPr>
        <w:tabs>
          <w:tab w:val="num" w:pos="0"/>
        </w:tabs>
        <w:ind w:left="5076" w:hanging="500"/>
      </w:pPr>
      <w:rPr>
        <w:rFonts w:ascii="Symbol" w:hAnsi="Symbol" w:cs="Symbol" w:hint="default"/>
      </w:rPr>
    </w:lvl>
    <w:lvl w:ilvl="5">
      <w:start w:val="1"/>
      <w:numFmt w:val="bullet"/>
      <w:lvlText w:val=""/>
      <w:lvlJc w:val="left"/>
      <w:pPr>
        <w:tabs>
          <w:tab w:val="num" w:pos="0"/>
        </w:tabs>
        <w:ind w:left="6190" w:hanging="500"/>
      </w:pPr>
      <w:rPr>
        <w:rFonts w:ascii="Symbol" w:hAnsi="Symbol" w:cs="Symbol" w:hint="default"/>
      </w:rPr>
    </w:lvl>
    <w:lvl w:ilvl="6">
      <w:start w:val="1"/>
      <w:numFmt w:val="bullet"/>
      <w:lvlText w:val=""/>
      <w:lvlJc w:val="left"/>
      <w:pPr>
        <w:tabs>
          <w:tab w:val="num" w:pos="0"/>
        </w:tabs>
        <w:ind w:left="7304" w:hanging="500"/>
      </w:pPr>
      <w:rPr>
        <w:rFonts w:ascii="Symbol" w:hAnsi="Symbol" w:cs="Symbol" w:hint="default"/>
      </w:rPr>
    </w:lvl>
    <w:lvl w:ilvl="7">
      <w:start w:val="1"/>
      <w:numFmt w:val="bullet"/>
      <w:lvlText w:val=""/>
      <w:lvlJc w:val="left"/>
      <w:pPr>
        <w:tabs>
          <w:tab w:val="num" w:pos="0"/>
        </w:tabs>
        <w:ind w:left="8418" w:hanging="500"/>
      </w:pPr>
      <w:rPr>
        <w:rFonts w:ascii="Symbol" w:hAnsi="Symbol" w:cs="Symbol" w:hint="default"/>
      </w:rPr>
    </w:lvl>
    <w:lvl w:ilvl="8">
      <w:start w:val="1"/>
      <w:numFmt w:val="bullet"/>
      <w:lvlText w:val=""/>
      <w:lvlJc w:val="left"/>
      <w:pPr>
        <w:tabs>
          <w:tab w:val="num" w:pos="0"/>
        </w:tabs>
        <w:ind w:left="9532" w:hanging="500"/>
      </w:pPr>
      <w:rPr>
        <w:rFonts w:ascii="Symbol" w:hAnsi="Symbol" w:cs="Symbol" w:hint="default"/>
      </w:rPr>
    </w:lvl>
  </w:abstractNum>
  <w:abstractNum w:abstractNumId="3">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22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tabs>
        <w:tab w:val="clear" w:pos="720"/>
      </w:tabs>
      <w:spacing w:before="240" w:after="60"/>
      <w:outlineLvl w:val="0"/>
    </w:pPr>
    <w:rPr>
      <w:rFonts w:ascii="Arial" w:hAnsi="Arial"/>
      <w:b/>
      <w:kern w:val="2"/>
      <w:sz w:val="28"/>
      <w:u w:val="non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fill="E1DFDD" w:val="clear"/>
    </w:rPr>
  </w:style>
  <w:style w:type="character" w:styleId="Annotationreference">
    <w:name w:val="annotation reference"/>
    <w:basedOn w:val="DefaultParagraphFont"/>
    <w:uiPriority w:val="99"/>
    <w:semiHidden/>
    <w:unhideWhenUsed/>
    <w:qFormat/>
    <w:rsid w:val="00107fe7"/>
    <w:rPr>
      <w:sz w:val="16"/>
      <w:szCs w:val="16"/>
    </w:rPr>
  </w:style>
  <w:style w:type="character" w:styleId="Style5" w:customStyle="1">
    <w:name w:val="コメント文字列 (文字)"/>
    <w:basedOn w:val="DefaultParagraphFont"/>
    <w:link w:val="Annotationtext"/>
    <w:uiPriority w:val="99"/>
    <w:semiHidden/>
    <w:qFormat/>
    <w:rsid w:val="00107fe7"/>
    <w:rPr>
      <w:color w:val="000000"/>
    </w:rPr>
  </w:style>
  <w:style w:type="character" w:styleId="Style6" w:customStyle="1">
    <w:name w:val="コメント内容 (文字)"/>
    <w:basedOn w:val="Style5"/>
    <w:link w:val="Annotationsubject"/>
    <w:uiPriority w:val="99"/>
    <w:semiHidden/>
    <w:qFormat/>
    <w:rsid w:val="00107fe7"/>
    <w:rPr>
      <w:b/>
      <w:bCs/>
      <w:color w:val="000000"/>
    </w:rPr>
  </w:style>
  <w:style w:type="character" w:styleId="Style7" w:customStyle="1">
    <w:name w:val="吹き出し (文字)"/>
    <w:basedOn w:val="DefaultParagraphFont"/>
    <w:link w:val="BalloonText"/>
    <w:uiPriority w:val="99"/>
    <w:semiHidden/>
    <w:qFormat/>
    <w:rsid w:val="00107fe7"/>
    <w:rPr>
      <w:rFonts w:ascii="Segoe UI" w:hAnsi="Segoe UI" w:cs="Segoe UI"/>
      <w:color w:val="000000"/>
      <w:sz w:val="18"/>
      <w:szCs w:val="18"/>
    </w:rPr>
  </w:style>
  <w:style w:type="character" w:styleId="Style8" w:customStyle="1">
    <w:name w:val="書式なし (文字)"/>
    <w:basedOn w:val="DefaultParagraphFont"/>
    <w:link w:val="PlainText"/>
    <w:uiPriority w:val="99"/>
    <w:qFormat/>
    <w:rsid w:val="00a70e99"/>
    <w:rPr>
      <w:rFonts w:ascii="Courier New" w:hAnsi="Courier New" w:eastAsia="ＭＳ 明朝"/>
      <w:lang w:val="x-none" w:eastAsia="x-non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ListParagraph">
    <w:name w:val="List Paragraph"/>
    <w:basedOn w:val="Normal"/>
    <w:uiPriority w:val="34"/>
    <w:qFormat/>
    <w:rsid w:val="00467c10"/>
    <w:pPr>
      <w:spacing w:before="0" w:after="0"/>
      <w:contextualSpacing/>
    </w:pPr>
    <w:rPr>
      <w:rFonts w:ascii="Times" w:hAnsi="Times"/>
      <w:sz w:val="28"/>
      <w:szCs w:val="24"/>
    </w:rPr>
  </w:style>
  <w:style w:type="paragraph" w:styleId="Annotationtext">
    <w:name w:val="annotation text"/>
    <w:basedOn w:val="Normal"/>
    <w:link w:val="Style5"/>
    <w:uiPriority w:val="99"/>
    <w:semiHidden/>
    <w:unhideWhenUsed/>
    <w:qFormat/>
    <w:rsid w:val="00107fe7"/>
    <w:pPr/>
    <w:rPr/>
  </w:style>
  <w:style w:type="paragraph" w:styleId="Annotationsubject">
    <w:name w:val="annotation subject"/>
    <w:basedOn w:val="Annotationtext"/>
    <w:next w:val="Annotationtext"/>
    <w:link w:val="Style6"/>
    <w:uiPriority w:val="99"/>
    <w:semiHidden/>
    <w:unhideWhenUsed/>
    <w:qFormat/>
    <w:rsid w:val="00107fe7"/>
    <w:pPr/>
    <w:rPr>
      <w:b/>
      <w:bCs/>
    </w:rPr>
  </w:style>
  <w:style w:type="paragraph" w:styleId="BalloonText">
    <w:name w:val="Balloon Text"/>
    <w:basedOn w:val="Normal"/>
    <w:link w:val="Style7"/>
    <w:uiPriority w:val="99"/>
    <w:semiHidden/>
    <w:unhideWhenUsed/>
    <w:qFormat/>
    <w:rsid w:val="00107fe7"/>
    <w:pPr/>
    <w:rPr>
      <w:rFonts w:ascii="Segoe UI" w:hAnsi="Segoe UI" w:cs="Segoe UI"/>
      <w:sz w:val="18"/>
      <w:szCs w:val="18"/>
    </w:rPr>
  </w:style>
  <w:style w:type="paragraph" w:styleId="Revision">
    <w:name w:val="Revision"/>
    <w:uiPriority w:val="99"/>
    <w:semiHidden/>
    <w:qFormat/>
    <w:rsid w:val="00b06bbe"/>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LetteredList1" w:customStyle="1">
    <w:name w:val="Lettered List 1"/>
    <w:basedOn w:val="Normal"/>
    <w:qFormat/>
    <w:rsid w:val="00210b54"/>
    <w:pPr>
      <w:tabs>
        <w:tab w:val="left" w:pos="0" w:leader="none"/>
        <w:tab w:val="left" w:pos="720" w:leader="none"/>
      </w:tabs>
      <w:suppressAutoHyphens w:val="true"/>
      <w:ind w:left="720" w:hanging="720"/>
    </w:pPr>
    <w:rPr>
      <w:rFonts w:eastAsia="ＭＳ 明朝"/>
      <w:color w:val="00000A"/>
      <w:sz w:val="24"/>
      <w:lang w:eastAsia="zh-CN"/>
    </w:rPr>
  </w:style>
  <w:style w:type="paragraph" w:styleId="PlainText">
    <w:name w:val="Plain Text"/>
    <w:basedOn w:val="Normal"/>
    <w:link w:val="Style8"/>
    <w:uiPriority w:val="99"/>
    <w:qFormat/>
    <w:rsid w:val="00a70e99"/>
    <w:pPr/>
    <w:rPr>
      <w:rFonts w:ascii="Courier New" w:hAnsi="Courier New" w:eastAsia="ＭＳ 明朝"/>
      <w:color w:val="auto"/>
      <w:lang w:val="x-none" w:eastAsia="x-none"/>
    </w:rPr>
  </w:style>
  <w:style w:type="paragraph" w:styleId="Subtitle">
    <w:name w:val="Subtitle"/>
    <w:basedOn w:val="Heading"/>
    <w:next w:val="TextBody"/>
    <w:qFormat/>
    <w:pPr>
      <w:spacing w:before="60" w:after="120"/>
      <w:jc w:val="center"/>
    </w:pPr>
    <w:rPr>
      <w:sz w:val="36"/>
      <w:szCs w:val="36"/>
    </w:rPr>
  </w:style>
  <w:style w:type="paragraph" w:styleId="IEEEText">
    <w:name w:val="IEEE Text"/>
    <w:basedOn w:val="TextBody"/>
    <w:qFormat/>
    <w:pPr>
      <w:spacing w:before="173" w:after="0"/>
    </w:pPr>
    <w:rPr/>
  </w:style>
  <w:style w:type="paragraph" w:styleId="IEEEheading">
    <w:name w:val="IEEE heading"/>
    <w:basedOn w:val="Heading1"/>
    <w:next w:val="IEEEText"/>
    <w:qFormat/>
    <w:pPr>
      <w:numPr>
        <w:ilvl w:val="0"/>
        <w:numId w:val="2"/>
      </w:numPr>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Application>LibreOffice/7.4.7.2$Linux_X86_64 LibreOffice_project/40$Build-2</Application>
  <AppVersion>15.0000</AppVersion>
  <Pages>3</Pages>
  <Words>788</Words>
  <Characters>3953</Characters>
  <CharactersWithSpaces>4751</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2024-09-10T09:13:49Z</dcterms:created>
  <dc:creator>Tero Kivinen</dc:creator>
  <dc:description/>
  <dc:language>en-US</dc:language>
  <cp:lastModifiedBy>Tero Kivinen</cp:lastModifiedBy>
  <dcterms:modified xsi:type="dcterms:W3CDTF">2025-01-16T13:54:51Z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