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5F06216" w:rsidR="00A13A26" w:rsidRPr="0091497B" w:rsidRDefault="00CD12A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A13A26">
              <w:rPr>
                <w:rFonts w:eastAsia="DejaVu Sans" w:cs="Arial"/>
                <w:b/>
                <w:bCs/>
                <w:kern w:val="1"/>
                <w:lang w:eastAsia="ar-SA"/>
              </w:rPr>
              <w:t xml:space="preserve"> comment resolution </w:t>
            </w:r>
            <w:r w:rsidR="007474B6">
              <w:rPr>
                <w:rFonts w:eastAsia="DejaVu Sans" w:cs="Arial"/>
                <w:b/>
                <w:bCs/>
                <w:kern w:val="1"/>
                <w:lang w:eastAsia="ar-SA"/>
              </w:rPr>
              <w:t xml:space="preserve">- </w:t>
            </w:r>
            <w:r w:rsidR="00D93AD3">
              <w:rPr>
                <w:rFonts w:eastAsia="DejaVu Sans" w:cs="Arial"/>
                <w:b/>
                <w:bCs/>
                <w:kern w:val="1"/>
                <w:lang w:eastAsia="ar-SA"/>
              </w:rPr>
              <w:t>CAD</w:t>
            </w:r>
            <w:r w:rsidR="007474B6">
              <w:rPr>
                <w:rFonts w:eastAsia="DejaVu Sans" w:cs="Arial"/>
                <w:b/>
                <w:bCs/>
                <w:kern w:val="1"/>
                <w:lang w:eastAsia="ar-SA"/>
              </w:rPr>
              <w:t xml:space="preserve"> - CIDs</w:t>
            </w:r>
            <w:r w:rsidR="003F67F6">
              <w:rPr>
                <w:rFonts w:eastAsia="DejaVu Sans" w:cs="Arial"/>
                <w:b/>
                <w:bCs/>
                <w:kern w:val="1"/>
                <w:lang w:eastAsia="ar-SA"/>
              </w:rPr>
              <w:t xml:space="preserve"> </w:t>
            </w:r>
            <w:r>
              <w:rPr>
                <w:rFonts w:eastAsia="DejaVu Sans" w:cs="Arial"/>
                <w:b/>
                <w:bCs/>
                <w:kern w:val="1"/>
                <w:lang w:eastAsia="ar-SA"/>
              </w:rPr>
              <w:t>10, 24, 26, 27, 28, 29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26F38FF" w:rsidR="00A13A26" w:rsidRPr="00885717" w:rsidRDefault="0092658A"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July</w:t>
            </w:r>
            <w:r w:rsidR="00DF0368" w:rsidRPr="007474B6">
              <w:rPr>
                <w:rFonts w:eastAsia="DejaVu Sans" w:cs="Arial"/>
                <w:color w:val="000000" w:themeColor="text1"/>
                <w:kern w:val="1"/>
                <w:lang w:eastAsia="ar-SA"/>
              </w:rPr>
              <w:t xml:space="preserve"> </w:t>
            </w:r>
            <w:r>
              <w:rPr>
                <w:rFonts w:eastAsia="DejaVu Sans" w:cs="Arial"/>
                <w:color w:val="000000" w:themeColor="text1"/>
                <w:kern w:val="1"/>
                <w:lang w:eastAsia="ar-SA"/>
              </w:rPr>
              <w:t>1</w:t>
            </w:r>
            <w:r w:rsidR="00CD12A5">
              <w:rPr>
                <w:rFonts w:eastAsia="DejaVu Sans" w:cs="Arial"/>
                <w:color w:val="000000" w:themeColor="text1"/>
                <w:kern w:val="1"/>
                <w:lang w:eastAsia="ar-SA"/>
              </w:rPr>
              <w:t>7</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2B8AE30F" w14:textId="77777777" w:rsidR="00D93AD3" w:rsidRDefault="00CA09B2" w:rsidP="00E84248">
      <w:pPr>
        <w:pStyle w:val="Heading1"/>
      </w:pPr>
      <w:r w:rsidRPr="001568A8">
        <w:br w:type="page"/>
      </w:r>
    </w:p>
    <w:p w14:paraId="5C3FCCF8" w14:textId="251425D3" w:rsidR="00E84248" w:rsidRDefault="00E84248" w:rsidP="00E84248">
      <w:pPr>
        <w:pStyle w:val="Heading1"/>
        <w:rPr>
          <w:sz w:val="28"/>
        </w:rPr>
      </w:pPr>
    </w:p>
    <w:tbl>
      <w:tblPr>
        <w:tblStyle w:val="TableGrid"/>
        <w:tblW w:w="10800" w:type="dxa"/>
        <w:tblLook w:val="04A0" w:firstRow="1" w:lastRow="0" w:firstColumn="1" w:lastColumn="0" w:noHBand="0" w:noVBand="1"/>
      </w:tblPr>
      <w:tblGrid>
        <w:gridCol w:w="972"/>
        <w:gridCol w:w="695"/>
        <w:gridCol w:w="839"/>
        <w:gridCol w:w="4147"/>
        <w:gridCol w:w="4147"/>
      </w:tblGrid>
      <w:tr w:rsidR="00A563F0" w14:paraId="2C87B233" w14:textId="77777777" w:rsidTr="00A563F0">
        <w:tc>
          <w:tcPr>
            <w:tcW w:w="0" w:type="auto"/>
            <w:noWrap/>
            <w:hideMark/>
          </w:tcPr>
          <w:p w14:paraId="0F6FB620" w14:textId="77777777" w:rsidR="00A563F0" w:rsidRDefault="00A563F0" w:rsidP="006E1AF5">
            <w:pPr>
              <w:rPr>
                <w:rFonts w:ascii="Arial" w:hAnsi="Arial" w:cs="Arial"/>
                <w:b/>
                <w:bCs/>
                <w:sz w:val="20"/>
                <w:szCs w:val="20"/>
              </w:rPr>
            </w:pPr>
            <w:r>
              <w:rPr>
                <w:rFonts w:ascii="Arial" w:hAnsi="Arial" w:cs="Arial"/>
                <w:b/>
                <w:bCs/>
                <w:sz w:val="20"/>
                <w:szCs w:val="20"/>
              </w:rPr>
              <w:t>Index #</w:t>
            </w:r>
          </w:p>
        </w:tc>
        <w:tc>
          <w:tcPr>
            <w:tcW w:w="0" w:type="auto"/>
            <w:noWrap/>
            <w:hideMark/>
          </w:tcPr>
          <w:p w14:paraId="4BAAA172" w14:textId="77777777" w:rsidR="00A563F0" w:rsidRDefault="00A563F0" w:rsidP="006E1AF5">
            <w:pPr>
              <w:rPr>
                <w:rFonts w:ascii="Arial" w:hAnsi="Arial" w:cs="Arial"/>
                <w:b/>
                <w:bCs/>
                <w:sz w:val="20"/>
                <w:szCs w:val="20"/>
              </w:rPr>
            </w:pPr>
            <w:r>
              <w:rPr>
                <w:rFonts w:ascii="Arial" w:hAnsi="Arial" w:cs="Arial"/>
                <w:b/>
                <w:bCs/>
                <w:sz w:val="20"/>
                <w:szCs w:val="20"/>
              </w:rPr>
              <w:t>Page</w:t>
            </w:r>
          </w:p>
        </w:tc>
        <w:tc>
          <w:tcPr>
            <w:tcW w:w="0" w:type="auto"/>
            <w:hideMark/>
          </w:tcPr>
          <w:p w14:paraId="6C00789D" w14:textId="77777777" w:rsidR="00A563F0" w:rsidRDefault="00A563F0" w:rsidP="006E1AF5">
            <w:pPr>
              <w:rPr>
                <w:rFonts w:ascii="Arial" w:hAnsi="Arial" w:cs="Arial"/>
                <w:b/>
                <w:bCs/>
                <w:sz w:val="20"/>
                <w:szCs w:val="20"/>
              </w:rPr>
            </w:pPr>
            <w:r>
              <w:rPr>
                <w:rFonts w:ascii="Arial" w:hAnsi="Arial" w:cs="Arial"/>
                <w:b/>
                <w:bCs/>
                <w:sz w:val="20"/>
                <w:szCs w:val="20"/>
              </w:rPr>
              <w:t>Sub-clause</w:t>
            </w:r>
          </w:p>
        </w:tc>
        <w:tc>
          <w:tcPr>
            <w:tcW w:w="4147" w:type="dxa"/>
            <w:hideMark/>
          </w:tcPr>
          <w:p w14:paraId="692015F2" w14:textId="77777777" w:rsidR="00A563F0" w:rsidRDefault="00A563F0" w:rsidP="006E1AF5">
            <w:pPr>
              <w:rPr>
                <w:rFonts w:ascii="Arial" w:hAnsi="Arial" w:cs="Arial"/>
                <w:b/>
                <w:bCs/>
                <w:sz w:val="20"/>
                <w:szCs w:val="20"/>
              </w:rPr>
            </w:pPr>
            <w:r>
              <w:rPr>
                <w:rFonts w:ascii="Arial" w:hAnsi="Arial" w:cs="Arial"/>
                <w:b/>
                <w:bCs/>
                <w:sz w:val="20"/>
                <w:szCs w:val="20"/>
              </w:rPr>
              <w:t>Comment</w:t>
            </w:r>
          </w:p>
        </w:tc>
        <w:tc>
          <w:tcPr>
            <w:tcW w:w="4147" w:type="dxa"/>
            <w:hideMark/>
          </w:tcPr>
          <w:p w14:paraId="0EF6C8F2" w14:textId="77777777" w:rsidR="00A563F0" w:rsidRDefault="00A563F0" w:rsidP="006E1AF5">
            <w:pPr>
              <w:rPr>
                <w:rFonts w:ascii="Arial" w:hAnsi="Arial" w:cs="Arial"/>
                <w:b/>
                <w:bCs/>
                <w:sz w:val="20"/>
                <w:szCs w:val="20"/>
              </w:rPr>
            </w:pPr>
            <w:r>
              <w:rPr>
                <w:rFonts w:ascii="Arial" w:hAnsi="Arial" w:cs="Arial"/>
                <w:b/>
                <w:bCs/>
                <w:sz w:val="20"/>
                <w:szCs w:val="20"/>
              </w:rPr>
              <w:t>Proposed Change</w:t>
            </w:r>
          </w:p>
        </w:tc>
      </w:tr>
      <w:tr w:rsidR="00A563F0" w14:paraId="5128898A" w14:textId="77777777" w:rsidTr="00A563F0">
        <w:trPr>
          <w:trHeight w:val="2240"/>
        </w:trPr>
        <w:tc>
          <w:tcPr>
            <w:tcW w:w="0" w:type="auto"/>
            <w:noWrap/>
            <w:hideMark/>
          </w:tcPr>
          <w:p w14:paraId="6CCC1089" w14:textId="77777777" w:rsidR="00A563F0" w:rsidRDefault="00A563F0" w:rsidP="006E1AF5">
            <w:pPr>
              <w:rPr>
                <w:rFonts w:ascii="Arial" w:hAnsi="Arial" w:cs="Arial"/>
                <w:sz w:val="20"/>
                <w:szCs w:val="20"/>
              </w:rPr>
            </w:pPr>
            <w:r>
              <w:rPr>
                <w:rFonts w:ascii="Arial" w:hAnsi="Arial" w:cs="Arial"/>
                <w:sz w:val="20"/>
                <w:szCs w:val="20"/>
              </w:rPr>
              <w:t>CAD010</w:t>
            </w:r>
          </w:p>
        </w:tc>
        <w:tc>
          <w:tcPr>
            <w:tcW w:w="0" w:type="auto"/>
            <w:noWrap/>
            <w:hideMark/>
          </w:tcPr>
          <w:p w14:paraId="6BA358F2" w14:textId="77777777" w:rsidR="00A563F0" w:rsidRDefault="00A563F0" w:rsidP="006E1AF5">
            <w:pPr>
              <w:jc w:val="right"/>
              <w:rPr>
                <w:rFonts w:ascii="Arial" w:hAnsi="Arial" w:cs="Arial"/>
                <w:sz w:val="20"/>
                <w:szCs w:val="20"/>
              </w:rPr>
            </w:pPr>
            <w:r>
              <w:rPr>
                <w:rFonts w:ascii="Arial" w:hAnsi="Arial" w:cs="Arial"/>
                <w:sz w:val="20"/>
                <w:szCs w:val="20"/>
              </w:rPr>
              <w:t>10</w:t>
            </w:r>
          </w:p>
        </w:tc>
        <w:tc>
          <w:tcPr>
            <w:tcW w:w="0" w:type="auto"/>
            <w:noWrap/>
            <w:hideMark/>
          </w:tcPr>
          <w:p w14:paraId="74981B72" w14:textId="77777777" w:rsidR="00A563F0" w:rsidRDefault="00A563F0" w:rsidP="006E1AF5">
            <w:pPr>
              <w:rPr>
                <w:rFonts w:ascii="Arial" w:hAnsi="Arial" w:cs="Arial"/>
                <w:sz w:val="20"/>
                <w:szCs w:val="20"/>
              </w:rPr>
            </w:pPr>
            <w:r>
              <w:rPr>
                <w:rFonts w:ascii="Arial" w:hAnsi="Arial" w:cs="Arial"/>
                <w:sz w:val="20"/>
                <w:szCs w:val="20"/>
              </w:rPr>
              <w:t>3.1.3</w:t>
            </w:r>
          </w:p>
        </w:tc>
        <w:tc>
          <w:tcPr>
            <w:tcW w:w="4147" w:type="dxa"/>
            <w:hideMark/>
          </w:tcPr>
          <w:p w14:paraId="0A61D509" w14:textId="77777777" w:rsidR="00A563F0" w:rsidRDefault="00A563F0" w:rsidP="006E1AF5">
            <w:pPr>
              <w:rPr>
                <w:rFonts w:ascii="Arial" w:hAnsi="Arial" w:cs="Arial"/>
                <w:sz w:val="20"/>
                <w:szCs w:val="20"/>
              </w:rPr>
            </w:pPr>
            <w:r>
              <w:rPr>
                <w:rFonts w:ascii="Arial" w:hAnsi="Arial" w:cs="Arial"/>
                <w:sz w:val="20"/>
                <w:szCs w:val="20"/>
              </w:rPr>
              <w:t>802.19 comment from Menzo Wentink on CA document: "802.15.4 ranging services that operate under regulatory and public safety requirement constraints use typical airtime duty cycles between 1.5 and 5% typically [31] [32]]."</w:t>
            </w:r>
            <w:r>
              <w:rPr>
                <w:rFonts w:ascii="Arial" w:hAnsi="Arial" w:cs="Arial"/>
                <w:sz w:val="20"/>
                <w:szCs w:val="20"/>
              </w:rPr>
              <w:br/>
            </w:r>
            <w:r>
              <w:rPr>
                <w:rFonts w:ascii="Arial" w:hAnsi="Arial" w:cs="Arial"/>
                <w:sz w:val="20"/>
                <w:szCs w:val="20"/>
              </w:rPr>
              <w:br/>
              <w:t>802.15.4ab NB may be used for one-to-many MMS ranging, to send data, or as channel access coordination signal. It seems that the duty cycle could easily be higher than 5%.</w:t>
            </w:r>
          </w:p>
        </w:tc>
        <w:tc>
          <w:tcPr>
            <w:tcW w:w="4147" w:type="dxa"/>
            <w:hideMark/>
          </w:tcPr>
          <w:p w14:paraId="66366E0B" w14:textId="77777777" w:rsidR="00A563F0" w:rsidRDefault="00A563F0" w:rsidP="006E1AF5">
            <w:pPr>
              <w:rPr>
                <w:rFonts w:ascii="Arial" w:hAnsi="Arial" w:cs="Arial"/>
                <w:sz w:val="20"/>
                <w:szCs w:val="20"/>
              </w:rPr>
            </w:pPr>
            <w:r>
              <w:rPr>
                <w:rFonts w:ascii="Arial" w:hAnsi="Arial" w:cs="Arial"/>
                <w:sz w:val="20"/>
                <w:szCs w:val="20"/>
              </w:rPr>
              <w:t>Please provide a realistic estimate for the expected NB duty cycle.</w:t>
            </w:r>
          </w:p>
        </w:tc>
      </w:tr>
    </w:tbl>
    <w:p w14:paraId="2ECB4894" w14:textId="77777777" w:rsidR="00E84248" w:rsidRPr="00A563F0" w:rsidRDefault="00E84248" w:rsidP="00E84248"/>
    <w:p w14:paraId="12CA2DA0" w14:textId="77777777" w:rsidR="00F97929" w:rsidRDefault="00A563F0" w:rsidP="00E84248">
      <w:pPr>
        <w:rPr>
          <w:lang w:val="en-GB"/>
        </w:rPr>
      </w:pPr>
      <w:r>
        <w:rPr>
          <w:lang w:val="en-GB"/>
        </w:rPr>
        <w:t xml:space="preserve">Discussion: </w:t>
      </w:r>
    </w:p>
    <w:p w14:paraId="7E8B8597" w14:textId="77777777" w:rsidR="00F97929" w:rsidRDefault="00F97929" w:rsidP="00E84248">
      <w:pPr>
        <w:rPr>
          <w:lang w:val="en-GB"/>
        </w:rPr>
      </w:pPr>
    </w:p>
    <w:p w14:paraId="6595B12F" w14:textId="2165A099" w:rsidR="00B447B8" w:rsidRDefault="00A563F0" w:rsidP="00E84248">
      <w:pPr>
        <w:rPr>
          <w:lang w:val="en-GB"/>
        </w:rPr>
      </w:pPr>
      <w:r>
        <w:rPr>
          <w:lang w:val="en-GB"/>
        </w:rPr>
        <w:t xml:space="preserve">The </w:t>
      </w:r>
      <w:r w:rsidR="00F97929">
        <w:rPr>
          <w:lang w:val="en-GB"/>
        </w:rPr>
        <w:t xml:space="preserve">comment points out that the provided typical duty cycle values of 1.5-5% may not representative of other applications but NBA-UWB MMS, such as sending data frames. </w:t>
      </w:r>
      <w:r w:rsidR="00B447B8">
        <w:rPr>
          <w:lang w:val="en-GB"/>
        </w:rPr>
        <w:t xml:space="preserve">The proposed change </w:t>
      </w:r>
      <w:r w:rsidR="00CD12A5">
        <w:rPr>
          <w:lang w:val="en-GB"/>
        </w:rPr>
        <w:t>asks</w:t>
      </w:r>
      <w:r w:rsidR="00B447B8">
        <w:rPr>
          <w:lang w:val="en-GB"/>
        </w:rPr>
        <w:t xml:space="preserve"> to provide </w:t>
      </w:r>
      <w:r w:rsidR="00CD12A5">
        <w:rPr>
          <w:lang w:val="en-GB"/>
        </w:rPr>
        <w:t xml:space="preserve">text to the CAD stating </w:t>
      </w:r>
      <w:r w:rsidR="00B447B8">
        <w:rPr>
          <w:lang w:val="en-GB"/>
        </w:rPr>
        <w:t>a realistic estimate of the expected NB duty cycle.</w:t>
      </w:r>
    </w:p>
    <w:p w14:paraId="7C37124C" w14:textId="77777777" w:rsidR="00864B2B" w:rsidRDefault="00864B2B" w:rsidP="00E84248">
      <w:pPr>
        <w:rPr>
          <w:lang w:val="en-GB"/>
        </w:rPr>
      </w:pPr>
    </w:p>
    <w:p w14:paraId="2E863EA4" w14:textId="2D16258A" w:rsidR="00864B2B" w:rsidRDefault="00864B2B" w:rsidP="00E84248">
      <w:pPr>
        <w:rPr>
          <w:lang w:val="en-GB"/>
        </w:rPr>
      </w:pPr>
      <w:r>
        <w:rPr>
          <w:lang w:val="en-GB"/>
        </w:rPr>
        <w:t>We agree with the comment that additional data transfer capabilities are introduced that are not</w:t>
      </w:r>
      <w:r w:rsidR="00024917">
        <w:rPr>
          <w:lang w:val="en-GB"/>
        </w:rPr>
        <w:t xml:space="preserve"> assessed in the CAD draft yet. The proposed resolution aims to amend the </w:t>
      </w:r>
      <w:r w:rsidR="00CD12A5">
        <w:rPr>
          <w:lang w:val="en-GB"/>
        </w:rPr>
        <w:t>CAD</w:t>
      </w:r>
      <w:r w:rsidR="00024917">
        <w:rPr>
          <w:lang w:val="en-GB"/>
        </w:rPr>
        <w:t xml:space="preserve"> in that regard.</w:t>
      </w:r>
    </w:p>
    <w:p w14:paraId="229B02E0" w14:textId="77777777" w:rsidR="00024917" w:rsidRDefault="00024917" w:rsidP="00E84248">
      <w:pPr>
        <w:rPr>
          <w:lang w:val="en-GB"/>
        </w:rPr>
      </w:pPr>
    </w:p>
    <w:p w14:paraId="76A11C11" w14:textId="735C98FB" w:rsidR="00024917" w:rsidRDefault="00024917" w:rsidP="00E84248">
      <w:pPr>
        <w:rPr>
          <w:lang w:val="en-GB"/>
        </w:rPr>
      </w:pPr>
      <w:r>
        <w:rPr>
          <w:lang w:val="en-GB"/>
        </w:rPr>
        <w:t>As for the ask for a realistic estimate of the expected NB duty cycle, we assess that the duty cycle of all bulk data transfer and the frequency of coordination packets to be sent depends on the specific application supported, which is out of scope of the 802.15.4ab standard hence cannot be assessed in the CAD. We aim to add also this information to the CAD.</w:t>
      </w:r>
    </w:p>
    <w:p w14:paraId="12E7E5AB" w14:textId="77777777" w:rsidR="00F97929" w:rsidRDefault="00F97929" w:rsidP="00E84248">
      <w:pPr>
        <w:rPr>
          <w:lang w:val="en-GB"/>
        </w:rPr>
      </w:pPr>
    </w:p>
    <w:p w14:paraId="440C7175" w14:textId="3A39DC89" w:rsidR="00A563F0" w:rsidRDefault="00A563F0" w:rsidP="00E84248">
      <w:pPr>
        <w:rPr>
          <w:lang w:val="en-GB"/>
        </w:rPr>
      </w:pPr>
      <w:r>
        <w:rPr>
          <w:lang w:val="en-GB"/>
        </w:rPr>
        <w:t xml:space="preserve">Proposed resolution: </w:t>
      </w:r>
      <w:r w:rsidR="00B447B8">
        <w:rPr>
          <w:lang w:val="en-GB"/>
        </w:rPr>
        <w:t>Revise</w:t>
      </w:r>
    </w:p>
    <w:p w14:paraId="526006CC" w14:textId="77777777" w:rsidR="00024917" w:rsidRDefault="00024917" w:rsidP="00E84248">
      <w:pPr>
        <w:rPr>
          <w:lang w:val="en-GB"/>
        </w:rPr>
      </w:pPr>
    </w:p>
    <w:p w14:paraId="78808760" w14:textId="745C2919" w:rsidR="00024917" w:rsidRDefault="00024917" w:rsidP="00E84248">
      <w:pPr>
        <w:rPr>
          <w:lang w:val="en-GB"/>
        </w:rPr>
      </w:pPr>
      <w:r>
        <w:rPr>
          <w:lang w:val="en-GB"/>
        </w:rPr>
        <w:t>Disposition detail:</w:t>
      </w:r>
    </w:p>
    <w:p w14:paraId="7CB254C8" w14:textId="77777777" w:rsidR="00B447B8" w:rsidRDefault="00B447B8" w:rsidP="00E84248">
      <w:pPr>
        <w:rPr>
          <w:lang w:val="en-GB"/>
        </w:rPr>
      </w:pPr>
    </w:p>
    <w:p w14:paraId="4C374A42" w14:textId="0C54993A" w:rsidR="00B447B8" w:rsidRPr="003C3EE5" w:rsidRDefault="00B447B8" w:rsidP="00E84248">
      <w:pPr>
        <w:rPr>
          <w:i/>
          <w:iCs/>
          <w:lang w:val="en-GB"/>
        </w:rPr>
      </w:pPr>
      <w:r w:rsidRPr="003C3EE5">
        <w:rPr>
          <w:i/>
          <w:iCs/>
          <w:lang w:val="en-GB"/>
        </w:rPr>
        <w:t xml:space="preserve">Add the following text between the first and </w:t>
      </w:r>
      <w:r w:rsidR="00B41512" w:rsidRPr="003C3EE5">
        <w:rPr>
          <w:i/>
          <w:iCs/>
          <w:lang w:val="en-GB"/>
        </w:rPr>
        <w:t xml:space="preserve">the </w:t>
      </w:r>
      <w:r w:rsidRPr="003C3EE5">
        <w:rPr>
          <w:i/>
          <w:iCs/>
          <w:lang w:val="en-GB"/>
        </w:rPr>
        <w:t xml:space="preserve">second paragraph </w:t>
      </w:r>
      <w:r w:rsidR="00CD12A5">
        <w:rPr>
          <w:i/>
          <w:iCs/>
          <w:lang w:val="en-GB"/>
        </w:rPr>
        <w:t>of</w:t>
      </w:r>
      <w:r w:rsidRPr="003C3EE5">
        <w:rPr>
          <w:i/>
          <w:iCs/>
          <w:lang w:val="en-GB"/>
        </w:rPr>
        <w:t xml:space="preserve"> sub</w:t>
      </w:r>
      <w:r w:rsidR="00CD12A5">
        <w:rPr>
          <w:i/>
          <w:iCs/>
          <w:lang w:val="en-GB"/>
        </w:rPr>
        <w:t>-</w:t>
      </w:r>
      <w:r w:rsidRPr="003C3EE5">
        <w:rPr>
          <w:i/>
          <w:iCs/>
          <w:lang w:val="en-GB"/>
        </w:rPr>
        <w:t>clause 3.1.3</w:t>
      </w:r>
      <w:r w:rsidR="003C3EE5">
        <w:rPr>
          <w:i/>
          <w:iCs/>
          <w:lang w:val="en-GB"/>
        </w:rPr>
        <w:t>:</w:t>
      </w:r>
    </w:p>
    <w:p w14:paraId="5082E4AC" w14:textId="77777777" w:rsidR="00B447B8" w:rsidRDefault="00B447B8" w:rsidP="00E84248">
      <w:pPr>
        <w:rPr>
          <w:lang w:val="en-GB"/>
        </w:rPr>
      </w:pPr>
    </w:p>
    <w:p w14:paraId="294C8647" w14:textId="2BF5E440" w:rsidR="00024917" w:rsidRDefault="00B447B8" w:rsidP="00024917">
      <w:pPr>
        <w:rPr>
          <w:lang w:val="en-GB"/>
        </w:rPr>
      </w:pPr>
      <w:r>
        <w:rPr>
          <w:lang w:val="en-GB"/>
        </w:rPr>
        <w:t>Additionally</w:t>
      </w:r>
      <w:r w:rsidR="00A13F49">
        <w:rPr>
          <w:lang w:val="en-GB"/>
        </w:rPr>
        <w:t>,</w:t>
      </w:r>
      <w:r>
        <w:rPr>
          <w:lang w:val="en-GB"/>
        </w:rPr>
        <w:t xml:space="preserve"> the 15.4ab specification introduces the NB allocation IE</w:t>
      </w:r>
      <w:r w:rsidR="00FE105C">
        <w:rPr>
          <w:lang w:val="en-GB"/>
        </w:rPr>
        <w:t xml:space="preserve"> that faciliates offloading of data frames from </w:t>
      </w:r>
      <w:r w:rsidR="00A13F49">
        <w:rPr>
          <w:lang w:val="en-GB"/>
        </w:rPr>
        <w:t>a</w:t>
      </w:r>
      <w:r w:rsidR="00FE105C">
        <w:rPr>
          <w:lang w:val="en-GB"/>
        </w:rPr>
        <w:t xml:space="preserve"> UWB </w:t>
      </w:r>
      <w:r w:rsidR="00A13F49">
        <w:rPr>
          <w:lang w:val="en-GB"/>
        </w:rPr>
        <w:t xml:space="preserve">channel </w:t>
      </w:r>
      <w:r w:rsidR="00FE105C">
        <w:rPr>
          <w:lang w:val="en-GB"/>
        </w:rPr>
        <w:t xml:space="preserve">to a NB channel for radios that support both wireless technologies in one device. The content of the data frames </w:t>
      </w:r>
      <w:r w:rsidR="00A13F49">
        <w:rPr>
          <w:lang w:val="en-GB"/>
        </w:rPr>
        <w:t>is</w:t>
      </w:r>
      <w:r w:rsidR="00FE105C">
        <w:rPr>
          <w:lang w:val="en-GB"/>
        </w:rPr>
        <w:t xml:space="preserve"> out of scope of the 15.4ab specification. While the 15.4ab NB PHY only supports PSDU lengths of up to 127 octets</w:t>
      </w:r>
      <w:r w:rsidR="00A13F49">
        <w:rPr>
          <w:lang w:val="en-GB"/>
        </w:rPr>
        <w:t>, the NB duty cycle may well exceed 5% COT depending on the application specific use of this IE as well as on the specific NB modulation and the congestion situation on the UWB channel</w:t>
      </w:r>
      <w:r w:rsidR="00024917">
        <w:rPr>
          <w:lang w:val="en-GB"/>
        </w:rPr>
        <w:t xml:space="preserve"> triggering the application of this IE</w:t>
      </w:r>
      <w:r w:rsidR="00A13F49">
        <w:rPr>
          <w:lang w:val="en-GB"/>
        </w:rPr>
        <w:t xml:space="preserve">. The following simulations and measurement results indicate </w:t>
      </w:r>
      <w:r w:rsidR="00864B2B">
        <w:rPr>
          <w:lang w:val="en-GB"/>
        </w:rPr>
        <w:t>that concurrent high duty cycle, low dwell-time NB and 802.11 WLAN radio operation may cause significant throughput and latency degradation for 802.11 WLAN devices that solely rely on LBT/CCA as the only coexistence technique</w:t>
      </w:r>
      <w:r w:rsidR="00C312FB">
        <w:rPr>
          <w:lang w:val="en-GB"/>
        </w:rPr>
        <w:t xml:space="preserve"> [a1-a6].</w:t>
      </w:r>
    </w:p>
    <w:p w14:paraId="72074CA1" w14:textId="77777777" w:rsidR="00A578A1" w:rsidRDefault="00A578A1" w:rsidP="00024917">
      <w:pPr>
        <w:rPr>
          <w:lang w:val="en-GB"/>
        </w:rPr>
      </w:pPr>
    </w:p>
    <w:p w14:paraId="2B76E349" w14:textId="40A8A67C" w:rsidR="00A578A1" w:rsidRDefault="00A578A1" w:rsidP="00024917">
      <w:pPr>
        <w:rPr>
          <w:i/>
          <w:iCs/>
          <w:lang w:val="en-GB"/>
        </w:rPr>
      </w:pPr>
      <w:r w:rsidRPr="003C3EE5">
        <w:rPr>
          <w:i/>
          <w:iCs/>
          <w:lang w:val="en-GB"/>
        </w:rPr>
        <w:t xml:space="preserve">Add the following </w:t>
      </w:r>
      <w:r>
        <w:rPr>
          <w:i/>
          <w:iCs/>
          <w:lang w:val="en-GB"/>
        </w:rPr>
        <w:t>items to the bibliography section</w:t>
      </w:r>
      <w:r w:rsidR="00C312FB">
        <w:rPr>
          <w:i/>
          <w:iCs/>
          <w:lang w:val="en-GB"/>
        </w:rPr>
        <w:t xml:space="preserve"> (with editorial renumbering as needed)</w:t>
      </w:r>
      <w:r>
        <w:rPr>
          <w:i/>
          <w:iCs/>
          <w:lang w:val="en-GB"/>
        </w:rPr>
        <w:t>:</w:t>
      </w:r>
    </w:p>
    <w:p w14:paraId="3E2301F4" w14:textId="77777777" w:rsidR="00C312FB" w:rsidRDefault="00C312FB" w:rsidP="00024917">
      <w:pPr>
        <w:rPr>
          <w:i/>
          <w:iCs/>
          <w:lang w:val="en-GB"/>
        </w:rPr>
      </w:pPr>
    </w:p>
    <w:p w14:paraId="18299043" w14:textId="26A622B7" w:rsidR="00A578A1" w:rsidRDefault="00A578A1" w:rsidP="00024917">
      <w:pPr>
        <w:rPr>
          <w:lang w:val="en-GB"/>
        </w:rPr>
      </w:pPr>
      <w:r>
        <w:rPr>
          <w:lang w:val="en-GB"/>
        </w:rPr>
        <w:t>[</w:t>
      </w:r>
      <w:r w:rsidR="00C312FB">
        <w:rPr>
          <w:lang w:val="en-GB"/>
        </w:rPr>
        <w:t>a</w:t>
      </w:r>
      <w:r>
        <w:rPr>
          <w:lang w:val="en-GB"/>
        </w:rPr>
        <w:t xml:space="preserve">1] </w:t>
      </w:r>
      <w:r w:rsidRPr="00A578A1">
        <w:t>Coexistence of Narrowband Frequency Hopping (NB FH) systems and Wi-Fi</w:t>
      </w:r>
      <w:r>
        <w:t xml:space="preserve">, </w:t>
      </w:r>
      <w:r w:rsidRPr="00A578A1">
        <w:t>Jeff Bailey (Carleton University)</w:t>
      </w:r>
      <w:r>
        <w:t xml:space="preserve">, </w:t>
      </w:r>
      <w:r>
        <w:rPr>
          <w:lang w:val="en-GB"/>
        </w:rPr>
        <w:t>11-22/1578r1</w:t>
      </w:r>
    </w:p>
    <w:p w14:paraId="04F41D1F" w14:textId="4E8E9B4C" w:rsidR="00A578A1" w:rsidRDefault="00A578A1" w:rsidP="00024917">
      <w:pPr>
        <w:rPr>
          <w:lang w:val="en-GB"/>
        </w:rPr>
      </w:pPr>
      <w:r>
        <w:rPr>
          <w:lang w:val="en-GB"/>
        </w:rPr>
        <w:t>[</w:t>
      </w:r>
      <w:r w:rsidR="00C312FB">
        <w:rPr>
          <w:lang w:val="en-GB"/>
        </w:rPr>
        <w:t>a</w:t>
      </w:r>
      <w:r>
        <w:rPr>
          <w:lang w:val="en-GB"/>
        </w:rPr>
        <w:t xml:space="preserve">2] </w:t>
      </w:r>
      <w:r w:rsidR="00967BA4">
        <w:rPr>
          <w:lang w:val="en-GB"/>
        </w:rPr>
        <w:t>Effect of no-LBT on 802.11 devices, Carlos Aldana (Meta), 11-23/1259r1</w:t>
      </w:r>
    </w:p>
    <w:p w14:paraId="4FA54B35" w14:textId="4FE8A420" w:rsidR="00967BA4" w:rsidRDefault="00967BA4" w:rsidP="00024917">
      <w:pPr>
        <w:rPr>
          <w:lang w:val="en-GB"/>
        </w:rPr>
      </w:pPr>
      <w:r>
        <w:rPr>
          <w:lang w:val="en-GB"/>
        </w:rPr>
        <w:lastRenderedPageBreak/>
        <w:t>[</w:t>
      </w:r>
      <w:r w:rsidR="00C312FB">
        <w:rPr>
          <w:lang w:val="en-GB"/>
        </w:rPr>
        <w:t>a</w:t>
      </w:r>
      <w:r>
        <w:rPr>
          <w:lang w:val="en-GB"/>
        </w:rPr>
        <w:t xml:space="preserve">3] </w:t>
      </w:r>
      <w:r w:rsidRPr="00967BA4">
        <w:t>Bluetooth Wi-Fi Coexistence: Channel Access Simulation Study</w:t>
      </w:r>
      <w:r>
        <w:t xml:space="preserve">, </w:t>
      </w:r>
      <w:r>
        <w:rPr>
          <w:lang w:val="en-GB"/>
        </w:rPr>
        <w:t>Ratnesh Kumbhkar (Intel), 11-23/1503r0</w:t>
      </w:r>
    </w:p>
    <w:p w14:paraId="350D827A" w14:textId="2AED4095" w:rsidR="00967BA4" w:rsidRDefault="00967BA4" w:rsidP="00024917">
      <w:pPr>
        <w:rPr>
          <w:lang w:val="en-GB"/>
        </w:rPr>
      </w:pPr>
      <w:r>
        <w:rPr>
          <w:lang w:val="en-GB"/>
        </w:rPr>
        <w:t>[</w:t>
      </w:r>
      <w:r w:rsidR="00C312FB">
        <w:rPr>
          <w:lang w:val="en-GB"/>
        </w:rPr>
        <w:t>a</w:t>
      </w:r>
      <w:r>
        <w:rPr>
          <w:lang w:val="en-GB"/>
        </w:rPr>
        <w:t xml:space="preserve">4] </w:t>
      </w:r>
      <w:r w:rsidRPr="00967BA4">
        <w:t>IEEE 802.11 and Bluetooth Coexistence Simulations</w:t>
      </w:r>
      <w:r>
        <w:t xml:space="preserve">, </w:t>
      </w:r>
      <w:r>
        <w:rPr>
          <w:lang w:val="en-GB"/>
        </w:rPr>
        <w:t>Sebastian Max (Ericsson), 11-23/1477r1</w:t>
      </w:r>
    </w:p>
    <w:p w14:paraId="3AFAE698" w14:textId="600EB100" w:rsidR="00967BA4" w:rsidRDefault="00967BA4" w:rsidP="00024917">
      <w:pPr>
        <w:rPr>
          <w:lang w:val="en-GB"/>
        </w:rPr>
      </w:pPr>
      <w:r>
        <w:rPr>
          <w:lang w:val="en-GB"/>
        </w:rPr>
        <w:t>[</w:t>
      </w:r>
      <w:r w:rsidR="00C312FB">
        <w:rPr>
          <w:lang w:val="en-GB"/>
        </w:rPr>
        <w:t>a</w:t>
      </w:r>
      <w:r>
        <w:rPr>
          <w:lang w:val="en-GB"/>
        </w:rPr>
        <w:t>5] NBFH coexistence with Wi-Fi, Menzo Wentink (Qualcomm), 11-23/1622r0</w:t>
      </w:r>
    </w:p>
    <w:p w14:paraId="6F0B446A" w14:textId="2735C888" w:rsidR="00C312FB" w:rsidRPr="00A578A1" w:rsidRDefault="00C312FB" w:rsidP="00024917">
      <w:pPr>
        <w:rPr>
          <w:i/>
          <w:iCs/>
          <w:lang w:val="en-GB"/>
        </w:rPr>
      </w:pPr>
      <w:r>
        <w:rPr>
          <w:lang w:val="en-GB"/>
        </w:rPr>
        <w:t>[a6] Co-Existence of Wi-Fi with Narrowband Technology, Stone Liu (Carleton University), 11-24/1059r2</w:t>
      </w:r>
    </w:p>
    <w:p w14:paraId="01BF2F50" w14:textId="77777777" w:rsidR="00024917" w:rsidRDefault="00024917">
      <w:pPr>
        <w:rPr>
          <w:lang w:val="en-GB"/>
        </w:rPr>
      </w:pPr>
      <w:r>
        <w:rPr>
          <w:lang w:val="en-GB"/>
        </w:rPr>
        <w:br w:type="page"/>
      </w:r>
    </w:p>
    <w:tbl>
      <w:tblPr>
        <w:tblStyle w:val="TableGrid"/>
        <w:tblW w:w="10800" w:type="dxa"/>
        <w:tblLook w:val="04A0" w:firstRow="1" w:lastRow="0" w:firstColumn="1" w:lastColumn="0" w:noHBand="0" w:noVBand="1"/>
      </w:tblPr>
      <w:tblGrid>
        <w:gridCol w:w="972"/>
        <w:gridCol w:w="695"/>
        <w:gridCol w:w="839"/>
        <w:gridCol w:w="4147"/>
        <w:gridCol w:w="4147"/>
      </w:tblGrid>
      <w:tr w:rsidR="00024917" w14:paraId="3A8EA870" w14:textId="77777777" w:rsidTr="00024917">
        <w:tc>
          <w:tcPr>
            <w:tcW w:w="0" w:type="auto"/>
            <w:noWrap/>
            <w:hideMark/>
          </w:tcPr>
          <w:p w14:paraId="1E86B262" w14:textId="77777777" w:rsidR="00024917" w:rsidRDefault="00024917" w:rsidP="006E1AF5">
            <w:pPr>
              <w:rPr>
                <w:rFonts w:ascii="Arial" w:hAnsi="Arial" w:cs="Arial"/>
                <w:b/>
                <w:bCs/>
                <w:sz w:val="20"/>
                <w:szCs w:val="20"/>
              </w:rPr>
            </w:pPr>
            <w:r>
              <w:rPr>
                <w:rFonts w:ascii="Arial" w:hAnsi="Arial" w:cs="Arial"/>
                <w:b/>
                <w:bCs/>
                <w:sz w:val="20"/>
                <w:szCs w:val="20"/>
              </w:rPr>
              <w:lastRenderedPageBreak/>
              <w:t>Index #</w:t>
            </w:r>
          </w:p>
        </w:tc>
        <w:tc>
          <w:tcPr>
            <w:tcW w:w="0" w:type="auto"/>
            <w:noWrap/>
            <w:hideMark/>
          </w:tcPr>
          <w:p w14:paraId="3076146D" w14:textId="77777777" w:rsidR="00024917" w:rsidRDefault="00024917" w:rsidP="006E1AF5">
            <w:pPr>
              <w:rPr>
                <w:rFonts w:ascii="Arial" w:hAnsi="Arial" w:cs="Arial"/>
                <w:b/>
                <w:bCs/>
                <w:sz w:val="20"/>
                <w:szCs w:val="20"/>
              </w:rPr>
            </w:pPr>
            <w:r>
              <w:rPr>
                <w:rFonts w:ascii="Arial" w:hAnsi="Arial" w:cs="Arial"/>
                <w:b/>
                <w:bCs/>
                <w:sz w:val="20"/>
                <w:szCs w:val="20"/>
              </w:rPr>
              <w:t>Page</w:t>
            </w:r>
          </w:p>
        </w:tc>
        <w:tc>
          <w:tcPr>
            <w:tcW w:w="0" w:type="auto"/>
            <w:hideMark/>
          </w:tcPr>
          <w:p w14:paraId="3CFA5444" w14:textId="77777777" w:rsidR="00024917" w:rsidRDefault="00024917" w:rsidP="006E1AF5">
            <w:pPr>
              <w:rPr>
                <w:rFonts w:ascii="Arial" w:hAnsi="Arial" w:cs="Arial"/>
                <w:b/>
                <w:bCs/>
                <w:sz w:val="20"/>
                <w:szCs w:val="20"/>
              </w:rPr>
            </w:pPr>
            <w:r>
              <w:rPr>
                <w:rFonts w:ascii="Arial" w:hAnsi="Arial" w:cs="Arial"/>
                <w:b/>
                <w:bCs/>
                <w:sz w:val="20"/>
                <w:szCs w:val="20"/>
              </w:rPr>
              <w:t>Sub-clause</w:t>
            </w:r>
          </w:p>
        </w:tc>
        <w:tc>
          <w:tcPr>
            <w:tcW w:w="4147" w:type="dxa"/>
            <w:hideMark/>
          </w:tcPr>
          <w:p w14:paraId="6A7F9728" w14:textId="77777777" w:rsidR="00024917" w:rsidRDefault="00024917" w:rsidP="006E1AF5">
            <w:pPr>
              <w:rPr>
                <w:rFonts w:ascii="Arial" w:hAnsi="Arial" w:cs="Arial"/>
                <w:b/>
                <w:bCs/>
                <w:sz w:val="20"/>
                <w:szCs w:val="20"/>
              </w:rPr>
            </w:pPr>
            <w:r>
              <w:rPr>
                <w:rFonts w:ascii="Arial" w:hAnsi="Arial" w:cs="Arial"/>
                <w:b/>
                <w:bCs/>
                <w:sz w:val="20"/>
                <w:szCs w:val="20"/>
              </w:rPr>
              <w:t>Comment</w:t>
            </w:r>
          </w:p>
        </w:tc>
        <w:tc>
          <w:tcPr>
            <w:tcW w:w="4147" w:type="dxa"/>
            <w:hideMark/>
          </w:tcPr>
          <w:p w14:paraId="3BD6CD4C" w14:textId="77777777" w:rsidR="00024917" w:rsidRDefault="00024917" w:rsidP="006E1AF5">
            <w:pPr>
              <w:rPr>
                <w:rFonts w:ascii="Arial" w:hAnsi="Arial" w:cs="Arial"/>
                <w:b/>
                <w:bCs/>
                <w:sz w:val="20"/>
                <w:szCs w:val="20"/>
              </w:rPr>
            </w:pPr>
            <w:r>
              <w:rPr>
                <w:rFonts w:ascii="Arial" w:hAnsi="Arial" w:cs="Arial"/>
                <w:b/>
                <w:bCs/>
                <w:sz w:val="20"/>
                <w:szCs w:val="20"/>
              </w:rPr>
              <w:t>Proposed Change</w:t>
            </w:r>
          </w:p>
        </w:tc>
      </w:tr>
      <w:tr w:rsidR="00024917" w14:paraId="378DBA79" w14:textId="77777777" w:rsidTr="00024917">
        <w:trPr>
          <w:trHeight w:val="3920"/>
        </w:trPr>
        <w:tc>
          <w:tcPr>
            <w:tcW w:w="0" w:type="auto"/>
            <w:noWrap/>
            <w:hideMark/>
          </w:tcPr>
          <w:p w14:paraId="054BA16D" w14:textId="77777777" w:rsidR="00024917" w:rsidRDefault="00024917" w:rsidP="006E1AF5">
            <w:pPr>
              <w:rPr>
                <w:rFonts w:ascii="Arial" w:hAnsi="Arial" w:cs="Arial"/>
                <w:sz w:val="20"/>
                <w:szCs w:val="20"/>
              </w:rPr>
            </w:pPr>
            <w:r>
              <w:rPr>
                <w:rFonts w:ascii="Arial" w:hAnsi="Arial" w:cs="Arial"/>
                <w:sz w:val="20"/>
                <w:szCs w:val="20"/>
              </w:rPr>
              <w:t>CAD024</w:t>
            </w:r>
          </w:p>
        </w:tc>
        <w:tc>
          <w:tcPr>
            <w:tcW w:w="0" w:type="auto"/>
            <w:noWrap/>
            <w:hideMark/>
          </w:tcPr>
          <w:p w14:paraId="417C85EC" w14:textId="77777777" w:rsidR="00024917" w:rsidRDefault="00024917" w:rsidP="006E1AF5">
            <w:pPr>
              <w:jc w:val="right"/>
              <w:rPr>
                <w:rFonts w:ascii="Arial" w:hAnsi="Arial" w:cs="Arial"/>
                <w:sz w:val="20"/>
                <w:szCs w:val="20"/>
              </w:rPr>
            </w:pPr>
            <w:r>
              <w:rPr>
                <w:rFonts w:ascii="Arial" w:hAnsi="Arial" w:cs="Arial"/>
                <w:sz w:val="20"/>
                <w:szCs w:val="20"/>
              </w:rPr>
              <w:t>10</w:t>
            </w:r>
          </w:p>
        </w:tc>
        <w:tc>
          <w:tcPr>
            <w:tcW w:w="0" w:type="auto"/>
            <w:noWrap/>
            <w:hideMark/>
          </w:tcPr>
          <w:p w14:paraId="612A98D5" w14:textId="77777777" w:rsidR="00024917" w:rsidRDefault="00024917" w:rsidP="006E1AF5">
            <w:pPr>
              <w:rPr>
                <w:rFonts w:ascii="Arial" w:hAnsi="Arial" w:cs="Arial"/>
                <w:sz w:val="20"/>
                <w:szCs w:val="20"/>
              </w:rPr>
            </w:pPr>
            <w:r>
              <w:rPr>
                <w:rFonts w:ascii="Arial" w:hAnsi="Arial" w:cs="Arial"/>
                <w:sz w:val="20"/>
                <w:szCs w:val="20"/>
              </w:rPr>
              <w:t>3.1.3</w:t>
            </w:r>
          </w:p>
        </w:tc>
        <w:tc>
          <w:tcPr>
            <w:tcW w:w="4147" w:type="dxa"/>
            <w:hideMark/>
          </w:tcPr>
          <w:p w14:paraId="3A360503" w14:textId="77777777" w:rsidR="00024917" w:rsidRDefault="00024917" w:rsidP="006E1AF5">
            <w:pPr>
              <w:rPr>
                <w:rFonts w:ascii="Arial" w:hAnsi="Arial" w:cs="Arial"/>
                <w:sz w:val="20"/>
                <w:szCs w:val="20"/>
              </w:rPr>
            </w:pPr>
            <w:r>
              <w:rPr>
                <w:rFonts w:ascii="Arial" w:hAnsi="Arial" w:cs="Arial"/>
                <w:sz w:val="20"/>
                <w:szCs w:val="20"/>
              </w:rPr>
              <w:t>802.19 comment from Eugene Baik on CA document: A device having a low average duty cycle alone may not ensure coexistence with other technologies and even other 802.15.ab devices.</w:t>
            </w:r>
            <w:r>
              <w:rPr>
                <w:rFonts w:ascii="Arial" w:hAnsi="Arial" w:cs="Arial"/>
                <w:sz w:val="20"/>
                <w:szCs w:val="20"/>
              </w:rPr>
              <w:br/>
            </w:r>
            <w:r>
              <w:rPr>
                <w:rFonts w:ascii="Arial" w:hAnsi="Arial" w:cs="Arial"/>
                <w:sz w:val="20"/>
                <w:szCs w:val="20"/>
              </w:rPr>
              <w:br/>
              <w:t>An average duty cycle limitation of 1.5-5% would be for just one device, while the aggregate coexistence impact of multiple devices in the vicinity is dependent on the number of devices, which could be quite large.</w:t>
            </w:r>
            <w:r>
              <w:rPr>
                <w:rFonts w:ascii="Arial" w:hAnsi="Arial" w:cs="Arial"/>
                <w:sz w:val="20"/>
                <w:szCs w:val="20"/>
              </w:rPr>
              <w:br/>
            </w:r>
            <w:r>
              <w:rPr>
                <w:rFonts w:ascii="Arial" w:hAnsi="Arial" w:cs="Arial"/>
                <w:sz w:val="20"/>
                <w:szCs w:val="20"/>
              </w:rPr>
              <w:br/>
              <w:t>Additionally, a specifc % value and the time scale of the averaging are parameters that needs to be defined. Short term spikes in DC could disproportionately affect network behavior in the absence of other coexistence mechanisms.</w:t>
            </w:r>
          </w:p>
        </w:tc>
        <w:tc>
          <w:tcPr>
            <w:tcW w:w="4147" w:type="dxa"/>
            <w:hideMark/>
          </w:tcPr>
          <w:p w14:paraId="456B1191" w14:textId="77777777" w:rsidR="00024917" w:rsidRDefault="00024917" w:rsidP="006E1AF5">
            <w:pPr>
              <w:rPr>
                <w:rFonts w:ascii="Arial" w:hAnsi="Arial" w:cs="Arial"/>
                <w:sz w:val="20"/>
                <w:szCs w:val="20"/>
              </w:rPr>
            </w:pPr>
            <w:r>
              <w:rPr>
                <w:rFonts w:ascii="Arial" w:hAnsi="Arial" w:cs="Arial"/>
                <w:sz w:val="20"/>
                <w:szCs w:val="20"/>
              </w:rPr>
              <w:t>Consider requiring Energy Detection based LBT for CCA when 802.15.4ab devices want to transmit on the medium when sharing with 802.11, as that would scale with increased number of devices in the network.</w:t>
            </w:r>
          </w:p>
        </w:tc>
      </w:tr>
    </w:tbl>
    <w:p w14:paraId="4B243649" w14:textId="77777777" w:rsidR="00E84248" w:rsidRDefault="00E84248" w:rsidP="00024917"/>
    <w:p w14:paraId="45E3DDFB" w14:textId="77777777" w:rsidR="00024917" w:rsidRDefault="00024917" w:rsidP="00024917">
      <w:pPr>
        <w:rPr>
          <w:lang w:val="en-GB"/>
        </w:rPr>
      </w:pPr>
      <w:r>
        <w:rPr>
          <w:lang w:val="en-GB"/>
        </w:rPr>
        <w:t xml:space="preserve">Discussion: </w:t>
      </w:r>
    </w:p>
    <w:p w14:paraId="51C7C0B2" w14:textId="77777777" w:rsidR="00024917" w:rsidRDefault="00024917" w:rsidP="00024917">
      <w:pPr>
        <w:rPr>
          <w:lang w:val="en-GB"/>
        </w:rPr>
      </w:pPr>
    </w:p>
    <w:p w14:paraId="29061141" w14:textId="5DC8AFD7" w:rsidR="007C40E2" w:rsidRDefault="00024917" w:rsidP="00024917">
      <w:pPr>
        <w:rPr>
          <w:lang w:val="en-GB"/>
        </w:rPr>
      </w:pPr>
      <w:r>
        <w:rPr>
          <w:lang w:val="en-GB"/>
        </w:rPr>
        <w:t>The comment points out that the term "average duty cycle" is not sufficiently meaningful without mentioning the averag</w:t>
      </w:r>
      <w:r w:rsidR="007C40E2">
        <w:rPr>
          <w:lang w:val="en-GB"/>
        </w:rPr>
        <w:t xml:space="preserve">ing time period, suggesting that short term spikes in duty cycle may have an adverse effect on coexistence, and that the COT of multiple independently operating 802.15.4ab radios will be higher than for a single operating device. </w:t>
      </w:r>
    </w:p>
    <w:p w14:paraId="68D6E646" w14:textId="77777777" w:rsidR="00B41512" w:rsidRDefault="00B41512" w:rsidP="00B41512">
      <w:pPr>
        <w:rPr>
          <w:lang w:val="en-GB"/>
        </w:rPr>
      </w:pPr>
    </w:p>
    <w:p w14:paraId="24EB7556" w14:textId="09451ECD" w:rsidR="00B41512" w:rsidRDefault="00B41512" w:rsidP="00B41512">
      <w:pPr>
        <w:rPr>
          <w:lang w:val="en-GB"/>
        </w:rPr>
      </w:pPr>
      <w:r>
        <w:rPr>
          <w:lang w:val="en-GB"/>
        </w:rPr>
        <w:t>The proposed resolution is unrelated to the CAD text, suggesting a technical change in the 15.4ab specification instead. The proposed technical change for 15.4ab has been discussed extensively in the task group without finding consensus leading to make the proposed change. Comments with similar proposed resolutions have been submitted against 802.15.4abD01 text and will be discussed in the TG.</w:t>
      </w:r>
    </w:p>
    <w:p w14:paraId="71FACF5A" w14:textId="77777777" w:rsidR="007C40E2" w:rsidRDefault="007C40E2" w:rsidP="00024917">
      <w:pPr>
        <w:rPr>
          <w:lang w:val="en-GB"/>
        </w:rPr>
      </w:pPr>
    </w:p>
    <w:p w14:paraId="78AE8210" w14:textId="5D3B7655" w:rsidR="007C40E2" w:rsidRDefault="007C40E2" w:rsidP="00024917">
      <w:pPr>
        <w:rPr>
          <w:lang w:val="en-GB"/>
        </w:rPr>
      </w:pPr>
      <w:r>
        <w:rPr>
          <w:lang w:val="en-GB"/>
        </w:rPr>
        <w:t>Proposed resolution: Reject</w:t>
      </w:r>
    </w:p>
    <w:p w14:paraId="3E09AC61" w14:textId="77777777" w:rsidR="00024917" w:rsidRDefault="00024917" w:rsidP="00024917">
      <w:pPr>
        <w:rPr>
          <w:lang w:val="en-GB"/>
        </w:rPr>
      </w:pPr>
    </w:p>
    <w:p w14:paraId="0778EDFD" w14:textId="59DCB572" w:rsidR="00AF1CBD" w:rsidRDefault="00024917" w:rsidP="007C40E2">
      <w:pPr>
        <w:rPr>
          <w:lang w:val="en-GB"/>
        </w:rPr>
      </w:pPr>
      <w:r>
        <w:rPr>
          <w:lang w:val="en-GB"/>
        </w:rPr>
        <w:t>Disposition detail:</w:t>
      </w:r>
      <w:r w:rsidR="007C40E2">
        <w:rPr>
          <w:lang w:val="en-GB"/>
        </w:rPr>
        <w:t xml:space="preserve"> </w:t>
      </w:r>
      <w:r w:rsidR="00B41512">
        <w:rPr>
          <w:lang w:val="en-GB"/>
        </w:rPr>
        <w:t>No actionable items wrt CAD text</w:t>
      </w:r>
    </w:p>
    <w:p w14:paraId="24913A08" w14:textId="77777777" w:rsidR="001C0AC1" w:rsidRDefault="001C0AC1">
      <w:pPr>
        <w:rPr>
          <w:lang w:val="en-GB"/>
        </w:rPr>
      </w:pPr>
      <w:r>
        <w:rPr>
          <w:lang w:val="en-GB"/>
        </w:rPr>
        <w:br w:type="page"/>
      </w:r>
    </w:p>
    <w:tbl>
      <w:tblPr>
        <w:tblStyle w:val="TableGrid"/>
        <w:tblW w:w="10800" w:type="dxa"/>
        <w:tblLook w:val="04A0" w:firstRow="1" w:lastRow="0" w:firstColumn="1" w:lastColumn="0" w:noHBand="0" w:noVBand="1"/>
      </w:tblPr>
      <w:tblGrid>
        <w:gridCol w:w="972"/>
        <w:gridCol w:w="695"/>
        <w:gridCol w:w="839"/>
        <w:gridCol w:w="4147"/>
        <w:gridCol w:w="4147"/>
      </w:tblGrid>
      <w:tr w:rsidR="001C0AC1" w14:paraId="5AD012D0" w14:textId="77777777" w:rsidTr="001C0AC1">
        <w:tc>
          <w:tcPr>
            <w:tcW w:w="0" w:type="auto"/>
            <w:noWrap/>
            <w:hideMark/>
          </w:tcPr>
          <w:p w14:paraId="726C0651" w14:textId="77777777" w:rsidR="001C0AC1" w:rsidRDefault="001C0AC1" w:rsidP="006E1AF5">
            <w:pPr>
              <w:rPr>
                <w:rFonts w:ascii="Arial" w:hAnsi="Arial" w:cs="Arial"/>
                <w:b/>
                <w:bCs/>
                <w:sz w:val="20"/>
                <w:szCs w:val="20"/>
              </w:rPr>
            </w:pPr>
            <w:r>
              <w:rPr>
                <w:rFonts w:ascii="Arial" w:hAnsi="Arial" w:cs="Arial"/>
                <w:b/>
                <w:bCs/>
                <w:sz w:val="20"/>
                <w:szCs w:val="20"/>
              </w:rPr>
              <w:lastRenderedPageBreak/>
              <w:t>Index #</w:t>
            </w:r>
          </w:p>
        </w:tc>
        <w:tc>
          <w:tcPr>
            <w:tcW w:w="0" w:type="auto"/>
            <w:noWrap/>
            <w:hideMark/>
          </w:tcPr>
          <w:p w14:paraId="353B5839" w14:textId="77777777" w:rsidR="001C0AC1" w:rsidRDefault="001C0AC1" w:rsidP="006E1AF5">
            <w:pPr>
              <w:rPr>
                <w:rFonts w:ascii="Arial" w:hAnsi="Arial" w:cs="Arial"/>
                <w:b/>
                <w:bCs/>
                <w:sz w:val="20"/>
                <w:szCs w:val="20"/>
              </w:rPr>
            </w:pPr>
            <w:r>
              <w:rPr>
                <w:rFonts w:ascii="Arial" w:hAnsi="Arial" w:cs="Arial"/>
                <w:b/>
                <w:bCs/>
                <w:sz w:val="20"/>
                <w:szCs w:val="20"/>
              </w:rPr>
              <w:t>Page</w:t>
            </w:r>
          </w:p>
        </w:tc>
        <w:tc>
          <w:tcPr>
            <w:tcW w:w="0" w:type="auto"/>
            <w:hideMark/>
          </w:tcPr>
          <w:p w14:paraId="40B453DB" w14:textId="77777777" w:rsidR="001C0AC1" w:rsidRDefault="001C0AC1" w:rsidP="006E1AF5">
            <w:pPr>
              <w:rPr>
                <w:rFonts w:ascii="Arial" w:hAnsi="Arial" w:cs="Arial"/>
                <w:b/>
                <w:bCs/>
                <w:sz w:val="20"/>
                <w:szCs w:val="20"/>
              </w:rPr>
            </w:pPr>
            <w:r>
              <w:rPr>
                <w:rFonts w:ascii="Arial" w:hAnsi="Arial" w:cs="Arial"/>
                <w:b/>
                <w:bCs/>
                <w:sz w:val="20"/>
                <w:szCs w:val="20"/>
              </w:rPr>
              <w:t>Sub-clause</w:t>
            </w:r>
          </w:p>
        </w:tc>
        <w:tc>
          <w:tcPr>
            <w:tcW w:w="4147" w:type="dxa"/>
            <w:hideMark/>
          </w:tcPr>
          <w:p w14:paraId="6101C788" w14:textId="77777777" w:rsidR="001C0AC1" w:rsidRDefault="001C0AC1" w:rsidP="006E1AF5">
            <w:pPr>
              <w:rPr>
                <w:rFonts w:ascii="Arial" w:hAnsi="Arial" w:cs="Arial"/>
                <w:b/>
                <w:bCs/>
                <w:sz w:val="20"/>
                <w:szCs w:val="20"/>
              </w:rPr>
            </w:pPr>
            <w:r>
              <w:rPr>
                <w:rFonts w:ascii="Arial" w:hAnsi="Arial" w:cs="Arial"/>
                <w:b/>
                <w:bCs/>
                <w:sz w:val="20"/>
                <w:szCs w:val="20"/>
              </w:rPr>
              <w:t>Comment</w:t>
            </w:r>
          </w:p>
        </w:tc>
        <w:tc>
          <w:tcPr>
            <w:tcW w:w="4147" w:type="dxa"/>
            <w:hideMark/>
          </w:tcPr>
          <w:p w14:paraId="1C50977B" w14:textId="77777777" w:rsidR="001C0AC1" w:rsidRDefault="001C0AC1" w:rsidP="006E1AF5">
            <w:pPr>
              <w:rPr>
                <w:rFonts w:ascii="Arial" w:hAnsi="Arial" w:cs="Arial"/>
                <w:b/>
                <w:bCs/>
                <w:sz w:val="20"/>
                <w:szCs w:val="20"/>
              </w:rPr>
            </w:pPr>
            <w:r>
              <w:rPr>
                <w:rFonts w:ascii="Arial" w:hAnsi="Arial" w:cs="Arial"/>
                <w:b/>
                <w:bCs/>
                <w:sz w:val="20"/>
                <w:szCs w:val="20"/>
              </w:rPr>
              <w:t>Proposed Change</w:t>
            </w:r>
          </w:p>
        </w:tc>
      </w:tr>
      <w:tr w:rsidR="00B41512" w14:paraId="1C0228B5" w14:textId="77777777" w:rsidTr="006E1AF5">
        <w:trPr>
          <w:trHeight w:val="3920"/>
        </w:trPr>
        <w:tc>
          <w:tcPr>
            <w:tcW w:w="0" w:type="auto"/>
            <w:noWrap/>
            <w:hideMark/>
          </w:tcPr>
          <w:p w14:paraId="7B5E1F08" w14:textId="77777777" w:rsidR="00B41512" w:rsidRDefault="00B41512" w:rsidP="006E1AF5">
            <w:pPr>
              <w:rPr>
                <w:rFonts w:ascii="Arial" w:hAnsi="Arial" w:cs="Arial"/>
                <w:sz w:val="20"/>
                <w:szCs w:val="20"/>
              </w:rPr>
            </w:pPr>
            <w:r>
              <w:rPr>
                <w:rFonts w:ascii="Arial" w:hAnsi="Arial" w:cs="Arial"/>
                <w:sz w:val="20"/>
                <w:szCs w:val="20"/>
              </w:rPr>
              <w:t>CAD026</w:t>
            </w:r>
          </w:p>
        </w:tc>
        <w:tc>
          <w:tcPr>
            <w:tcW w:w="0" w:type="auto"/>
            <w:noWrap/>
            <w:hideMark/>
          </w:tcPr>
          <w:p w14:paraId="64D960FA" w14:textId="77777777" w:rsidR="00B41512" w:rsidRDefault="00B41512" w:rsidP="006E1AF5">
            <w:pPr>
              <w:jc w:val="right"/>
              <w:rPr>
                <w:rFonts w:ascii="Arial" w:hAnsi="Arial" w:cs="Arial"/>
                <w:sz w:val="20"/>
                <w:szCs w:val="20"/>
              </w:rPr>
            </w:pPr>
            <w:r>
              <w:rPr>
                <w:rFonts w:ascii="Arial" w:hAnsi="Arial" w:cs="Arial"/>
                <w:sz w:val="20"/>
                <w:szCs w:val="20"/>
              </w:rPr>
              <w:t>10</w:t>
            </w:r>
          </w:p>
        </w:tc>
        <w:tc>
          <w:tcPr>
            <w:tcW w:w="0" w:type="auto"/>
            <w:noWrap/>
            <w:hideMark/>
          </w:tcPr>
          <w:p w14:paraId="026A4665" w14:textId="77777777" w:rsidR="00B41512" w:rsidRDefault="00B41512" w:rsidP="006E1AF5">
            <w:pPr>
              <w:rPr>
                <w:rFonts w:ascii="Arial" w:hAnsi="Arial" w:cs="Arial"/>
                <w:sz w:val="20"/>
                <w:szCs w:val="20"/>
              </w:rPr>
            </w:pPr>
            <w:r>
              <w:rPr>
                <w:rFonts w:ascii="Arial" w:hAnsi="Arial" w:cs="Arial"/>
                <w:sz w:val="20"/>
                <w:szCs w:val="20"/>
              </w:rPr>
              <w:t>3.1.3</w:t>
            </w:r>
          </w:p>
        </w:tc>
        <w:tc>
          <w:tcPr>
            <w:tcW w:w="4147" w:type="dxa"/>
            <w:hideMark/>
          </w:tcPr>
          <w:p w14:paraId="421B2F90" w14:textId="77777777" w:rsidR="00B41512" w:rsidRDefault="00B41512" w:rsidP="006E1AF5">
            <w:pPr>
              <w:rPr>
                <w:rFonts w:ascii="Arial" w:hAnsi="Arial" w:cs="Arial"/>
                <w:sz w:val="20"/>
                <w:szCs w:val="20"/>
              </w:rPr>
            </w:pPr>
            <w:r>
              <w:rPr>
                <w:rFonts w:ascii="Arial" w:hAnsi="Arial" w:cs="Arial"/>
                <w:sz w:val="20"/>
                <w:szCs w:val="20"/>
              </w:rPr>
              <w:t>802.19 comment from Pooria Pakrooh on CA document: Many of arguments in this document in subclauses 3.1.1 and 3.1.2.2 are building on the fact that UWB power is potentially much lower than 802.11 devices.</w:t>
            </w:r>
            <w:r>
              <w:rPr>
                <w:rFonts w:ascii="Arial" w:hAnsi="Arial" w:cs="Arial"/>
                <w:sz w:val="20"/>
                <w:szCs w:val="20"/>
              </w:rPr>
              <w:br/>
            </w:r>
            <w:r>
              <w:rPr>
                <w:rFonts w:ascii="Arial" w:hAnsi="Arial" w:cs="Arial"/>
                <w:sz w:val="20"/>
                <w:szCs w:val="20"/>
              </w:rPr>
              <w:br/>
              <w:t>On the other hand, NB EIRP could be up to 21dB stronger than 802.11. Therefore, the impact of NB on 802.11 devices needs to be addressed.</w:t>
            </w:r>
          </w:p>
        </w:tc>
        <w:tc>
          <w:tcPr>
            <w:tcW w:w="4147" w:type="dxa"/>
            <w:hideMark/>
          </w:tcPr>
          <w:p w14:paraId="27FC7ADD" w14:textId="77777777" w:rsidR="00B41512" w:rsidRDefault="00B41512" w:rsidP="006E1AF5">
            <w:pPr>
              <w:rPr>
                <w:rFonts w:ascii="Arial" w:hAnsi="Arial" w:cs="Arial"/>
                <w:sz w:val="20"/>
                <w:szCs w:val="20"/>
              </w:rPr>
            </w:pPr>
            <w:r>
              <w:rPr>
                <w:rFonts w:ascii="Arial" w:hAnsi="Arial" w:cs="Arial"/>
                <w:sz w:val="20"/>
                <w:szCs w:val="20"/>
              </w:rPr>
              <w:t>Specify a mandatory coexistence mechanism, which guarantees coexistence of the NB operation with other 802.15.4ab and other 802.11 devices. To avoid causing extra burden for very low duty cycle ranging operation, a duty cycle threshold can be defined such that very low duty cycle operations do not have to follow the mandatory mechanism.</w:t>
            </w:r>
            <w:r>
              <w:rPr>
                <w:rFonts w:ascii="Arial" w:hAnsi="Arial" w:cs="Arial"/>
                <w:sz w:val="20"/>
                <w:szCs w:val="20"/>
              </w:rPr>
              <w:br/>
            </w:r>
            <w:r>
              <w:rPr>
                <w:rFonts w:ascii="Arial" w:hAnsi="Arial" w:cs="Arial"/>
                <w:sz w:val="20"/>
                <w:szCs w:val="20"/>
              </w:rPr>
              <w:br/>
              <w:t>This document does not provide analysis on the impact of NB operation in UNII-3/5 on the 802.11 devices.</w:t>
            </w:r>
            <w:r>
              <w:rPr>
                <w:rFonts w:ascii="Arial" w:hAnsi="Arial" w:cs="Arial"/>
                <w:sz w:val="20"/>
                <w:szCs w:val="20"/>
              </w:rPr>
              <w:br/>
            </w:r>
            <w:r>
              <w:rPr>
                <w:rFonts w:ascii="Arial" w:hAnsi="Arial" w:cs="Arial"/>
                <w:sz w:val="20"/>
                <w:szCs w:val="20"/>
              </w:rPr>
              <w:br/>
              <w:t>Ensure there is sufficient analysis. There are many studies in 802.11 Coex SC, and 15.4ab group, which show detrimental impact of NB on 802.11 throughput and latency. Those need to be included to give proper insight to the reader.</w:t>
            </w:r>
          </w:p>
        </w:tc>
      </w:tr>
      <w:tr w:rsidR="001C0AC1" w14:paraId="11C03399" w14:textId="77777777" w:rsidTr="001C0AC1">
        <w:trPr>
          <w:trHeight w:val="8192"/>
        </w:trPr>
        <w:tc>
          <w:tcPr>
            <w:tcW w:w="0" w:type="auto"/>
            <w:noWrap/>
            <w:hideMark/>
          </w:tcPr>
          <w:p w14:paraId="15B76AC5" w14:textId="77777777" w:rsidR="001C0AC1" w:rsidRDefault="001C0AC1" w:rsidP="006E1AF5">
            <w:pPr>
              <w:rPr>
                <w:rFonts w:ascii="Arial" w:hAnsi="Arial" w:cs="Arial"/>
                <w:sz w:val="20"/>
                <w:szCs w:val="20"/>
              </w:rPr>
            </w:pPr>
            <w:r>
              <w:rPr>
                <w:rFonts w:ascii="Arial" w:hAnsi="Arial" w:cs="Arial"/>
                <w:sz w:val="20"/>
                <w:szCs w:val="20"/>
              </w:rPr>
              <w:t>CAD027</w:t>
            </w:r>
          </w:p>
        </w:tc>
        <w:tc>
          <w:tcPr>
            <w:tcW w:w="0" w:type="auto"/>
            <w:noWrap/>
            <w:hideMark/>
          </w:tcPr>
          <w:p w14:paraId="3887CBAD" w14:textId="77777777" w:rsidR="001C0AC1" w:rsidRDefault="001C0AC1" w:rsidP="006E1AF5">
            <w:pPr>
              <w:jc w:val="right"/>
              <w:rPr>
                <w:rFonts w:ascii="Arial" w:hAnsi="Arial" w:cs="Arial"/>
                <w:sz w:val="20"/>
                <w:szCs w:val="20"/>
              </w:rPr>
            </w:pPr>
            <w:r>
              <w:rPr>
                <w:rFonts w:ascii="Arial" w:hAnsi="Arial" w:cs="Arial"/>
                <w:sz w:val="20"/>
                <w:szCs w:val="20"/>
              </w:rPr>
              <w:t>10</w:t>
            </w:r>
          </w:p>
        </w:tc>
        <w:tc>
          <w:tcPr>
            <w:tcW w:w="0" w:type="auto"/>
            <w:noWrap/>
            <w:hideMark/>
          </w:tcPr>
          <w:p w14:paraId="4C9D89F5" w14:textId="77777777" w:rsidR="001C0AC1" w:rsidRDefault="001C0AC1" w:rsidP="006E1AF5">
            <w:pPr>
              <w:rPr>
                <w:rFonts w:ascii="Arial" w:hAnsi="Arial" w:cs="Arial"/>
                <w:sz w:val="20"/>
                <w:szCs w:val="20"/>
              </w:rPr>
            </w:pPr>
            <w:r>
              <w:rPr>
                <w:rFonts w:ascii="Arial" w:hAnsi="Arial" w:cs="Arial"/>
                <w:sz w:val="20"/>
                <w:szCs w:val="20"/>
              </w:rPr>
              <w:t>3.1.3</w:t>
            </w:r>
          </w:p>
        </w:tc>
        <w:tc>
          <w:tcPr>
            <w:tcW w:w="4147" w:type="dxa"/>
            <w:hideMark/>
          </w:tcPr>
          <w:p w14:paraId="52C25B3D" w14:textId="77777777" w:rsidR="001C0AC1" w:rsidRDefault="001C0AC1" w:rsidP="006E1AF5">
            <w:pPr>
              <w:rPr>
                <w:rFonts w:ascii="Arial" w:hAnsi="Arial" w:cs="Arial"/>
                <w:sz w:val="20"/>
                <w:szCs w:val="20"/>
              </w:rPr>
            </w:pPr>
            <w:r>
              <w:rPr>
                <w:rFonts w:ascii="Arial" w:hAnsi="Arial" w:cs="Arial"/>
                <w:sz w:val="20"/>
                <w:szCs w:val="20"/>
              </w:rPr>
              <w:t>802.19 comment from Pooria Pakrooh on CA document: There are several issues with the statements in subclause 3.1.3:</w:t>
            </w:r>
            <w:r>
              <w:rPr>
                <w:rFonts w:ascii="Arial" w:hAnsi="Arial" w:cs="Arial"/>
                <w:sz w:val="20"/>
                <w:szCs w:val="20"/>
              </w:rPr>
              <w:br/>
            </w:r>
            <w:r>
              <w:rPr>
                <w:rFonts w:ascii="Arial" w:hAnsi="Arial" w:cs="Arial"/>
                <w:sz w:val="20"/>
                <w:szCs w:val="20"/>
              </w:rPr>
              <w:br/>
              <w:t>1. There is no duty cycle limitation in the 4ab draft defined for NB operation in UNII-3 and UNII-5 bands .</w:t>
            </w:r>
            <w:r>
              <w:rPr>
                <w:rFonts w:ascii="Arial" w:hAnsi="Arial" w:cs="Arial"/>
                <w:sz w:val="20"/>
                <w:szCs w:val="20"/>
              </w:rPr>
              <w:br/>
            </w:r>
            <w:r>
              <w:rPr>
                <w:rFonts w:ascii="Arial" w:hAnsi="Arial" w:cs="Arial"/>
                <w:sz w:val="20"/>
                <w:szCs w:val="20"/>
              </w:rPr>
              <w:br/>
              <w:t>2. For ranging, in case of multiple peer-to-peer ranging devices, and one-to-many ranging, the aggregate duty cycle could be very high. There is no guarantee to support the claim about 5% duty cycle limit.</w:t>
            </w:r>
            <w:r>
              <w:rPr>
                <w:rFonts w:ascii="Arial" w:hAnsi="Arial" w:cs="Arial"/>
                <w:sz w:val="20"/>
                <w:szCs w:val="20"/>
              </w:rPr>
              <w:br/>
            </w:r>
            <w:r>
              <w:rPr>
                <w:rFonts w:ascii="Arial" w:hAnsi="Arial" w:cs="Arial"/>
                <w:sz w:val="20"/>
                <w:szCs w:val="20"/>
              </w:rPr>
              <w:br/>
              <w:t>3. Ranging is not the only functionality that uses NB operation in UNII-3/5. In fact, given all the new functionalities defined in 4ab, the duty cycle of NB operation could be well above 5%. For example, NB data offload feature defined in subclause 10.43, or acquisition packet transmissions in channels other than the default channel can have unlimited duty cycle.</w:t>
            </w:r>
            <w:r>
              <w:rPr>
                <w:rFonts w:ascii="Arial" w:hAnsi="Arial" w:cs="Arial"/>
                <w:sz w:val="20"/>
                <w:szCs w:val="20"/>
              </w:rPr>
              <w:br/>
            </w:r>
            <w:r>
              <w:rPr>
                <w:rFonts w:ascii="Arial" w:hAnsi="Arial" w:cs="Arial"/>
                <w:sz w:val="20"/>
                <w:szCs w:val="20"/>
              </w:rPr>
              <w:br/>
              <w:t>4. It is not specified what is the definition of duty cycle. Definition of duty cycle depends on the measurement time (1ms, 1s, 1minute, 1hr, etc), otherwise it does not provide any useful information.</w:t>
            </w:r>
            <w:r>
              <w:rPr>
                <w:rFonts w:ascii="Arial" w:hAnsi="Arial" w:cs="Arial"/>
                <w:sz w:val="20"/>
                <w:szCs w:val="20"/>
              </w:rPr>
              <w:br/>
              <w:t>Therefore, the statement below is misleading.</w:t>
            </w:r>
            <w:r>
              <w:rPr>
                <w:rFonts w:ascii="Arial" w:hAnsi="Arial" w:cs="Arial"/>
                <w:sz w:val="20"/>
                <w:szCs w:val="20"/>
              </w:rPr>
              <w:br/>
            </w:r>
            <w:r>
              <w:rPr>
                <w:rFonts w:ascii="Arial" w:hAnsi="Arial" w:cs="Arial"/>
                <w:sz w:val="20"/>
                <w:szCs w:val="20"/>
              </w:rPr>
              <w:br/>
              <w:t>Sentence copied from CA document: "802.15.4 ranging services that operate under regulatory and public safety requirement constraints use</w:t>
            </w:r>
            <w:r>
              <w:rPr>
                <w:rFonts w:ascii="Arial" w:hAnsi="Arial" w:cs="Arial"/>
                <w:sz w:val="20"/>
                <w:szCs w:val="20"/>
              </w:rPr>
              <w:br/>
              <w:t xml:space="preserve">typical airtime duty cycles between 1.5 and </w:t>
            </w:r>
            <w:r>
              <w:rPr>
                <w:rFonts w:ascii="Arial" w:hAnsi="Arial" w:cs="Arial"/>
                <w:sz w:val="20"/>
                <w:szCs w:val="20"/>
              </w:rPr>
              <w:lastRenderedPageBreak/>
              <w:t>5% typically [31] [32]]. 95% or greater of the available</w:t>
            </w:r>
            <w:r>
              <w:rPr>
                <w:rFonts w:ascii="Arial" w:hAnsi="Arial" w:cs="Arial"/>
                <w:sz w:val="20"/>
                <w:szCs w:val="20"/>
              </w:rPr>
              <w:br/>
              <w:t>airtime is typically available to other radio technologies operating in the same frequency bands."</w:t>
            </w:r>
          </w:p>
        </w:tc>
        <w:tc>
          <w:tcPr>
            <w:tcW w:w="4147" w:type="dxa"/>
            <w:hideMark/>
          </w:tcPr>
          <w:p w14:paraId="053307D5" w14:textId="77777777" w:rsidR="001C0AC1" w:rsidRDefault="001C0AC1" w:rsidP="006E1AF5">
            <w:pPr>
              <w:rPr>
                <w:rFonts w:ascii="Arial" w:hAnsi="Arial" w:cs="Arial"/>
                <w:sz w:val="20"/>
                <w:szCs w:val="20"/>
              </w:rPr>
            </w:pPr>
            <w:r>
              <w:rPr>
                <w:rFonts w:ascii="Arial" w:hAnsi="Arial" w:cs="Arial"/>
                <w:sz w:val="20"/>
                <w:szCs w:val="20"/>
              </w:rPr>
              <w:lastRenderedPageBreak/>
              <w:t>Specify a mandatory coexistence mechanism, which guarantees coexistence of the NB operation with other 802.15.4ab and other 802.11 devices. To avoid causing extra burden for very low duty cycle ranging operation, a duty cycle threshold can be defined such that very low duty cycle operations do not have to follow the mandatory mechanism.</w:t>
            </w:r>
            <w:r>
              <w:rPr>
                <w:rFonts w:ascii="Arial" w:hAnsi="Arial" w:cs="Arial"/>
                <w:sz w:val="20"/>
                <w:szCs w:val="20"/>
              </w:rPr>
              <w:br/>
            </w:r>
            <w:r>
              <w:rPr>
                <w:rFonts w:ascii="Arial" w:hAnsi="Arial" w:cs="Arial"/>
                <w:sz w:val="20"/>
                <w:szCs w:val="20"/>
              </w:rPr>
              <w:br/>
              <w:t>A possible solution is to use the proposal in DCN 15-24-0212-05, as below:</w:t>
            </w:r>
            <w:r>
              <w:rPr>
                <w:rFonts w:ascii="Arial" w:hAnsi="Arial" w:cs="Arial"/>
                <w:sz w:val="20"/>
                <w:szCs w:val="20"/>
              </w:rPr>
              <w:br/>
            </w:r>
            <w:r>
              <w:rPr>
                <w:rFonts w:ascii="Arial" w:hAnsi="Arial" w:cs="Arial"/>
                <w:sz w:val="20"/>
                <w:szCs w:val="20"/>
              </w:rPr>
              <w:br/>
              <w:t>"A NB capable device operating in UNII-3 or UNII-5 band shall measure its NB transmission duty cycle.</w:t>
            </w:r>
            <w:r>
              <w:rPr>
                <w:rFonts w:ascii="Arial" w:hAnsi="Arial" w:cs="Arial"/>
                <w:sz w:val="20"/>
                <w:szCs w:val="20"/>
              </w:rPr>
              <w:br/>
              <w:t>For a NB capable device, if its NB transmission duty cycle is more than 2.5% (exact threshold value to be discussed further), it shall perform listen-before-talk (LBT) before any NB transmission. Otherwise, LBT is optional."</w:t>
            </w:r>
          </w:p>
        </w:tc>
      </w:tr>
      <w:tr w:rsidR="001C0AC1" w14:paraId="4BA81B67" w14:textId="77777777" w:rsidTr="006E1AF5">
        <w:trPr>
          <w:trHeight w:val="3920"/>
        </w:trPr>
        <w:tc>
          <w:tcPr>
            <w:tcW w:w="0" w:type="auto"/>
            <w:noWrap/>
            <w:hideMark/>
          </w:tcPr>
          <w:p w14:paraId="6D51BF2F" w14:textId="77777777" w:rsidR="001C0AC1" w:rsidRDefault="001C0AC1" w:rsidP="006E1AF5">
            <w:pPr>
              <w:rPr>
                <w:rFonts w:ascii="Arial" w:hAnsi="Arial" w:cs="Arial"/>
                <w:sz w:val="20"/>
                <w:szCs w:val="20"/>
              </w:rPr>
            </w:pPr>
            <w:r>
              <w:rPr>
                <w:rFonts w:ascii="Arial" w:hAnsi="Arial" w:cs="Arial"/>
                <w:sz w:val="20"/>
                <w:szCs w:val="20"/>
              </w:rPr>
              <w:t>CAD028</w:t>
            </w:r>
          </w:p>
        </w:tc>
        <w:tc>
          <w:tcPr>
            <w:tcW w:w="0" w:type="auto"/>
            <w:noWrap/>
            <w:hideMark/>
          </w:tcPr>
          <w:p w14:paraId="74206954" w14:textId="77777777" w:rsidR="001C0AC1" w:rsidRDefault="001C0AC1" w:rsidP="006E1AF5">
            <w:pPr>
              <w:jc w:val="right"/>
              <w:rPr>
                <w:rFonts w:ascii="Arial" w:hAnsi="Arial" w:cs="Arial"/>
                <w:sz w:val="20"/>
                <w:szCs w:val="20"/>
              </w:rPr>
            </w:pPr>
            <w:r>
              <w:rPr>
                <w:rFonts w:ascii="Arial" w:hAnsi="Arial" w:cs="Arial"/>
                <w:sz w:val="20"/>
                <w:szCs w:val="20"/>
              </w:rPr>
              <w:t>10</w:t>
            </w:r>
          </w:p>
        </w:tc>
        <w:tc>
          <w:tcPr>
            <w:tcW w:w="0" w:type="auto"/>
            <w:noWrap/>
            <w:hideMark/>
          </w:tcPr>
          <w:p w14:paraId="1A75B414" w14:textId="77777777" w:rsidR="001C0AC1" w:rsidRDefault="001C0AC1" w:rsidP="006E1AF5">
            <w:pPr>
              <w:rPr>
                <w:rFonts w:ascii="Arial" w:hAnsi="Arial" w:cs="Arial"/>
                <w:sz w:val="20"/>
                <w:szCs w:val="20"/>
              </w:rPr>
            </w:pPr>
            <w:r>
              <w:rPr>
                <w:rFonts w:ascii="Arial" w:hAnsi="Arial" w:cs="Arial"/>
                <w:sz w:val="20"/>
                <w:szCs w:val="20"/>
              </w:rPr>
              <w:t>3.1.3</w:t>
            </w:r>
          </w:p>
        </w:tc>
        <w:tc>
          <w:tcPr>
            <w:tcW w:w="4147" w:type="dxa"/>
            <w:hideMark/>
          </w:tcPr>
          <w:p w14:paraId="308A20C8" w14:textId="77777777" w:rsidR="001C0AC1" w:rsidRDefault="001C0AC1" w:rsidP="006E1AF5">
            <w:pPr>
              <w:rPr>
                <w:rFonts w:ascii="Arial" w:hAnsi="Arial" w:cs="Arial"/>
                <w:sz w:val="20"/>
                <w:szCs w:val="20"/>
              </w:rPr>
            </w:pPr>
            <w:r>
              <w:rPr>
                <w:rFonts w:ascii="Arial" w:hAnsi="Arial" w:cs="Arial"/>
                <w:sz w:val="20"/>
                <w:szCs w:val="20"/>
              </w:rPr>
              <w:t>802.19 comment from Pooria Pakrooh on CA document: The sentence below is not accurate. Even though the default advertising channel is defined outside of the spectrum used by 802.11 devices, nothing prevents devices to send these advertising packets in interfering channels with 802.11.</w:t>
            </w:r>
            <w:r>
              <w:rPr>
                <w:rFonts w:ascii="Arial" w:hAnsi="Arial" w:cs="Arial"/>
                <w:sz w:val="20"/>
                <w:szCs w:val="20"/>
              </w:rPr>
              <w:br/>
              <w:t>Also, as defined in 15.4ab, these advertising/acquisition packets can be transmitted at arbitrarily low interval, which can lead to serious coexistence consequences.</w:t>
            </w:r>
            <w:r>
              <w:rPr>
                <w:rFonts w:ascii="Arial" w:hAnsi="Arial" w:cs="Arial"/>
                <w:sz w:val="20"/>
                <w:szCs w:val="20"/>
              </w:rPr>
              <w:br/>
            </w:r>
            <w:r>
              <w:rPr>
                <w:rFonts w:ascii="Arial" w:hAnsi="Arial" w:cs="Arial"/>
                <w:sz w:val="20"/>
                <w:szCs w:val="20"/>
              </w:rPr>
              <w:br/>
              <w:t>Sentence copied from the CA document: "Periodic NB packet transmissions on fixed channels such as background advertising and control traffic are allocated in 4ab in newly allocated</w:t>
            </w:r>
            <w:r>
              <w:rPr>
                <w:rFonts w:ascii="Arial" w:hAnsi="Arial" w:cs="Arial"/>
                <w:sz w:val="20"/>
                <w:szCs w:val="20"/>
              </w:rPr>
              <w:br/>
              <w:t>spectrum outside of the channel map used by 802.11 WLAN such that no interference is cast [29]."</w:t>
            </w:r>
          </w:p>
        </w:tc>
        <w:tc>
          <w:tcPr>
            <w:tcW w:w="4147" w:type="dxa"/>
            <w:hideMark/>
          </w:tcPr>
          <w:p w14:paraId="3E18775E" w14:textId="77777777" w:rsidR="001C0AC1" w:rsidRDefault="001C0AC1" w:rsidP="006E1AF5">
            <w:pPr>
              <w:rPr>
                <w:rFonts w:ascii="Arial" w:hAnsi="Arial" w:cs="Arial"/>
                <w:sz w:val="20"/>
                <w:szCs w:val="20"/>
              </w:rPr>
            </w:pPr>
            <w:r>
              <w:rPr>
                <w:rFonts w:ascii="Arial" w:hAnsi="Arial" w:cs="Arial"/>
                <w:sz w:val="20"/>
                <w:szCs w:val="20"/>
              </w:rPr>
              <w:t>Do the following changes to ensure proper coexistence:</w:t>
            </w:r>
            <w:r>
              <w:rPr>
                <w:rFonts w:ascii="Arial" w:hAnsi="Arial" w:cs="Arial"/>
                <w:sz w:val="20"/>
                <w:szCs w:val="20"/>
              </w:rPr>
              <w:br/>
            </w:r>
            <w:r>
              <w:rPr>
                <w:rFonts w:ascii="Arial" w:hAnsi="Arial" w:cs="Arial"/>
                <w:sz w:val="20"/>
                <w:szCs w:val="20"/>
              </w:rPr>
              <w:br/>
              <w:t>1. Add a mandatory coexistence mechanism, which guarantees coexistence of the NB OQPSK with other NB usage, as well as 802.11 technology. One possible solution is to use the proposal in DCN 15-24-0212-05, as below: "A NB capable device operating in UNII-3 or UNII-5 band shall measure its NB transmission duty cycle. For a NB capable device, if its NB transmission duty cycle is more than 2.5% (the exact threshold value to be discussed further), it shall perform listen-before-talk (LBT) before any NB transmission. Otherwise, LBT is optional."</w:t>
            </w:r>
            <w:r>
              <w:rPr>
                <w:rFonts w:ascii="Arial" w:hAnsi="Arial" w:cs="Arial"/>
                <w:sz w:val="20"/>
                <w:szCs w:val="20"/>
              </w:rPr>
              <w:br/>
            </w:r>
            <w:r>
              <w:rPr>
                <w:rFonts w:ascii="Arial" w:hAnsi="Arial" w:cs="Arial"/>
                <w:sz w:val="20"/>
                <w:szCs w:val="20"/>
              </w:rPr>
              <w:br/>
              <w:t>2. Limit advertising/acquisition packets to channel(s) outside of 802.11 spectrum to make this statement accurate.</w:t>
            </w:r>
          </w:p>
        </w:tc>
      </w:tr>
    </w:tbl>
    <w:p w14:paraId="0A5F39EE" w14:textId="77777777" w:rsidR="00024917" w:rsidRDefault="00024917" w:rsidP="00024917"/>
    <w:p w14:paraId="0932A529" w14:textId="77777777" w:rsidR="00B41512" w:rsidRDefault="001C0AC1" w:rsidP="00B41512">
      <w:pPr>
        <w:rPr>
          <w:lang w:val="en-GB"/>
        </w:rPr>
      </w:pPr>
      <w:r>
        <w:rPr>
          <w:lang w:val="en-GB"/>
        </w:rPr>
        <w:lastRenderedPageBreak/>
        <w:t xml:space="preserve">Discussion: The proposed resolutions aim to provide a technical proposal to be considered by the 802.15.4ab TG. </w:t>
      </w:r>
      <w:r w:rsidR="00B41512">
        <w:rPr>
          <w:lang w:val="en-GB"/>
        </w:rPr>
        <w:t>Similar comments has been submitted against the 15.4abD01 and will be discussed in the TG. No actionable items wrt CAD text are proposed.</w:t>
      </w:r>
    </w:p>
    <w:p w14:paraId="6753F868" w14:textId="77777777" w:rsidR="001C0AC1" w:rsidRDefault="001C0AC1" w:rsidP="001C0AC1">
      <w:pPr>
        <w:rPr>
          <w:lang w:val="en-GB"/>
        </w:rPr>
      </w:pPr>
    </w:p>
    <w:p w14:paraId="1B6DAA77" w14:textId="77777777" w:rsidR="001C0AC1" w:rsidRDefault="001C0AC1" w:rsidP="001C0AC1">
      <w:pPr>
        <w:rPr>
          <w:lang w:val="en-GB"/>
        </w:rPr>
      </w:pPr>
      <w:r>
        <w:rPr>
          <w:lang w:val="en-GB"/>
        </w:rPr>
        <w:t>Proposed resolution: Reject</w:t>
      </w:r>
    </w:p>
    <w:p w14:paraId="5931544C" w14:textId="77777777" w:rsidR="001C0AC1" w:rsidRDefault="001C0AC1" w:rsidP="001C0AC1">
      <w:pPr>
        <w:rPr>
          <w:lang w:val="en-GB"/>
        </w:rPr>
      </w:pPr>
    </w:p>
    <w:p w14:paraId="486B8448" w14:textId="4ABC7E87" w:rsidR="001C0AC1" w:rsidRDefault="001C0AC1">
      <w:pPr>
        <w:rPr>
          <w:lang w:val="en-GB"/>
        </w:rPr>
      </w:pPr>
      <w:r>
        <w:rPr>
          <w:lang w:val="en-GB"/>
        </w:rPr>
        <w:t xml:space="preserve">Disposition detail: </w:t>
      </w:r>
      <w:r w:rsidR="00B41512">
        <w:rPr>
          <w:lang w:val="en-GB"/>
        </w:rPr>
        <w:t>No actionable items wrt CAD text</w:t>
      </w:r>
      <w:r>
        <w:rPr>
          <w:lang w:val="en-GB"/>
        </w:rPr>
        <w:br w:type="page"/>
      </w:r>
    </w:p>
    <w:tbl>
      <w:tblPr>
        <w:tblStyle w:val="TableGrid"/>
        <w:tblW w:w="10800" w:type="dxa"/>
        <w:tblLook w:val="04A0" w:firstRow="1" w:lastRow="0" w:firstColumn="1" w:lastColumn="0" w:noHBand="0" w:noVBand="1"/>
      </w:tblPr>
      <w:tblGrid>
        <w:gridCol w:w="972"/>
        <w:gridCol w:w="695"/>
        <w:gridCol w:w="839"/>
        <w:gridCol w:w="4147"/>
        <w:gridCol w:w="4147"/>
      </w:tblGrid>
      <w:tr w:rsidR="001C0AC1" w14:paraId="1D7C8F99" w14:textId="77777777" w:rsidTr="001C0AC1">
        <w:tc>
          <w:tcPr>
            <w:tcW w:w="0" w:type="auto"/>
            <w:noWrap/>
            <w:hideMark/>
          </w:tcPr>
          <w:p w14:paraId="5FBEA0C3" w14:textId="77777777" w:rsidR="001C0AC1" w:rsidRDefault="001C0AC1" w:rsidP="006E1AF5">
            <w:pPr>
              <w:rPr>
                <w:rFonts w:ascii="Arial" w:hAnsi="Arial" w:cs="Arial"/>
                <w:b/>
                <w:bCs/>
                <w:sz w:val="20"/>
                <w:szCs w:val="20"/>
              </w:rPr>
            </w:pPr>
            <w:r>
              <w:rPr>
                <w:rFonts w:ascii="Arial" w:hAnsi="Arial" w:cs="Arial"/>
                <w:b/>
                <w:bCs/>
                <w:sz w:val="20"/>
                <w:szCs w:val="20"/>
              </w:rPr>
              <w:lastRenderedPageBreak/>
              <w:t>Index #</w:t>
            </w:r>
          </w:p>
        </w:tc>
        <w:tc>
          <w:tcPr>
            <w:tcW w:w="0" w:type="auto"/>
            <w:noWrap/>
            <w:hideMark/>
          </w:tcPr>
          <w:p w14:paraId="2F2A342E" w14:textId="77777777" w:rsidR="001C0AC1" w:rsidRDefault="001C0AC1" w:rsidP="006E1AF5">
            <w:pPr>
              <w:rPr>
                <w:rFonts w:ascii="Arial" w:hAnsi="Arial" w:cs="Arial"/>
                <w:b/>
                <w:bCs/>
                <w:sz w:val="20"/>
                <w:szCs w:val="20"/>
              </w:rPr>
            </w:pPr>
            <w:r>
              <w:rPr>
                <w:rFonts w:ascii="Arial" w:hAnsi="Arial" w:cs="Arial"/>
                <w:b/>
                <w:bCs/>
                <w:sz w:val="20"/>
                <w:szCs w:val="20"/>
              </w:rPr>
              <w:t>Page</w:t>
            </w:r>
          </w:p>
        </w:tc>
        <w:tc>
          <w:tcPr>
            <w:tcW w:w="0" w:type="auto"/>
            <w:hideMark/>
          </w:tcPr>
          <w:p w14:paraId="01208C4D" w14:textId="77777777" w:rsidR="001C0AC1" w:rsidRDefault="001C0AC1" w:rsidP="006E1AF5">
            <w:pPr>
              <w:rPr>
                <w:rFonts w:ascii="Arial" w:hAnsi="Arial" w:cs="Arial"/>
                <w:b/>
                <w:bCs/>
                <w:sz w:val="20"/>
                <w:szCs w:val="20"/>
              </w:rPr>
            </w:pPr>
            <w:r>
              <w:rPr>
                <w:rFonts w:ascii="Arial" w:hAnsi="Arial" w:cs="Arial"/>
                <w:b/>
                <w:bCs/>
                <w:sz w:val="20"/>
                <w:szCs w:val="20"/>
              </w:rPr>
              <w:t>Sub-clause</w:t>
            </w:r>
          </w:p>
        </w:tc>
        <w:tc>
          <w:tcPr>
            <w:tcW w:w="4147" w:type="dxa"/>
            <w:hideMark/>
          </w:tcPr>
          <w:p w14:paraId="58B3134E" w14:textId="77777777" w:rsidR="001C0AC1" w:rsidRDefault="001C0AC1" w:rsidP="006E1AF5">
            <w:pPr>
              <w:rPr>
                <w:rFonts w:ascii="Arial" w:hAnsi="Arial" w:cs="Arial"/>
                <w:b/>
                <w:bCs/>
                <w:sz w:val="20"/>
                <w:szCs w:val="20"/>
              </w:rPr>
            </w:pPr>
            <w:r>
              <w:rPr>
                <w:rFonts w:ascii="Arial" w:hAnsi="Arial" w:cs="Arial"/>
                <w:b/>
                <w:bCs/>
                <w:sz w:val="20"/>
                <w:szCs w:val="20"/>
              </w:rPr>
              <w:t>Comment</w:t>
            </w:r>
          </w:p>
        </w:tc>
        <w:tc>
          <w:tcPr>
            <w:tcW w:w="4147" w:type="dxa"/>
            <w:hideMark/>
          </w:tcPr>
          <w:p w14:paraId="68F86D0E" w14:textId="77777777" w:rsidR="001C0AC1" w:rsidRDefault="001C0AC1" w:rsidP="006E1AF5">
            <w:pPr>
              <w:rPr>
                <w:rFonts w:ascii="Arial" w:hAnsi="Arial" w:cs="Arial"/>
                <w:b/>
                <w:bCs/>
                <w:sz w:val="20"/>
                <w:szCs w:val="20"/>
              </w:rPr>
            </w:pPr>
            <w:r>
              <w:rPr>
                <w:rFonts w:ascii="Arial" w:hAnsi="Arial" w:cs="Arial"/>
                <w:b/>
                <w:bCs/>
                <w:sz w:val="20"/>
                <w:szCs w:val="20"/>
              </w:rPr>
              <w:t>Proposed Change</w:t>
            </w:r>
          </w:p>
        </w:tc>
      </w:tr>
      <w:tr w:rsidR="001C0AC1" w14:paraId="05CC0AC8" w14:textId="77777777" w:rsidTr="001C0AC1">
        <w:trPr>
          <w:trHeight w:val="2800"/>
        </w:trPr>
        <w:tc>
          <w:tcPr>
            <w:tcW w:w="0" w:type="auto"/>
            <w:noWrap/>
            <w:hideMark/>
          </w:tcPr>
          <w:p w14:paraId="782585FD" w14:textId="77777777" w:rsidR="001C0AC1" w:rsidRDefault="001C0AC1" w:rsidP="006E1AF5">
            <w:pPr>
              <w:rPr>
                <w:rFonts w:ascii="Arial" w:hAnsi="Arial" w:cs="Arial"/>
                <w:sz w:val="20"/>
                <w:szCs w:val="20"/>
              </w:rPr>
            </w:pPr>
            <w:r>
              <w:rPr>
                <w:rFonts w:ascii="Arial" w:hAnsi="Arial" w:cs="Arial"/>
                <w:sz w:val="20"/>
                <w:szCs w:val="20"/>
              </w:rPr>
              <w:t>CAD029</w:t>
            </w:r>
          </w:p>
        </w:tc>
        <w:tc>
          <w:tcPr>
            <w:tcW w:w="0" w:type="auto"/>
            <w:noWrap/>
            <w:hideMark/>
          </w:tcPr>
          <w:p w14:paraId="52922B27" w14:textId="77777777" w:rsidR="001C0AC1" w:rsidRDefault="001C0AC1" w:rsidP="006E1AF5">
            <w:pPr>
              <w:jc w:val="right"/>
              <w:rPr>
                <w:rFonts w:ascii="Arial" w:hAnsi="Arial" w:cs="Arial"/>
                <w:sz w:val="20"/>
                <w:szCs w:val="20"/>
              </w:rPr>
            </w:pPr>
            <w:r>
              <w:rPr>
                <w:rFonts w:ascii="Arial" w:hAnsi="Arial" w:cs="Arial"/>
                <w:sz w:val="20"/>
                <w:szCs w:val="20"/>
              </w:rPr>
              <w:t>10</w:t>
            </w:r>
          </w:p>
        </w:tc>
        <w:tc>
          <w:tcPr>
            <w:tcW w:w="0" w:type="auto"/>
            <w:noWrap/>
            <w:hideMark/>
          </w:tcPr>
          <w:p w14:paraId="4C8E54C1" w14:textId="77777777" w:rsidR="001C0AC1" w:rsidRDefault="001C0AC1" w:rsidP="006E1AF5">
            <w:pPr>
              <w:rPr>
                <w:rFonts w:ascii="Arial" w:hAnsi="Arial" w:cs="Arial"/>
                <w:sz w:val="20"/>
                <w:szCs w:val="20"/>
              </w:rPr>
            </w:pPr>
            <w:r>
              <w:rPr>
                <w:rFonts w:ascii="Arial" w:hAnsi="Arial" w:cs="Arial"/>
                <w:sz w:val="20"/>
                <w:szCs w:val="20"/>
              </w:rPr>
              <w:t>3.1.3</w:t>
            </w:r>
          </w:p>
        </w:tc>
        <w:tc>
          <w:tcPr>
            <w:tcW w:w="4147" w:type="dxa"/>
            <w:hideMark/>
          </w:tcPr>
          <w:p w14:paraId="0B5644F0" w14:textId="77777777" w:rsidR="001C0AC1" w:rsidRDefault="001C0AC1" w:rsidP="006E1AF5">
            <w:pPr>
              <w:rPr>
                <w:rFonts w:ascii="Arial" w:hAnsi="Arial" w:cs="Arial"/>
                <w:sz w:val="20"/>
                <w:szCs w:val="20"/>
              </w:rPr>
            </w:pPr>
            <w:r>
              <w:rPr>
                <w:rFonts w:ascii="Arial" w:hAnsi="Arial" w:cs="Arial"/>
                <w:sz w:val="20"/>
                <w:szCs w:val="20"/>
              </w:rPr>
              <w:t>802.19 comment from Pooria Pakrooh on CA document: The sentence below is unclear and misleading. What is the value for the fixed upper bound? Does that depend on block/round structure? If so, this upper bound can be very large and provides no meaningful coexistence improvement.</w:t>
            </w:r>
            <w:r>
              <w:rPr>
                <w:rFonts w:ascii="Arial" w:hAnsi="Arial" w:cs="Arial"/>
                <w:sz w:val="20"/>
                <w:szCs w:val="20"/>
              </w:rPr>
              <w:br/>
            </w:r>
            <w:r>
              <w:rPr>
                <w:rFonts w:ascii="Arial" w:hAnsi="Arial" w:cs="Arial"/>
                <w:sz w:val="20"/>
                <w:szCs w:val="20"/>
              </w:rPr>
              <w:br/>
              <w:t>Sentence copied from the CA document: "Instead all packet transmissions are cancelled following a non-recoverable packet error, thereby guaranteeing a fixed upper bound on duty cycle that is set by the 4ab MAC ranging configuration."</w:t>
            </w:r>
          </w:p>
        </w:tc>
        <w:tc>
          <w:tcPr>
            <w:tcW w:w="4147" w:type="dxa"/>
            <w:hideMark/>
          </w:tcPr>
          <w:p w14:paraId="079F4FFB" w14:textId="77777777" w:rsidR="001C0AC1" w:rsidRDefault="001C0AC1" w:rsidP="006E1AF5">
            <w:pPr>
              <w:rPr>
                <w:rFonts w:ascii="Arial" w:hAnsi="Arial" w:cs="Arial"/>
                <w:sz w:val="20"/>
                <w:szCs w:val="20"/>
              </w:rPr>
            </w:pPr>
            <w:r>
              <w:rPr>
                <w:rFonts w:ascii="Arial" w:hAnsi="Arial" w:cs="Arial"/>
                <w:sz w:val="20"/>
                <w:szCs w:val="20"/>
              </w:rPr>
              <w:t>Clarify the upper bound value. If there is no clear upper bound, remove this sentence, instead define a meaningful coexistence mechanism that can be evaluated, and ensures efficient coexistence with other radios in UNII-3 and UNII-5.</w:t>
            </w:r>
          </w:p>
        </w:tc>
      </w:tr>
    </w:tbl>
    <w:p w14:paraId="0A03C25D" w14:textId="77777777" w:rsidR="001C0AC1" w:rsidRPr="001C0AC1" w:rsidRDefault="001C0AC1" w:rsidP="001C0AC1"/>
    <w:p w14:paraId="137458D2" w14:textId="40246CB5" w:rsidR="001C0AC1" w:rsidRDefault="001C0AC1" w:rsidP="001C0AC1">
      <w:pPr>
        <w:rPr>
          <w:lang w:val="en-GB"/>
        </w:rPr>
      </w:pPr>
      <w:r>
        <w:rPr>
          <w:lang w:val="en-GB"/>
        </w:rPr>
        <w:t xml:space="preserve">Discussion: The comment asks clarification on the </w:t>
      </w:r>
      <w:r w:rsidR="007821D2">
        <w:rPr>
          <w:lang w:val="en-GB"/>
        </w:rPr>
        <w:t xml:space="preserve">statement that a fixed upper bound on the duty cycle is achieved by the LBT/CCA implementation specified in 15.4ab for NBA-UWB MMS. We agree </w:t>
      </w:r>
      <w:r w:rsidR="00B41512">
        <w:rPr>
          <w:lang w:val="en-GB"/>
        </w:rPr>
        <w:t xml:space="preserve">that the meaning of "fixed" but "set by the </w:t>
      </w:r>
      <w:r w:rsidR="00422862">
        <w:rPr>
          <w:lang w:val="en-GB"/>
        </w:rPr>
        <w:t>4ab MAC ranging configuration" is contradictory</w:t>
      </w:r>
      <w:r w:rsidR="00CD12A5">
        <w:rPr>
          <w:lang w:val="en-GB"/>
        </w:rPr>
        <w:t>.</w:t>
      </w:r>
      <w:r w:rsidR="00B41512">
        <w:rPr>
          <w:lang w:val="en-GB"/>
        </w:rPr>
        <w:t xml:space="preserve"> </w:t>
      </w:r>
      <w:r w:rsidR="00CD12A5">
        <w:rPr>
          <w:lang w:val="en-GB"/>
        </w:rPr>
        <w:t>T</w:t>
      </w:r>
      <w:r w:rsidR="00B41512">
        <w:rPr>
          <w:lang w:val="en-GB"/>
        </w:rPr>
        <w:t>herefore we</w:t>
      </w:r>
      <w:r w:rsidR="007821D2">
        <w:rPr>
          <w:lang w:val="en-GB"/>
        </w:rPr>
        <w:t xml:space="preserve"> revise the CAD text in that regard as detailed below. Additional </w:t>
      </w:r>
      <w:r w:rsidR="00B41512">
        <w:rPr>
          <w:lang w:val="en-GB"/>
        </w:rPr>
        <w:t xml:space="preserve">proposed </w:t>
      </w:r>
      <w:r w:rsidR="005954D5">
        <w:rPr>
          <w:lang w:val="en-GB"/>
        </w:rPr>
        <w:t>changes</w:t>
      </w:r>
      <w:r w:rsidR="007821D2">
        <w:rPr>
          <w:lang w:val="en-GB"/>
        </w:rPr>
        <w:t xml:space="preserve"> are not actionable wrt CAD text. </w:t>
      </w:r>
    </w:p>
    <w:p w14:paraId="71801F0B" w14:textId="77777777" w:rsidR="001C0AC1" w:rsidRDefault="001C0AC1" w:rsidP="001C0AC1">
      <w:pPr>
        <w:rPr>
          <w:lang w:val="en-GB"/>
        </w:rPr>
      </w:pPr>
    </w:p>
    <w:p w14:paraId="5B33D005" w14:textId="2A8BEAFD" w:rsidR="001C0AC1" w:rsidRDefault="001C0AC1" w:rsidP="001C0AC1">
      <w:pPr>
        <w:rPr>
          <w:lang w:val="en-GB"/>
        </w:rPr>
      </w:pPr>
      <w:r>
        <w:rPr>
          <w:lang w:val="en-GB"/>
        </w:rPr>
        <w:t>Proposed resolution: Re</w:t>
      </w:r>
      <w:r w:rsidR="007821D2">
        <w:rPr>
          <w:lang w:val="en-GB"/>
        </w:rPr>
        <w:t>vise</w:t>
      </w:r>
    </w:p>
    <w:p w14:paraId="6DC046BA" w14:textId="77777777" w:rsidR="001C0AC1" w:rsidRDefault="001C0AC1" w:rsidP="001C0AC1">
      <w:pPr>
        <w:rPr>
          <w:lang w:val="en-GB"/>
        </w:rPr>
      </w:pPr>
    </w:p>
    <w:p w14:paraId="4EF77BFA" w14:textId="77777777" w:rsidR="00CD12A5" w:rsidRDefault="001C0AC1" w:rsidP="001C0AC1">
      <w:pPr>
        <w:rPr>
          <w:lang w:val="en-GB"/>
        </w:rPr>
      </w:pPr>
      <w:r>
        <w:rPr>
          <w:lang w:val="en-GB"/>
        </w:rPr>
        <w:t xml:space="preserve">Disposition detail: </w:t>
      </w:r>
    </w:p>
    <w:p w14:paraId="6FD0638A" w14:textId="77777777" w:rsidR="00CD12A5" w:rsidRDefault="00CD12A5" w:rsidP="001C0AC1">
      <w:pPr>
        <w:rPr>
          <w:lang w:val="en-GB"/>
        </w:rPr>
      </w:pPr>
    </w:p>
    <w:p w14:paraId="49F9242C" w14:textId="075C0249" w:rsidR="007821D2" w:rsidRPr="00CD12A5" w:rsidRDefault="00CD12A5" w:rsidP="001C0AC1">
      <w:pPr>
        <w:rPr>
          <w:i/>
          <w:iCs/>
          <w:lang w:val="en-GB"/>
        </w:rPr>
      </w:pPr>
      <w:r w:rsidRPr="00CD12A5">
        <w:rPr>
          <w:i/>
          <w:iCs/>
          <w:lang w:val="en-GB"/>
        </w:rPr>
        <w:t>Replace</w:t>
      </w:r>
      <w:r w:rsidR="007821D2" w:rsidRPr="00CD12A5">
        <w:rPr>
          <w:i/>
          <w:iCs/>
          <w:lang w:val="en-GB"/>
        </w:rPr>
        <w:t xml:space="preserve"> the sentence</w:t>
      </w:r>
    </w:p>
    <w:p w14:paraId="6CFE02B4" w14:textId="77777777" w:rsidR="007821D2" w:rsidRDefault="007821D2" w:rsidP="001C0AC1">
      <w:pPr>
        <w:rPr>
          <w:lang w:val="en-GB"/>
        </w:rPr>
      </w:pPr>
    </w:p>
    <w:p w14:paraId="3FBA9DC7" w14:textId="77777777" w:rsidR="007821D2" w:rsidRDefault="007821D2" w:rsidP="007821D2">
      <w:r>
        <w:t>Instead all packet transmissions are cancelled following a non-recoverable packet error, thereby guaranteeing a fixed upper bound on duty cycle that is set by the 4ab MAC ranging configuration.</w:t>
      </w:r>
    </w:p>
    <w:p w14:paraId="197E7D16" w14:textId="77777777" w:rsidR="00CD12A5" w:rsidRDefault="00CD12A5" w:rsidP="007821D2"/>
    <w:p w14:paraId="78A99D8A" w14:textId="0E75F90C" w:rsidR="00CD12A5" w:rsidRPr="00CD12A5" w:rsidRDefault="00CD12A5" w:rsidP="007821D2">
      <w:pPr>
        <w:rPr>
          <w:i/>
          <w:iCs/>
        </w:rPr>
      </w:pPr>
      <w:r w:rsidRPr="00CD12A5">
        <w:rPr>
          <w:i/>
          <w:iCs/>
        </w:rPr>
        <w:t>by</w:t>
      </w:r>
    </w:p>
    <w:p w14:paraId="00AB1E6B" w14:textId="77777777" w:rsidR="007821D2" w:rsidRDefault="007821D2" w:rsidP="001C0AC1"/>
    <w:p w14:paraId="008D9ED6" w14:textId="2F8E3265" w:rsidR="007821D2" w:rsidRDefault="007821D2" w:rsidP="007821D2">
      <w:r>
        <w:t xml:space="preserve">Instead all packet transmissions are cancelled following a CCA busy event or a non-recoverable packet error, thereby freeing the channel </w:t>
      </w:r>
      <w:r w:rsidR="00CD12A5">
        <w:t>without attempting packet retransmissions</w:t>
      </w:r>
      <w:r w:rsidR="00003A17">
        <w:t xml:space="preserve"> until the next pre-scheduled ranging </w:t>
      </w:r>
      <w:r w:rsidR="00CD12A5">
        <w:t>block</w:t>
      </w:r>
      <w:r w:rsidR="00003A17">
        <w:t>.</w:t>
      </w:r>
    </w:p>
    <w:sectPr w:rsidR="007821D2"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BB3B" w14:textId="77777777" w:rsidR="00AF5A71" w:rsidRDefault="00AF5A71">
      <w:r>
        <w:separator/>
      </w:r>
    </w:p>
  </w:endnote>
  <w:endnote w:type="continuationSeparator" w:id="0">
    <w:p w14:paraId="19827E91" w14:textId="77777777" w:rsidR="00AF5A71" w:rsidRDefault="00AF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AF3C" w14:textId="77777777" w:rsidR="00AF5A71" w:rsidRDefault="00AF5A71">
      <w:r>
        <w:separator/>
      </w:r>
    </w:p>
  </w:footnote>
  <w:footnote w:type="continuationSeparator" w:id="0">
    <w:p w14:paraId="125BA719" w14:textId="77777777" w:rsidR="00AF5A71" w:rsidRDefault="00AF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2071EED" w:rsidR="008D72FC" w:rsidRPr="00326DDD" w:rsidRDefault="00CD12A5">
    <w:pPr>
      <w:pStyle w:val="Header"/>
      <w:tabs>
        <w:tab w:val="clear" w:pos="6480"/>
        <w:tab w:val="center" w:pos="4680"/>
        <w:tab w:val="right" w:pos="9360"/>
      </w:tabs>
      <w:rPr>
        <w:bCs/>
      </w:rPr>
    </w:pPr>
    <w:r>
      <w:rPr>
        <w:lang w:eastAsia="zh-CN"/>
      </w:rPr>
      <w:t>July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49660C">
      <w:rPr>
        <w:bCs/>
      </w:rPr>
      <w:t>0410</w:t>
    </w:r>
    <w:r w:rsidR="00335376" w:rsidRPr="00335376">
      <w:rPr>
        <w:bCs/>
      </w:rPr>
      <w:t>-0</w:t>
    </w:r>
    <w:r w:rsidR="00326DDD">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6DDD"/>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BA4"/>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578A1"/>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A71"/>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2FB"/>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79322731">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558389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898222">
      <w:bodyDiv w:val="1"/>
      <w:marLeft w:val="0"/>
      <w:marRight w:val="0"/>
      <w:marTop w:val="0"/>
      <w:marBottom w:val="0"/>
      <w:divBdr>
        <w:top w:val="none" w:sz="0" w:space="0" w:color="auto"/>
        <w:left w:val="none" w:sz="0" w:space="0" w:color="auto"/>
        <w:bottom w:val="none" w:sz="0" w:space="0" w:color="auto"/>
        <w:right w:val="none" w:sz="0" w:space="0" w:color="auto"/>
      </w:divBdr>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8</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2024-07-17T20:56:00Z</dcterms:created>
  <dcterms:modified xsi:type="dcterms:W3CDTF">2024-07-17T20:56:00Z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