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A757E2D" w:rsidR="001861F6" w:rsidRPr="0091497B" w:rsidRDefault="00345D32" w:rsidP="00BA5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E78D6">
              <w:rPr>
                <w:rFonts w:ascii="Times New Roman" w:eastAsia="DejaVu Sans" w:hAnsi="Times New Roman" w:cs="Arial"/>
                <w:b/>
                <w:bCs/>
                <w:kern w:val="1"/>
                <w:sz w:val="24"/>
                <w:szCs w:val="24"/>
                <w:lang w:val="en-US" w:eastAsia="ar-SA"/>
              </w:rPr>
              <w:t>for CID – 102, 110, 111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92618D1"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 Frank Leong (NXP), Dag Wisland, Kristian Granhaug (Novelda)</w:t>
            </w:r>
          </w:p>
          <w:p w14:paraId="557E4FF8" w14:textId="14F9695A" w:rsidR="006425B9" w:rsidRPr="002C7816" w:rsidRDefault="00F95D99" w:rsidP="002E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0EBFF6" w:rsidR="00615A5F" w:rsidRPr="00BB00FA" w:rsidRDefault="00BB00FA" w:rsidP="00BA504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Sensing CIDs – 102, 110, 111</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D3B4C8F" w:rsidR="00343CAB"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841" w:type="dxa"/>
        <w:tblInd w:w="-406" w:type="dxa"/>
        <w:tblLayout w:type="fixed"/>
        <w:tblLook w:val="04A0" w:firstRow="1" w:lastRow="0" w:firstColumn="1" w:lastColumn="0" w:noHBand="0" w:noVBand="1"/>
      </w:tblPr>
      <w:tblGrid>
        <w:gridCol w:w="900"/>
        <w:gridCol w:w="715"/>
        <w:gridCol w:w="540"/>
        <w:gridCol w:w="940"/>
        <w:gridCol w:w="950"/>
        <w:gridCol w:w="1885"/>
        <w:gridCol w:w="1417"/>
        <w:gridCol w:w="992"/>
        <w:gridCol w:w="2502"/>
      </w:tblGrid>
      <w:tr w:rsidR="00BF2ADE" w:rsidRPr="000F5746" w14:paraId="20CA5FAA" w14:textId="6E36B455" w:rsidTr="00BF2ADE">
        <w:trPr>
          <w:trHeight w:val="793"/>
        </w:trPr>
        <w:tc>
          <w:tcPr>
            <w:tcW w:w="900" w:type="dxa"/>
          </w:tcPr>
          <w:p w14:paraId="1FDE264B"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BF2ADE" w:rsidRPr="000F5746" w:rsidRDefault="00BF2ADE" w:rsidP="00484567">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116BC9C5" w14:textId="77777777" w:rsidR="00BF2ADE" w:rsidRPr="000F5746" w:rsidRDefault="00BF2ADE"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50" w:type="dxa"/>
          </w:tcPr>
          <w:p w14:paraId="6F284635" w14:textId="77777777" w:rsidR="00BF2ADE" w:rsidRPr="000F5746" w:rsidRDefault="00BF2ADE" w:rsidP="00484567">
            <w:pPr>
              <w:jc w:val="center"/>
              <w:rPr>
                <w:rFonts w:cs="Arial"/>
                <w:b/>
                <w:bCs/>
                <w:sz w:val="18"/>
                <w:szCs w:val="18"/>
              </w:rPr>
            </w:pPr>
            <w:r w:rsidRPr="000F5746">
              <w:rPr>
                <w:rFonts w:cs="Arial"/>
                <w:b/>
                <w:bCs/>
                <w:sz w:val="18"/>
                <w:szCs w:val="18"/>
              </w:rPr>
              <w:t>Ln</w:t>
            </w:r>
          </w:p>
        </w:tc>
        <w:tc>
          <w:tcPr>
            <w:tcW w:w="1885" w:type="dxa"/>
          </w:tcPr>
          <w:p w14:paraId="771A4F92" w14:textId="77777777" w:rsidR="00BF2ADE" w:rsidRPr="000F5746" w:rsidRDefault="00BF2ADE" w:rsidP="00484567">
            <w:pPr>
              <w:jc w:val="center"/>
              <w:rPr>
                <w:rFonts w:cs="Arial"/>
                <w:b/>
                <w:bCs/>
                <w:sz w:val="18"/>
                <w:szCs w:val="18"/>
              </w:rPr>
            </w:pPr>
            <w:r w:rsidRPr="000F5746">
              <w:rPr>
                <w:rFonts w:cs="Arial"/>
                <w:b/>
                <w:bCs/>
                <w:sz w:val="18"/>
                <w:szCs w:val="18"/>
              </w:rPr>
              <w:t>Comment</w:t>
            </w:r>
          </w:p>
        </w:tc>
        <w:tc>
          <w:tcPr>
            <w:tcW w:w="1417" w:type="dxa"/>
          </w:tcPr>
          <w:p w14:paraId="476B78AB" w14:textId="77777777" w:rsidR="00BF2ADE" w:rsidRPr="000F5746" w:rsidRDefault="00BF2ADE" w:rsidP="00484567">
            <w:pPr>
              <w:jc w:val="center"/>
              <w:rPr>
                <w:rFonts w:cs="Arial"/>
                <w:b/>
                <w:bCs/>
                <w:sz w:val="18"/>
                <w:szCs w:val="18"/>
              </w:rPr>
            </w:pPr>
            <w:r w:rsidRPr="000F5746">
              <w:rPr>
                <w:rFonts w:cs="Arial"/>
                <w:b/>
                <w:bCs/>
                <w:sz w:val="18"/>
                <w:szCs w:val="18"/>
              </w:rPr>
              <w:t>Proposed Change</w:t>
            </w:r>
          </w:p>
        </w:tc>
        <w:tc>
          <w:tcPr>
            <w:tcW w:w="992" w:type="dxa"/>
          </w:tcPr>
          <w:p w14:paraId="01010FDE" w14:textId="77777777" w:rsidR="00BF2ADE" w:rsidRPr="000F5746" w:rsidRDefault="00BF2ADE" w:rsidP="00484567">
            <w:pPr>
              <w:jc w:val="center"/>
              <w:rPr>
                <w:rFonts w:cs="Arial"/>
                <w:b/>
                <w:bCs/>
                <w:sz w:val="18"/>
                <w:szCs w:val="18"/>
              </w:rPr>
            </w:pPr>
            <w:r w:rsidRPr="000F5746">
              <w:rPr>
                <w:rFonts w:cs="Arial"/>
                <w:b/>
                <w:bCs/>
                <w:sz w:val="18"/>
                <w:szCs w:val="18"/>
              </w:rPr>
              <w:t>Disposition</w:t>
            </w:r>
          </w:p>
        </w:tc>
        <w:tc>
          <w:tcPr>
            <w:tcW w:w="2502" w:type="dxa"/>
          </w:tcPr>
          <w:p w14:paraId="43B11E02" w14:textId="6775D912" w:rsidR="00BF2ADE" w:rsidRPr="000F5746" w:rsidRDefault="00BF2ADE" w:rsidP="00484567">
            <w:pPr>
              <w:jc w:val="center"/>
              <w:rPr>
                <w:rFonts w:cs="Arial"/>
                <w:b/>
                <w:bCs/>
                <w:sz w:val="18"/>
                <w:szCs w:val="18"/>
              </w:rPr>
            </w:pPr>
            <w:r>
              <w:rPr>
                <w:rFonts w:cs="Arial"/>
                <w:b/>
                <w:bCs/>
                <w:sz w:val="18"/>
                <w:szCs w:val="18"/>
              </w:rPr>
              <w:t>Disposition detail</w:t>
            </w:r>
          </w:p>
        </w:tc>
      </w:tr>
      <w:tr w:rsidR="00BF2ADE" w:rsidRPr="000F5746" w14:paraId="4D155A39" w14:textId="7CD919C0" w:rsidTr="00BF2ADE">
        <w:tc>
          <w:tcPr>
            <w:tcW w:w="900" w:type="dxa"/>
          </w:tcPr>
          <w:p w14:paraId="0EC4B017" w14:textId="1C58F870" w:rsidR="00BF2ADE" w:rsidRPr="000F5746" w:rsidRDefault="00BF2ADE" w:rsidP="00A149AA">
            <w:pPr>
              <w:spacing w:after="0" w:line="240" w:lineRule="auto"/>
              <w:jc w:val="center"/>
              <w:rPr>
                <w:rFonts w:cs="Arial"/>
                <w:sz w:val="18"/>
                <w:szCs w:val="18"/>
              </w:rPr>
            </w:pPr>
            <w:r>
              <w:t>Pooria Pakrooh</w:t>
            </w:r>
          </w:p>
        </w:tc>
        <w:tc>
          <w:tcPr>
            <w:tcW w:w="715" w:type="dxa"/>
          </w:tcPr>
          <w:p w14:paraId="2AA40B3B" w14:textId="019390D3" w:rsidR="00BF2ADE" w:rsidRPr="000F5746" w:rsidRDefault="00BF2ADE" w:rsidP="00A149AA">
            <w:pPr>
              <w:spacing w:after="0" w:line="240" w:lineRule="auto"/>
              <w:jc w:val="center"/>
              <w:rPr>
                <w:rFonts w:cs="Arial"/>
                <w:sz w:val="18"/>
                <w:szCs w:val="18"/>
              </w:rPr>
            </w:pPr>
            <w:r>
              <w:t>102</w:t>
            </w:r>
          </w:p>
        </w:tc>
        <w:tc>
          <w:tcPr>
            <w:tcW w:w="540" w:type="dxa"/>
          </w:tcPr>
          <w:p w14:paraId="724FA059" w14:textId="510C0A55" w:rsidR="00BF2ADE" w:rsidRPr="000F5746" w:rsidRDefault="00BF2ADE" w:rsidP="00A149AA">
            <w:pPr>
              <w:spacing w:after="0" w:line="240" w:lineRule="auto"/>
              <w:jc w:val="center"/>
              <w:rPr>
                <w:rFonts w:cs="Arial"/>
                <w:color w:val="000000"/>
                <w:sz w:val="18"/>
                <w:szCs w:val="18"/>
              </w:rPr>
            </w:pPr>
            <w:r>
              <w:t>123</w:t>
            </w:r>
          </w:p>
        </w:tc>
        <w:tc>
          <w:tcPr>
            <w:tcW w:w="940" w:type="dxa"/>
          </w:tcPr>
          <w:p w14:paraId="73C76A95" w14:textId="7ED2162F" w:rsidR="00BF2ADE" w:rsidRPr="000F5746" w:rsidRDefault="00BF2ADE" w:rsidP="00BF2ADE">
            <w:pPr>
              <w:spacing w:after="0" w:line="240" w:lineRule="auto"/>
              <w:rPr>
                <w:rFonts w:cs="Arial"/>
                <w:sz w:val="18"/>
                <w:szCs w:val="18"/>
              </w:rPr>
            </w:pPr>
            <w:r>
              <w:t>10.39.7.1</w:t>
            </w:r>
          </w:p>
        </w:tc>
        <w:tc>
          <w:tcPr>
            <w:tcW w:w="950" w:type="dxa"/>
          </w:tcPr>
          <w:p w14:paraId="4450BC1B" w14:textId="3ACEFEFF" w:rsidR="00BF2ADE" w:rsidRPr="000F5746" w:rsidRDefault="00BF2ADE" w:rsidP="00A149AA">
            <w:pPr>
              <w:spacing w:after="0" w:line="240" w:lineRule="auto"/>
              <w:jc w:val="center"/>
              <w:rPr>
                <w:rFonts w:cs="Arial"/>
                <w:sz w:val="18"/>
                <w:szCs w:val="18"/>
              </w:rPr>
            </w:pPr>
            <w:r>
              <w:t>20</w:t>
            </w:r>
          </w:p>
        </w:tc>
        <w:tc>
          <w:tcPr>
            <w:tcW w:w="1885" w:type="dxa"/>
          </w:tcPr>
          <w:p w14:paraId="51F6BEC0"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684D39E3" w14:textId="49944302" w:rsidR="00BF2ADE" w:rsidRPr="00BF2ADE" w:rsidRDefault="00BF2ADE" w:rsidP="00A149AA">
            <w:pPr>
              <w:spacing w:after="0" w:line="240" w:lineRule="auto"/>
              <w:jc w:val="left"/>
              <w:rPr>
                <w:rFonts w:cs="Arial"/>
                <w:sz w:val="18"/>
                <w:szCs w:val="18"/>
                <w:lang w:val="en-IN"/>
              </w:rPr>
            </w:pPr>
          </w:p>
        </w:tc>
        <w:tc>
          <w:tcPr>
            <w:tcW w:w="1417" w:type="dxa"/>
          </w:tcPr>
          <w:p w14:paraId="61339F4C" w14:textId="77777777" w:rsidR="00BF2ADE" w:rsidRDefault="00BF2ADE" w:rsidP="00BF2ADE">
            <w:pPr>
              <w:spacing w:after="0" w:line="240" w:lineRule="auto"/>
              <w:jc w:val="left"/>
              <w:rPr>
                <w:rFonts w:cs="Arial"/>
                <w:color w:val="000000"/>
                <w:lang w:val="en-IN"/>
              </w:rPr>
            </w:pPr>
            <w:r>
              <w:rPr>
                <w:rFonts w:cs="Arial"/>
                <w:color w:val="000000"/>
              </w:rPr>
              <w:t>Change to: "The Receiver Orientation field value when one is requesting a report of the receiver orientation in terms of roll, pitch and yaw."</w:t>
            </w:r>
          </w:p>
          <w:p w14:paraId="75B2B0BF" w14:textId="03ACD842" w:rsidR="00BF2ADE" w:rsidRPr="00BF2ADE" w:rsidRDefault="00BF2ADE" w:rsidP="00A149AA">
            <w:pPr>
              <w:spacing w:after="0" w:line="240" w:lineRule="auto"/>
              <w:jc w:val="left"/>
              <w:rPr>
                <w:rFonts w:cs="Arial"/>
                <w:sz w:val="18"/>
                <w:szCs w:val="18"/>
                <w:lang w:val="en-IN"/>
              </w:rPr>
            </w:pPr>
          </w:p>
        </w:tc>
        <w:tc>
          <w:tcPr>
            <w:tcW w:w="992" w:type="dxa"/>
          </w:tcPr>
          <w:p w14:paraId="6333962E" w14:textId="0F031E8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7D74A42B"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proposed terminology is used more in airborne radar/satellite not common to use cases for UWB.</w:t>
            </w:r>
          </w:p>
          <w:p w14:paraId="2FBDD196" w14:textId="77777777" w:rsidR="00BF2ADE" w:rsidRPr="00BF2ADE" w:rsidRDefault="00BF2ADE" w:rsidP="00A149AA">
            <w:pPr>
              <w:spacing w:after="0" w:line="240" w:lineRule="auto"/>
              <w:jc w:val="center"/>
              <w:rPr>
                <w:rFonts w:cs="Arial"/>
                <w:sz w:val="18"/>
                <w:szCs w:val="18"/>
                <w:lang w:val="en-IN"/>
              </w:rPr>
            </w:pPr>
          </w:p>
        </w:tc>
      </w:tr>
      <w:tr w:rsidR="00BF2ADE" w:rsidRPr="000F5746" w14:paraId="54D88A31" w14:textId="201E44A1" w:rsidTr="00BF2ADE">
        <w:tc>
          <w:tcPr>
            <w:tcW w:w="900" w:type="dxa"/>
          </w:tcPr>
          <w:p w14:paraId="47330BAE" w14:textId="351E0A80" w:rsidR="00BF2ADE" w:rsidRPr="000F5746" w:rsidRDefault="00BF2ADE" w:rsidP="00A149AA">
            <w:pPr>
              <w:spacing w:after="0" w:line="240" w:lineRule="auto"/>
              <w:jc w:val="center"/>
              <w:rPr>
                <w:rFonts w:cs="Arial"/>
                <w:sz w:val="18"/>
                <w:szCs w:val="18"/>
              </w:rPr>
            </w:pPr>
            <w:r>
              <w:t>Pooria Pakrooh</w:t>
            </w:r>
          </w:p>
        </w:tc>
        <w:tc>
          <w:tcPr>
            <w:tcW w:w="715" w:type="dxa"/>
          </w:tcPr>
          <w:p w14:paraId="0C53FD49" w14:textId="6E8AA374" w:rsidR="00BF2ADE" w:rsidRPr="000F5746" w:rsidRDefault="00BF2ADE" w:rsidP="00A149AA">
            <w:pPr>
              <w:spacing w:after="0" w:line="240" w:lineRule="auto"/>
              <w:jc w:val="center"/>
              <w:rPr>
                <w:rFonts w:cs="Arial"/>
                <w:sz w:val="18"/>
                <w:szCs w:val="18"/>
              </w:rPr>
            </w:pPr>
            <w:r>
              <w:t>110</w:t>
            </w:r>
          </w:p>
        </w:tc>
        <w:tc>
          <w:tcPr>
            <w:tcW w:w="540" w:type="dxa"/>
          </w:tcPr>
          <w:p w14:paraId="0D28A2A7" w14:textId="73BC4BA8" w:rsidR="00BF2ADE" w:rsidRPr="000F5746" w:rsidRDefault="00BF2ADE" w:rsidP="00A149AA">
            <w:pPr>
              <w:spacing w:after="0" w:line="240" w:lineRule="auto"/>
              <w:jc w:val="center"/>
              <w:rPr>
                <w:rFonts w:cs="Arial"/>
                <w:color w:val="000000"/>
                <w:sz w:val="18"/>
                <w:szCs w:val="18"/>
              </w:rPr>
            </w:pPr>
            <w:r>
              <w:t>132</w:t>
            </w:r>
          </w:p>
        </w:tc>
        <w:tc>
          <w:tcPr>
            <w:tcW w:w="940" w:type="dxa"/>
          </w:tcPr>
          <w:p w14:paraId="6AF49EEE" w14:textId="24D660A4" w:rsidR="00BF2ADE" w:rsidRPr="000F5746" w:rsidRDefault="00BF2ADE" w:rsidP="00A149AA">
            <w:pPr>
              <w:spacing w:after="0" w:line="240" w:lineRule="auto"/>
              <w:jc w:val="center"/>
              <w:rPr>
                <w:rFonts w:cs="Arial"/>
                <w:sz w:val="18"/>
                <w:szCs w:val="18"/>
              </w:rPr>
            </w:pPr>
            <w:r>
              <w:t>10.39.7.6</w:t>
            </w:r>
          </w:p>
        </w:tc>
        <w:tc>
          <w:tcPr>
            <w:tcW w:w="950" w:type="dxa"/>
          </w:tcPr>
          <w:p w14:paraId="45820E7E" w14:textId="7479C5A4" w:rsidR="00BF2ADE" w:rsidRPr="000F5746" w:rsidRDefault="00BF2ADE" w:rsidP="00A149AA">
            <w:pPr>
              <w:spacing w:after="0" w:line="240" w:lineRule="auto"/>
              <w:jc w:val="center"/>
              <w:rPr>
                <w:rFonts w:cs="Arial"/>
                <w:sz w:val="18"/>
                <w:szCs w:val="18"/>
              </w:rPr>
            </w:pPr>
            <w:r>
              <w:t>18</w:t>
            </w:r>
          </w:p>
        </w:tc>
        <w:tc>
          <w:tcPr>
            <w:tcW w:w="1885" w:type="dxa"/>
          </w:tcPr>
          <w:p w14:paraId="0069091F" w14:textId="77777777" w:rsidR="00BF2ADE" w:rsidRDefault="00BF2ADE" w:rsidP="00BF2ADE">
            <w:pPr>
              <w:spacing w:after="0" w:line="240" w:lineRule="auto"/>
              <w:jc w:val="left"/>
              <w:rPr>
                <w:rFonts w:cs="Arial"/>
                <w:color w:val="000000"/>
                <w:lang w:val="en-IN"/>
              </w:rPr>
            </w:pPr>
            <w:r>
              <w:rPr>
                <w:rFonts w:cs="Arial"/>
                <w:color w:val="000000"/>
              </w:rPr>
              <w:t>Receiver orientation should be based on its rotation around each axis: Roll, Pitch and Yaw.</w:t>
            </w:r>
          </w:p>
          <w:p w14:paraId="2972BF55" w14:textId="4D2DCB28" w:rsidR="00BF2ADE" w:rsidRPr="00BF2ADE" w:rsidRDefault="00BF2ADE" w:rsidP="00A149AA">
            <w:pPr>
              <w:spacing w:after="0" w:line="240" w:lineRule="auto"/>
              <w:jc w:val="left"/>
              <w:rPr>
                <w:rFonts w:cs="Arial"/>
                <w:sz w:val="18"/>
                <w:szCs w:val="18"/>
                <w:lang w:val="en-IN"/>
              </w:rPr>
            </w:pPr>
          </w:p>
        </w:tc>
        <w:tc>
          <w:tcPr>
            <w:tcW w:w="1417" w:type="dxa"/>
          </w:tcPr>
          <w:p w14:paraId="7484B3FF" w14:textId="77777777" w:rsidR="00BF2ADE" w:rsidRDefault="00BF2ADE" w:rsidP="00BF2ADE">
            <w:pPr>
              <w:spacing w:after="0" w:line="240" w:lineRule="auto"/>
              <w:jc w:val="left"/>
              <w:rPr>
                <w:rFonts w:cs="Arial"/>
                <w:color w:val="000000"/>
                <w:lang w:val="en-IN"/>
              </w:rPr>
            </w:pPr>
            <w:r>
              <w:rPr>
                <w:rFonts w:cs="Arial"/>
                <w:color w:val="000000"/>
              </w:rPr>
              <w:t>Change the fields "Receiver orientation Azimuth/Elevation/Rotation (3 octets)" to "Receiver orientation: Roll/Pitch/Yaw (3 Bytes)"</w:t>
            </w:r>
          </w:p>
          <w:p w14:paraId="3222E544" w14:textId="4F69B20C" w:rsidR="00BF2ADE" w:rsidRPr="00BF2ADE" w:rsidRDefault="00BF2ADE" w:rsidP="00A149AA">
            <w:pPr>
              <w:spacing w:after="0" w:line="240" w:lineRule="auto"/>
              <w:jc w:val="left"/>
              <w:rPr>
                <w:rFonts w:cs="Arial"/>
                <w:sz w:val="18"/>
                <w:szCs w:val="18"/>
                <w:lang w:val="en-IN"/>
              </w:rPr>
            </w:pPr>
          </w:p>
        </w:tc>
        <w:tc>
          <w:tcPr>
            <w:tcW w:w="992" w:type="dxa"/>
          </w:tcPr>
          <w:p w14:paraId="7FC21CD1" w14:textId="3456E0C2" w:rsidR="00BF2ADE" w:rsidRPr="000F5746" w:rsidRDefault="00BF2ADE" w:rsidP="00A149AA">
            <w:pPr>
              <w:spacing w:after="0" w:line="240" w:lineRule="auto"/>
              <w:jc w:val="center"/>
              <w:rPr>
                <w:rFonts w:cs="Arial"/>
                <w:sz w:val="18"/>
                <w:szCs w:val="18"/>
              </w:rPr>
            </w:pPr>
            <w:r>
              <w:rPr>
                <w:rFonts w:cs="Arial"/>
                <w:sz w:val="18"/>
                <w:szCs w:val="18"/>
              </w:rPr>
              <w:t>Rejected</w:t>
            </w:r>
          </w:p>
        </w:tc>
        <w:tc>
          <w:tcPr>
            <w:tcW w:w="2502" w:type="dxa"/>
          </w:tcPr>
          <w:p w14:paraId="3D6EA05D" w14:textId="77777777" w:rsidR="00BF2ADE" w:rsidRDefault="00BF2ADE" w:rsidP="00BF2ADE">
            <w:pPr>
              <w:spacing w:after="0" w:line="240" w:lineRule="auto"/>
              <w:jc w:val="center"/>
              <w:rPr>
                <w:rFonts w:cs="Arial"/>
                <w:color w:val="000000"/>
                <w:lang w:val="en-IN"/>
              </w:rPr>
            </w:pPr>
            <w:r>
              <w:rPr>
                <w:rFonts w:cs="Arial"/>
                <w:color w:val="000000"/>
              </w:rPr>
              <w:t>Keep the terminology in line with terminology used for AOA in 4z with transmitter as reference point. The measurements are relative to transmitter as mentioned in the description for Figure 153</w:t>
            </w:r>
          </w:p>
          <w:p w14:paraId="443BA5DC" w14:textId="77777777" w:rsidR="00BF2ADE" w:rsidRPr="00BF2ADE" w:rsidRDefault="00BF2ADE" w:rsidP="00A149AA">
            <w:pPr>
              <w:spacing w:after="0" w:line="240" w:lineRule="auto"/>
              <w:jc w:val="center"/>
              <w:rPr>
                <w:rFonts w:cs="Arial"/>
                <w:sz w:val="18"/>
                <w:szCs w:val="18"/>
                <w:lang w:val="en-IN"/>
              </w:rPr>
            </w:pPr>
          </w:p>
        </w:tc>
      </w:tr>
      <w:tr w:rsidR="00236B70" w:rsidRPr="000F5746" w14:paraId="61E1C730" w14:textId="77777777" w:rsidTr="00BF2ADE">
        <w:tc>
          <w:tcPr>
            <w:tcW w:w="900" w:type="dxa"/>
          </w:tcPr>
          <w:p w14:paraId="105B1FD0" w14:textId="01F14C60" w:rsidR="00236B70" w:rsidRDefault="00236B70" w:rsidP="002337FB">
            <w:pPr>
              <w:spacing w:after="0" w:line="240" w:lineRule="auto"/>
              <w:jc w:val="center"/>
            </w:pPr>
            <w:r>
              <w:t>Pooria Pakrooh</w:t>
            </w:r>
          </w:p>
        </w:tc>
        <w:tc>
          <w:tcPr>
            <w:tcW w:w="715" w:type="dxa"/>
          </w:tcPr>
          <w:p w14:paraId="12E02650" w14:textId="65D6897B" w:rsidR="00236B70" w:rsidRDefault="00236B70" w:rsidP="002337FB">
            <w:pPr>
              <w:spacing w:after="0" w:line="240" w:lineRule="auto"/>
              <w:jc w:val="center"/>
            </w:pPr>
            <w:r>
              <w:t>111</w:t>
            </w:r>
          </w:p>
        </w:tc>
        <w:tc>
          <w:tcPr>
            <w:tcW w:w="540" w:type="dxa"/>
          </w:tcPr>
          <w:p w14:paraId="3C2A83EF" w14:textId="14EF3EA5" w:rsidR="00236B70" w:rsidRDefault="00236B70" w:rsidP="002337FB">
            <w:pPr>
              <w:spacing w:after="0" w:line="240" w:lineRule="auto"/>
              <w:jc w:val="center"/>
            </w:pPr>
            <w:r>
              <w:t>133</w:t>
            </w:r>
          </w:p>
        </w:tc>
        <w:tc>
          <w:tcPr>
            <w:tcW w:w="940" w:type="dxa"/>
          </w:tcPr>
          <w:p w14:paraId="46143C7E" w14:textId="6A2BBA13" w:rsidR="00236B70" w:rsidRDefault="00236B70" w:rsidP="002337FB">
            <w:pPr>
              <w:spacing w:after="0" w:line="240" w:lineRule="auto"/>
              <w:jc w:val="center"/>
            </w:pPr>
            <w:r>
              <w:t>10.39.7.6</w:t>
            </w:r>
          </w:p>
        </w:tc>
        <w:tc>
          <w:tcPr>
            <w:tcW w:w="950" w:type="dxa"/>
          </w:tcPr>
          <w:p w14:paraId="1161915B" w14:textId="6A473F1B" w:rsidR="00236B70" w:rsidRDefault="00236B70" w:rsidP="002337FB">
            <w:pPr>
              <w:spacing w:after="0" w:line="240" w:lineRule="auto"/>
              <w:jc w:val="center"/>
            </w:pPr>
            <w:r>
              <w:t>27</w:t>
            </w:r>
          </w:p>
        </w:tc>
        <w:tc>
          <w:tcPr>
            <w:tcW w:w="1885" w:type="dxa"/>
          </w:tcPr>
          <w:tbl>
            <w:tblPr>
              <w:tblW w:w="998" w:type="dxa"/>
              <w:tblLayout w:type="fixed"/>
              <w:tblLook w:val="04A0" w:firstRow="1" w:lastRow="0" w:firstColumn="1" w:lastColumn="0" w:noHBand="0" w:noVBand="1"/>
            </w:tblPr>
            <w:tblGrid>
              <w:gridCol w:w="998"/>
            </w:tblGrid>
            <w:tr w:rsidR="00236B70" w:rsidRPr="00236B70" w14:paraId="187172CF" w14:textId="77777777" w:rsidTr="00236B70">
              <w:trPr>
                <w:trHeight w:val="1250"/>
              </w:trPr>
              <w:tc>
                <w:tcPr>
                  <w:tcW w:w="998" w:type="dxa"/>
                  <w:vMerge w:val="restart"/>
                  <w:tcBorders>
                    <w:top w:val="nil"/>
                    <w:left w:val="nil"/>
                    <w:bottom w:val="nil"/>
                    <w:right w:val="nil"/>
                  </w:tcBorders>
                  <w:shd w:val="clear" w:color="auto" w:fill="auto"/>
                  <w:hideMark/>
                </w:tcPr>
                <w:p w14:paraId="741D05B9" w14:textId="77777777" w:rsidR="00236B70" w:rsidRPr="00236B70" w:rsidRDefault="00236B70" w:rsidP="00236B70">
                  <w:pPr>
                    <w:spacing w:after="0" w:line="240" w:lineRule="auto"/>
                    <w:jc w:val="left"/>
                    <w:rPr>
                      <w:rFonts w:cs="Arial"/>
                      <w:color w:val="000000"/>
                      <w:lang w:val="en-IN" w:eastAsia="ko-KR"/>
                    </w:rPr>
                  </w:pPr>
                  <w:r w:rsidRPr="00236B70">
                    <w:rPr>
                      <w:rFonts w:cs="Arial"/>
                      <w:color w:val="000000"/>
                      <w:lang w:val="en-IN" w:eastAsia="ko-KR"/>
                    </w:rPr>
                    <w:t>Make the description clear and edit the typos.</w:t>
                  </w:r>
                </w:p>
              </w:tc>
            </w:tr>
            <w:tr w:rsidR="00236B70" w:rsidRPr="00236B70" w14:paraId="7ADC72C1" w14:textId="77777777" w:rsidTr="00236B70">
              <w:trPr>
                <w:trHeight w:val="3250"/>
              </w:trPr>
              <w:tc>
                <w:tcPr>
                  <w:tcW w:w="998" w:type="dxa"/>
                  <w:vMerge/>
                  <w:tcBorders>
                    <w:top w:val="nil"/>
                    <w:left w:val="nil"/>
                    <w:bottom w:val="nil"/>
                    <w:right w:val="nil"/>
                  </w:tcBorders>
                  <w:vAlign w:val="center"/>
                  <w:hideMark/>
                </w:tcPr>
                <w:p w14:paraId="534E388E" w14:textId="77777777" w:rsidR="00236B70" w:rsidRPr="00236B70" w:rsidRDefault="00236B70" w:rsidP="00236B70">
                  <w:pPr>
                    <w:spacing w:after="0" w:line="240" w:lineRule="auto"/>
                    <w:jc w:val="left"/>
                    <w:rPr>
                      <w:rFonts w:cs="Arial"/>
                      <w:color w:val="000000"/>
                      <w:lang w:val="en-IN" w:eastAsia="ko-KR"/>
                    </w:rPr>
                  </w:pPr>
                </w:p>
              </w:tc>
            </w:tr>
          </w:tbl>
          <w:p w14:paraId="671212E4" w14:textId="77777777" w:rsidR="00236B70" w:rsidRPr="00236B70" w:rsidRDefault="00236B70" w:rsidP="00236B70">
            <w:pPr>
              <w:spacing w:after="0" w:line="240" w:lineRule="auto"/>
              <w:jc w:val="left"/>
              <w:rPr>
                <w:rFonts w:cs="Arial"/>
                <w:color w:val="000000"/>
                <w:lang w:val="en-IN"/>
              </w:rPr>
            </w:pPr>
          </w:p>
        </w:tc>
        <w:tc>
          <w:tcPr>
            <w:tcW w:w="1417" w:type="dxa"/>
          </w:tcPr>
          <w:p w14:paraId="5949BA69" w14:textId="0EEB5E6B" w:rsidR="00236B70" w:rsidRDefault="00236B70" w:rsidP="00236B70">
            <w:pPr>
              <w:spacing w:after="0" w:line="240" w:lineRule="auto"/>
              <w:jc w:val="left"/>
              <w:rPr>
                <w:rFonts w:cs="Arial"/>
                <w:color w:val="000000"/>
                <w:lang w:val="en-IN"/>
              </w:rPr>
            </w:pPr>
            <w:r>
              <w:rPr>
                <w:rFonts w:cs="Arial"/>
                <w:color w:val="000000"/>
              </w:rPr>
              <w:t>Change to:" An example for the span</w:t>
            </w:r>
            <w:r w:rsidR="007E402B">
              <w:rPr>
                <w:rFonts w:cs="Arial"/>
                <w:color w:val="000000"/>
              </w:rPr>
              <w:t xml:space="preserve"> </w:t>
            </w:r>
            <w:r w:rsidR="007E402B" w:rsidRPr="007E402B">
              <w:rPr>
                <w:rFonts w:cs="Arial"/>
                <w:color w:val="000000"/>
              </w:rPr>
              <w:t>report is to include the span of taps with amplitude larger than 10% of peak amplitude of the CIR Taps."</w:t>
            </w:r>
          </w:p>
          <w:p w14:paraId="3B6BB5EE" w14:textId="77777777" w:rsidR="00236B70" w:rsidRPr="00236B70" w:rsidRDefault="00236B70" w:rsidP="00236B70">
            <w:pPr>
              <w:spacing w:after="0" w:line="240" w:lineRule="auto"/>
              <w:jc w:val="left"/>
              <w:rPr>
                <w:rFonts w:cs="Arial"/>
                <w:color w:val="000000"/>
                <w:lang w:val="en-IN"/>
              </w:rPr>
            </w:pPr>
          </w:p>
        </w:tc>
        <w:tc>
          <w:tcPr>
            <w:tcW w:w="992" w:type="dxa"/>
          </w:tcPr>
          <w:p w14:paraId="2E2F4407" w14:textId="26703A7F" w:rsidR="00236B70" w:rsidRDefault="00236B70" w:rsidP="002337FB">
            <w:pPr>
              <w:spacing w:after="0" w:line="240" w:lineRule="auto"/>
              <w:jc w:val="center"/>
              <w:rPr>
                <w:rFonts w:cs="Arial"/>
                <w:sz w:val="18"/>
                <w:szCs w:val="18"/>
              </w:rPr>
            </w:pPr>
            <w:r>
              <w:rPr>
                <w:rFonts w:cs="Arial"/>
                <w:sz w:val="18"/>
                <w:szCs w:val="18"/>
              </w:rPr>
              <w:t>Accepted</w:t>
            </w:r>
          </w:p>
        </w:tc>
        <w:tc>
          <w:tcPr>
            <w:tcW w:w="2502" w:type="dxa"/>
          </w:tcPr>
          <w:p w14:paraId="66518ED7" w14:textId="4D635A3E" w:rsidR="00236B70" w:rsidRDefault="007E402B" w:rsidP="00236B70">
            <w:pPr>
              <w:spacing w:after="0" w:line="240" w:lineRule="auto"/>
              <w:jc w:val="center"/>
              <w:rPr>
                <w:rFonts w:cs="Arial"/>
                <w:color w:val="000000"/>
              </w:rPr>
            </w:pPr>
            <w:r w:rsidRPr="007E402B">
              <w:rPr>
                <w:rFonts w:cs="Arial"/>
                <w:color w:val="000000"/>
              </w:rPr>
              <w:t xml:space="preserve">Text </w:t>
            </w:r>
            <w:r>
              <w:rPr>
                <w:rFonts w:cs="Arial"/>
                <w:color w:val="000000"/>
              </w:rPr>
              <w:t>to be updated as per proposed change</w:t>
            </w:r>
          </w:p>
        </w:tc>
      </w:tr>
    </w:tbl>
    <w:p w14:paraId="2EB05A73" w14:textId="77777777" w:rsidR="00A149AA" w:rsidRDefault="00A149AA" w:rsidP="00A149AA">
      <w:pPr>
        <w:rPr>
          <w:b/>
          <w:bCs/>
          <w:i/>
          <w:color w:val="4F81BD" w:themeColor="accent1"/>
        </w:rPr>
      </w:pPr>
    </w:p>
    <w:p w14:paraId="4345C5D4" w14:textId="6B4945B0" w:rsidR="00F7777A" w:rsidRDefault="00FE2E47"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p>
    <w:p w14:paraId="736B7ED8" w14:textId="77777777" w:rsidR="00D15035" w:rsidRDefault="00FE2E47"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For comments 102,110 – </w:t>
      </w:r>
      <w:r w:rsidR="008A1CD9">
        <w:rPr>
          <w:rFonts w:asciiTheme="minorHAnsi" w:eastAsiaTheme="minorEastAsia" w:hAnsiTheme="minorHAnsi" w:cstheme="minorHAnsi"/>
          <w:bCs/>
          <w:lang w:eastAsia="zh-CN"/>
        </w:rPr>
        <w:t>Comment</w:t>
      </w:r>
      <w:r>
        <w:rPr>
          <w:rFonts w:asciiTheme="minorHAnsi" w:eastAsiaTheme="minorEastAsia" w:hAnsiTheme="minorHAnsi" w:cstheme="minorHAnsi"/>
          <w:bCs/>
          <w:lang w:eastAsia="zh-CN"/>
        </w:rPr>
        <w:t xml:space="preserve">  by Pooria that Azimuth, elevation and rotation instead of pitch, roll and yaw may be technically incorrect.</w:t>
      </w:r>
      <w:r w:rsidR="00BA504F">
        <w:rPr>
          <w:rFonts w:asciiTheme="minorHAnsi" w:eastAsiaTheme="minorEastAsia" w:hAnsiTheme="minorHAnsi" w:cstheme="minorHAnsi"/>
          <w:bCs/>
          <w:lang w:eastAsia="zh-CN"/>
        </w:rPr>
        <w:t xml:space="preserve"> </w:t>
      </w:r>
    </w:p>
    <w:p w14:paraId="7503745C" w14:textId="7C03D51C" w:rsidR="00FE2E47" w:rsidRDefault="00D15035"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Authors comment - Azimuth, Elevation and Rotation representation is used for orientation representation and is </w:t>
      </w:r>
      <w:r w:rsidR="007626D8">
        <w:rPr>
          <w:rFonts w:asciiTheme="minorHAnsi" w:eastAsiaTheme="minorEastAsia" w:hAnsiTheme="minorHAnsi" w:cstheme="minorHAnsi"/>
          <w:bCs/>
          <w:lang w:eastAsia="zh-CN"/>
        </w:rPr>
        <w:t xml:space="preserve">also </w:t>
      </w:r>
      <w:r>
        <w:rPr>
          <w:rFonts w:asciiTheme="minorHAnsi" w:eastAsiaTheme="minorEastAsia" w:hAnsiTheme="minorHAnsi" w:cstheme="minorHAnsi"/>
          <w:bCs/>
          <w:lang w:eastAsia="zh-CN"/>
        </w:rPr>
        <w:t xml:space="preserve">technically correct. </w:t>
      </w:r>
    </w:p>
    <w:p w14:paraId="3A138091" w14:textId="27B8CEA0" w:rsidR="00E36EDB" w:rsidRPr="00FE2E47" w:rsidRDefault="00E36EDB"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lastRenderedPageBreak/>
        <w:t>Further discussion – Reject the comment, keep the orientation as is. Note that the parameters are for receiver orientation and would be updated if any changes are required in next draft revision.</w:t>
      </w:r>
    </w:p>
    <w:p w14:paraId="3DA10863" w14:textId="77777777"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1B9F1A0B" w14:textId="3EEF0501" w:rsidR="00F7777A" w:rsidRDefault="00F7777A" w:rsidP="00F7777A">
      <w:pPr>
        <w:rPr>
          <w:rFonts w:asciiTheme="minorHAnsi" w:eastAsiaTheme="minorEastAsia" w:hAnsiTheme="minorHAnsi" w:cstheme="minorHAnsi"/>
          <w:b/>
          <w:bCs/>
          <w:lang w:eastAsia="zh-CN"/>
        </w:rPr>
      </w:pPr>
      <w:r w:rsidRPr="007E402B">
        <w:rPr>
          <w:rFonts w:asciiTheme="minorHAnsi" w:eastAsiaTheme="minorEastAsia" w:hAnsiTheme="minorHAnsi" w:cstheme="minorHAnsi"/>
          <w:b/>
          <w:bCs/>
          <w:lang w:eastAsia="zh-CN"/>
        </w:rPr>
        <w:t xml:space="preserve">For CID </w:t>
      </w:r>
      <w:r>
        <w:rPr>
          <w:rFonts w:asciiTheme="minorHAnsi" w:eastAsiaTheme="minorEastAsia" w:hAnsiTheme="minorHAnsi" w:cstheme="minorHAnsi"/>
          <w:b/>
          <w:bCs/>
          <w:lang w:eastAsia="zh-CN"/>
        </w:rPr>
        <w:t>111</w:t>
      </w:r>
    </w:p>
    <w:p w14:paraId="41B6C999" w14:textId="16F0B421" w:rsidR="00F7777A" w:rsidRDefault="00F7777A" w:rsidP="00F7777A">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133, line 27</w:t>
      </w:r>
    </w:p>
    <w:p w14:paraId="3B635C21" w14:textId="382BA464" w:rsidR="00F7777A" w:rsidRDefault="00F7777A" w:rsidP="00F7777A">
      <w:pPr>
        <w:rPr>
          <w:rFonts w:cs="Arial"/>
          <w:color w:val="000000"/>
        </w:rPr>
      </w:pPr>
      <w:r>
        <w:t>The Delay Span field is an 8-bit per target information about the delay span for the target.</w:t>
      </w:r>
      <w:r w:rsidRPr="00F7777A">
        <w:rPr>
          <w:strike/>
        </w:rPr>
        <w:t xml:space="preserve"> </w:t>
      </w:r>
      <w:r w:rsidRPr="00F7777A">
        <w:rPr>
          <w:strike/>
          <w:highlight w:val="yellow"/>
        </w:rPr>
        <w:t xml:space="preserve">An example filter </w:t>
      </w:r>
      <w:r w:rsidRPr="00F7777A">
        <w:rPr>
          <w:strike/>
          <w:sz w:val="23"/>
          <w:szCs w:val="23"/>
          <w:highlight w:val="yellow"/>
        </w:rPr>
        <w:t xml:space="preserve">27 </w:t>
      </w:r>
      <w:r w:rsidRPr="00F7777A">
        <w:rPr>
          <w:strike/>
          <w:highlight w:val="yellow"/>
        </w:rPr>
        <w:t xml:space="preserve">for delay span calculation would be 10% of the peak amplitude of the CIR taps. </w:t>
      </w:r>
      <w:r w:rsidRPr="00F7777A">
        <w:rPr>
          <w:rFonts w:cs="Arial"/>
          <w:color w:val="000000"/>
          <w:highlight w:val="yellow"/>
        </w:rPr>
        <w:t xml:space="preserve">An example for the span report is to include the span of taps with amplitude larger than 10% of peak </w:t>
      </w:r>
      <w:r w:rsidR="00C17BAB">
        <w:rPr>
          <w:rFonts w:cs="Arial"/>
          <w:color w:val="000000"/>
          <w:highlight w:val="yellow"/>
        </w:rPr>
        <w:t>magnitude</w:t>
      </w:r>
      <w:r w:rsidRPr="00F7777A">
        <w:rPr>
          <w:rFonts w:cs="Arial"/>
          <w:color w:val="000000"/>
          <w:highlight w:val="yellow"/>
        </w:rPr>
        <w:t xml:space="preserve"> of the CIR Taps</w:t>
      </w:r>
      <w:bookmarkStart w:id="0" w:name="_GoBack"/>
      <w:bookmarkEnd w:id="0"/>
    </w:p>
    <w:sectPr w:rsidR="00F7777A"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D963" w14:textId="77777777" w:rsidR="00F95D99" w:rsidRDefault="00F95D99" w:rsidP="00B72CFD">
      <w:pPr>
        <w:spacing w:after="0" w:line="240" w:lineRule="auto"/>
      </w:pPr>
      <w:r>
        <w:separator/>
      </w:r>
    </w:p>
  </w:endnote>
  <w:endnote w:type="continuationSeparator" w:id="0">
    <w:p w14:paraId="2B2BC9DE" w14:textId="77777777" w:rsidR="00F95D99" w:rsidRDefault="00F95D9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3E559974" w:rsidR="00191BB7" w:rsidRPr="00B72CFD" w:rsidRDefault="00191BB7" w:rsidP="001E62CE">
    <w:pPr>
      <w:pStyle w:val="Footer"/>
      <w:ind w:right="-46"/>
      <w:rPr>
        <w:rFonts w:ascii="Times New Roman" w:hAnsi="Times New Roman"/>
      </w:rPr>
    </w:pPr>
    <w:r>
      <w:rPr>
        <w:rFonts w:ascii="Times New Roman" w:hAnsi="Times New Roman"/>
        <w:noProof/>
        <w:lang w:val="en-IN"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C17BAB">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C289" w14:textId="77777777" w:rsidR="00F95D99" w:rsidRDefault="00F95D99" w:rsidP="00B72CFD">
      <w:pPr>
        <w:spacing w:after="0" w:line="240" w:lineRule="auto"/>
      </w:pPr>
      <w:r>
        <w:separator/>
      </w:r>
    </w:p>
  </w:footnote>
  <w:footnote w:type="continuationSeparator" w:id="0">
    <w:p w14:paraId="2A0DDC30" w14:textId="77777777" w:rsidR="00F95D99" w:rsidRDefault="00F95D9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4835E17F"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BC795A">
      <w:rPr>
        <w:rFonts w:ascii="Times New Roman" w:eastAsia="Malgun Gothic" w:hAnsi="Times New Roman"/>
        <w:u w:val="single"/>
      </w:rPr>
      <w:t>0296</w:t>
    </w:r>
    <w:r w:rsidR="00A7629E" w:rsidRPr="00A7629E">
      <w:rPr>
        <w:rFonts w:ascii="Times New Roman" w:eastAsia="Malgun Gothic" w:hAnsi="Times New Roman"/>
        <w:u w:val="single"/>
      </w:rPr>
      <w:t>-0</w:t>
    </w:r>
    <w:r w:rsidR="003B3B49">
      <w:rPr>
        <w:rFonts w:ascii="Times New Roman" w:eastAsia="Malgun Gothic" w:hAnsi="Times New Roman"/>
        <w:u w:val="single"/>
      </w:rPr>
      <w:t>3</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28E47B5-9D84-45CA-A7A0-DC0BCA7F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2024-05-15T06:53:00Z</dcterms:created>
  <dcterms:modified xsi:type="dcterms:W3CDTF">2024-05-16T11:33:00Z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