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1E168244" w:rsidR="00846BB8" w:rsidRPr="007A6B39" w:rsidRDefault="00F07420" w:rsidP="00A35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Suggested </w:t>
            </w:r>
            <w:r w:rsidR="00473B6F">
              <w:rPr>
                <w:rFonts w:eastAsia="DejaVu Sans"/>
                <w:b/>
                <w:bCs/>
                <w:kern w:val="1"/>
                <w:lang w:eastAsia="ar-SA"/>
              </w:rPr>
              <w:t xml:space="preserve">Text for </w:t>
            </w:r>
            <w:r w:rsidR="00A35A1B">
              <w:rPr>
                <w:rFonts w:eastAsia="DejaVu Sans"/>
                <w:b/>
                <w:bCs/>
                <w:kern w:val="1"/>
                <w:lang w:eastAsia="ar-SA"/>
              </w:rPr>
              <w:t>CIR report for non-sensing transmissions</w:t>
            </w:r>
            <w:r w:rsidR="00473B6F">
              <w:rPr>
                <w:rFonts w:eastAsia="DejaVu Sans"/>
                <w:b/>
                <w:bCs/>
                <w:kern w:val="1"/>
                <w:lang w:eastAsia="ar-SA"/>
              </w:rPr>
              <w:t xml:space="preserve"> (Based on UWB sensing TFD)</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67A545E4" w:rsidR="00846BB8" w:rsidRPr="007A6B39" w:rsidRDefault="00695CFB" w:rsidP="00F07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A35A1B">
              <w:rPr>
                <w:rFonts w:eastAsia="DejaVu Sans"/>
                <w:kern w:val="1"/>
                <w:lang w:eastAsia="ar-SA"/>
              </w:rPr>
              <w:t xml:space="preserve">August </w:t>
            </w:r>
            <w:bookmarkStart w:id="0" w:name="_GoBack"/>
            <w:bookmarkEnd w:id="0"/>
            <w:r w:rsidR="002C78B0">
              <w:rPr>
                <w:rFonts w:eastAsia="DejaVu Sans"/>
                <w:kern w:val="1"/>
                <w:lang w:eastAsia="ar-SA"/>
              </w:rPr>
              <w:t>2</w:t>
            </w:r>
            <w:r w:rsidR="00500035">
              <w:rPr>
                <w:rFonts w:eastAsia="DejaVu Sans"/>
                <w:kern w:val="1"/>
                <w:lang w:eastAsia="ar-SA"/>
              </w:rPr>
              <w:t>8</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5CF339C2" w:rsidR="00846BB8" w:rsidRPr="00C97F55" w:rsidRDefault="00F07420" w:rsidP="00F07420">
            <w:pPr>
              <w:jc w:val="both"/>
              <w:rPr>
                <w:rFonts w:eastAsiaTheme="minorEastAsia"/>
                <w:lang w:eastAsia="zh-CN"/>
              </w:rPr>
            </w:pPr>
            <w:r>
              <w:rPr>
                <w:rFonts w:eastAsiaTheme="minorEastAsia"/>
                <w:lang w:eastAsia="zh-CN"/>
              </w:rPr>
              <w:t xml:space="preserve">Bin Qian, Chenchen Liu, Lei Huang, </w:t>
            </w:r>
            <w:proofErr w:type="spellStart"/>
            <w:r>
              <w:rPr>
                <w:rFonts w:eastAsiaTheme="minorEastAsia"/>
                <w:lang w:eastAsia="zh-CN"/>
              </w:rPr>
              <w:t>Xiaohui</w:t>
            </w:r>
            <w:proofErr w:type="spellEnd"/>
            <w:r>
              <w:rPr>
                <w:rFonts w:eastAsiaTheme="minorEastAsia"/>
                <w:lang w:eastAsia="zh-CN"/>
              </w:rPr>
              <w:t xml:space="preserve"> Peng, David </w:t>
            </w:r>
            <w:proofErr w:type="spellStart"/>
            <w:r>
              <w:rPr>
                <w:rFonts w:eastAsiaTheme="minorEastAsia"/>
                <w:lang w:eastAsia="zh-CN"/>
              </w:rPr>
              <w:t>Xun</w:t>
            </w:r>
            <w:proofErr w:type="spellEnd"/>
            <w:r>
              <w:rPr>
                <w:rFonts w:eastAsiaTheme="minorEastAsia"/>
                <w:lang w:eastAsia="zh-CN"/>
              </w:rPr>
              <w:t xml:space="preserve"> Yang</w:t>
            </w:r>
            <w:r w:rsidR="00FD5B91">
              <w:rPr>
                <w:rFonts w:eastAsiaTheme="minorEastAsia"/>
                <w:lang w:eastAsia="zh-CN"/>
              </w:rPr>
              <w:t xml:space="preserve"> (</w:t>
            </w:r>
            <w:r>
              <w:rPr>
                <w:rFonts w:eastAsiaTheme="minorEastAsia"/>
                <w:lang w:eastAsia="zh-CN"/>
              </w:rPr>
              <w:t>Huawei Technologies</w:t>
            </w:r>
            <w:r w:rsidR="00FD5B91">
              <w:rPr>
                <w:rFonts w:eastAsiaTheme="minorEastAsia"/>
                <w:lang w:eastAsia="zh-CN"/>
              </w:rPr>
              <w:t>)</w:t>
            </w:r>
            <w:r w:rsidR="003B323C">
              <w:rPr>
                <w:rFonts w:eastAsiaTheme="minorEastAsia" w:hint="eastAsia"/>
                <w:lang w:eastAsia="zh-CN"/>
              </w:rPr>
              <w:t>,</w:t>
            </w:r>
            <w:r w:rsidR="002153DB">
              <w:rPr>
                <w:rFonts w:eastAsiaTheme="minorEastAsia"/>
                <w:lang w:eastAsia="zh-CN"/>
              </w:rPr>
              <w:t xml:space="preserve"> Aniruddh Rao Kabbinale, Ankur Bansal, </w:t>
            </w:r>
            <w:proofErr w:type="spellStart"/>
            <w:r w:rsidR="002153DB">
              <w:rPr>
                <w:rFonts w:eastAsiaTheme="minorEastAsia"/>
                <w:lang w:eastAsia="zh-CN"/>
              </w:rPr>
              <w:t>Karthik</w:t>
            </w:r>
            <w:proofErr w:type="spellEnd"/>
            <w:r w:rsidR="002153DB">
              <w:rPr>
                <w:rFonts w:eastAsiaTheme="minorEastAsia"/>
                <w:lang w:eastAsia="zh-CN"/>
              </w:rPr>
              <w:t xml:space="preserve"> </w:t>
            </w:r>
            <w:proofErr w:type="spellStart"/>
            <w:r w:rsidR="002153DB">
              <w:rPr>
                <w:rFonts w:eastAsiaTheme="minorEastAsia"/>
                <w:lang w:eastAsia="zh-CN"/>
              </w:rPr>
              <w:t>Srinivasa</w:t>
            </w:r>
            <w:proofErr w:type="spellEnd"/>
            <w:r w:rsidR="002153DB">
              <w:rPr>
                <w:rFonts w:eastAsiaTheme="minorEastAsia"/>
                <w:lang w:eastAsia="zh-CN"/>
              </w:rPr>
              <w:t xml:space="preserve"> </w:t>
            </w:r>
            <w:proofErr w:type="spellStart"/>
            <w:r w:rsidR="002153DB">
              <w:rPr>
                <w:rFonts w:eastAsiaTheme="minorEastAsia"/>
                <w:lang w:eastAsia="zh-CN"/>
              </w:rPr>
              <w:t>Gopalan</w:t>
            </w:r>
            <w:proofErr w:type="spellEnd"/>
            <w:r w:rsidR="002153DB">
              <w:rPr>
                <w:rFonts w:eastAsiaTheme="minorEastAsia"/>
                <w:lang w:eastAsia="zh-CN"/>
              </w:rPr>
              <w:t>, Mingyu Lee (Samsung Electronics)</w:t>
            </w:r>
            <w:r w:rsidR="003B323C">
              <w:rPr>
                <w:rFonts w:eastAsiaTheme="minorEastAsia"/>
                <w:lang w:eastAsia="zh-CN"/>
              </w:rPr>
              <w:t>, Frank Leong (NXP)</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 xml:space="preserve">This submission proposes text to for the IEEE </w:t>
            </w:r>
            <w:proofErr w:type="spellStart"/>
            <w:r w:rsidRPr="007A6B39">
              <w:rPr>
                <w:rFonts w:eastAsia="DejaVu Sans"/>
                <w:kern w:val="1"/>
                <w:lang w:eastAsia="ar-SA"/>
              </w:rPr>
              <w:t>Std</w:t>
            </w:r>
            <w:proofErr w:type="spellEnd"/>
            <w:r w:rsidRPr="007A6B39">
              <w:rPr>
                <w:rFonts w:eastAsia="DejaVu Sans"/>
                <w:kern w:val="1"/>
                <w:lang w:eastAsia="ar-SA"/>
              </w:rPr>
              <w:t xml:space="preserve">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9"/>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a9"/>
        <w:tabs>
          <w:tab w:val="left" w:pos="1465"/>
          <w:tab w:val="center" w:pos="4513"/>
        </w:tabs>
        <w:rPr>
          <w:rFonts w:ascii="Times New Roman" w:eastAsia="MS Mincho" w:hAnsi="Times New Roman"/>
          <w:sz w:val="24"/>
          <w:szCs w:val="24"/>
        </w:rPr>
      </w:pPr>
      <w:r w:rsidRPr="00984625">
        <w:rPr>
          <w:rFonts w:eastAsia="MS Mincho"/>
        </w:rPr>
        <w:br w:type="page"/>
      </w:r>
    </w:p>
    <w:p w14:paraId="358BB14B" w14:textId="7467D4AA" w:rsidR="00184D42" w:rsidRDefault="00184D42" w:rsidP="003F5978">
      <w:pPr>
        <w:jc w:val="both"/>
        <w:rPr>
          <w:rFonts w:eastAsiaTheme="minorEastAsia"/>
          <w:i/>
          <w:lang w:eastAsia="zh-CN"/>
        </w:rPr>
      </w:pPr>
      <w:r>
        <w:rPr>
          <w:rFonts w:eastAsiaTheme="minorEastAsia" w:hint="eastAsia"/>
          <w:i/>
          <w:lang w:eastAsia="zh-CN"/>
        </w:rPr>
        <w:lastRenderedPageBreak/>
        <w:t>T</w:t>
      </w:r>
      <w:r>
        <w:rPr>
          <w:rFonts w:eastAsiaTheme="minorEastAsia"/>
          <w:i/>
          <w:lang w:eastAsia="zh-CN"/>
        </w:rPr>
        <w:t>he baseline for this TFD is 15-</w:t>
      </w:r>
      <w:r w:rsidR="00B51DF1">
        <w:rPr>
          <w:rFonts w:eastAsiaTheme="minorEastAsia"/>
          <w:i/>
          <w:lang w:eastAsia="zh-CN"/>
        </w:rPr>
        <w:t>22-0538-0</w:t>
      </w:r>
      <w:r w:rsidR="00AB065C">
        <w:rPr>
          <w:rFonts w:eastAsiaTheme="minorEastAsia"/>
          <w:i/>
          <w:lang w:eastAsia="zh-CN"/>
        </w:rPr>
        <w:t>7</w:t>
      </w:r>
      <w:r w:rsidR="00B51DF1">
        <w:rPr>
          <w:rFonts w:eastAsiaTheme="minorEastAsia"/>
          <w:i/>
          <w:lang w:eastAsia="zh-CN"/>
        </w:rPr>
        <w:t xml:space="preserve">-04ab-proposal-of-sensing-framework. </w:t>
      </w:r>
    </w:p>
    <w:p w14:paraId="4B1D619D" w14:textId="77777777" w:rsidR="00184D42" w:rsidRDefault="00184D42" w:rsidP="003F5978">
      <w:pPr>
        <w:jc w:val="both"/>
        <w:rPr>
          <w:rFonts w:eastAsiaTheme="minorEastAsia"/>
          <w:i/>
          <w:lang w:eastAsia="zh-CN"/>
        </w:rPr>
      </w:pPr>
    </w:p>
    <w:p w14:paraId="7757179E" w14:textId="51BB844B" w:rsidR="00EA45B3" w:rsidRDefault="00A850EB" w:rsidP="00AB065C">
      <w:pPr>
        <w:jc w:val="both"/>
        <w:rPr>
          <w:rFonts w:eastAsiaTheme="minorEastAsia"/>
          <w:i/>
          <w:lang w:eastAsia="zh-CN"/>
        </w:rPr>
      </w:pPr>
      <w:r>
        <w:rPr>
          <w:rFonts w:eastAsiaTheme="minorEastAsia"/>
          <w:i/>
          <w:lang w:eastAsia="zh-CN"/>
        </w:rPr>
        <w:t>Update Table 2 in 2.7.2 as follows</w:t>
      </w:r>
    </w:p>
    <w:p w14:paraId="4B17C90C" w14:textId="239A5C56" w:rsidR="00AB065C" w:rsidRDefault="00AB065C" w:rsidP="00AB065C">
      <w:pPr>
        <w:jc w:val="both"/>
        <w:rPr>
          <w:rFonts w:eastAsiaTheme="minorEastAsia"/>
          <w:i/>
          <w:lang w:eastAsia="zh-CN"/>
        </w:rPr>
      </w:pPr>
    </w:p>
    <w:p w14:paraId="73D518A2" w14:textId="77777777" w:rsidR="00AB065C" w:rsidRPr="00AB065C" w:rsidRDefault="00AB065C" w:rsidP="00AB065C">
      <w:pPr>
        <w:pStyle w:val="2"/>
      </w:pPr>
    </w:p>
    <w:p w14:paraId="4A1F3206" w14:textId="47814E66" w:rsidR="00EA45B3" w:rsidRDefault="00AB065C" w:rsidP="00B92213">
      <w:pPr>
        <w:pStyle w:val="IEEEStdsLevel3Header"/>
        <w:numPr>
          <w:ilvl w:val="0"/>
          <w:numId w:val="0"/>
        </w:numPr>
        <w:rPr>
          <w:rFonts w:eastAsiaTheme="minorEastAsia"/>
        </w:rPr>
      </w:pPr>
      <w:r>
        <w:rPr>
          <w:rFonts w:eastAsiaTheme="minorEastAsia"/>
        </w:rPr>
        <w:t>2.7</w:t>
      </w:r>
      <w:r w:rsidR="00B92213">
        <w:rPr>
          <w:rFonts w:eastAsiaTheme="minorEastAsia"/>
        </w:rPr>
        <w:t xml:space="preserve">.2 </w:t>
      </w:r>
    </w:p>
    <w:p w14:paraId="6E78787E" w14:textId="77777777" w:rsidR="00AB065C" w:rsidRDefault="00AB065C" w:rsidP="00AB065C">
      <w:pPr>
        <w:pStyle w:val="af2"/>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w:t>
      </w:r>
      <w:r w:rsidRPr="00262C41">
        <w:t>Sensing Control field of the AC IE</w:t>
      </w:r>
    </w:p>
    <w:p w14:paraId="1EB35A49" w14:textId="77777777" w:rsidR="00AB065C" w:rsidRPr="00C36C90" w:rsidRDefault="00AB065C" w:rsidP="00AB065C"/>
    <w:tbl>
      <w:tblPr>
        <w:tblW w:w="9006" w:type="dxa"/>
        <w:tblCellMar>
          <w:left w:w="0" w:type="dxa"/>
          <w:right w:w="0" w:type="dxa"/>
        </w:tblCellMar>
        <w:tblLook w:val="0420" w:firstRow="1" w:lastRow="0" w:firstColumn="0" w:lastColumn="0" w:noHBand="0" w:noVBand="1"/>
      </w:tblPr>
      <w:tblGrid>
        <w:gridCol w:w="1013"/>
        <w:gridCol w:w="1063"/>
        <w:gridCol w:w="1133"/>
        <w:gridCol w:w="1195"/>
        <w:gridCol w:w="1197"/>
        <w:gridCol w:w="1063"/>
        <w:gridCol w:w="1254"/>
        <w:gridCol w:w="1088"/>
      </w:tblGrid>
      <w:tr w:rsidR="00A850EB" w:rsidRPr="00FA317D" w14:paraId="41669A71" w14:textId="66370488" w:rsidTr="00AB17A7">
        <w:trPr>
          <w:trHeight w:val="430"/>
        </w:trPr>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619B5432" w14:textId="77777777" w:rsidR="00A850EB" w:rsidRPr="00FA317D" w:rsidRDefault="00A850EB" w:rsidP="00B85940">
            <w:pPr>
              <w:pStyle w:val="IEEEStdsParagraph"/>
            </w:pPr>
            <w:r w:rsidRPr="00FA317D">
              <w:t>Bits: 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EF9EC6A" w14:textId="77777777" w:rsidR="00A850EB" w:rsidRPr="00FA317D" w:rsidRDefault="00A850EB" w:rsidP="00B85940">
            <w:pPr>
              <w:pStyle w:val="IEEEStdsParagraph"/>
            </w:pPr>
            <w:r w:rsidRPr="00FA317D">
              <w:t>1</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4EF67B6" w14:textId="77777777" w:rsidR="00A850EB" w:rsidRPr="00FA317D" w:rsidRDefault="00A850EB" w:rsidP="00B85940">
            <w:pPr>
              <w:pStyle w:val="IEEEStdsParagraph"/>
            </w:pPr>
            <w:r w:rsidRPr="00FA317D">
              <w:t>2</w:t>
            </w:r>
          </w:p>
        </w:tc>
        <w:tc>
          <w:tcPr>
            <w:tcW w:w="1195" w:type="dxa"/>
            <w:tcBorders>
              <w:top w:val="single" w:sz="8" w:space="0" w:color="000000"/>
              <w:left w:val="single" w:sz="8" w:space="0" w:color="000000"/>
              <w:bottom w:val="single" w:sz="8" w:space="0" w:color="000000"/>
              <w:right w:val="single" w:sz="8" w:space="0" w:color="000000"/>
            </w:tcBorders>
          </w:tcPr>
          <w:p w14:paraId="4E13DF94" w14:textId="292C3A14" w:rsidR="00A850EB" w:rsidRPr="00FA317D" w:rsidRDefault="00A850EB" w:rsidP="00B85940">
            <w:pPr>
              <w:pStyle w:val="IEEEStdsParagraph"/>
            </w:pPr>
            <w:r>
              <w:t>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F6A9CB7" w14:textId="6B7DA445" w:rsidR="00A850EB" w:rsidRPr="00FA317D" w:rsidRDefault="00A850EB" w:rsidP="00B85940">
            <w:pPr>
              <w:pStyle w:val="IEEEStdsParagraph"/>
            </w:pPr>
            <w:r w:rsidRPr="00FA317D">
              <w:t>variable</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580AEC06" w14:textId="77777777" w:rsidR="00A850EB" w:rsidRPr="00FA317D" w:rsidRDefault="00A850EB" w:rsidP="00B85940">
            <w:pPr>
              <w:pStyle w:val="IEEEStdsParagraph"/>
            </w:pPr>
            <w:r w:rsidRPr="00FA317D">
              <w:t>variable</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360D9053" w14:textId="77777777" w:rsidR="00A850EB" w:rsidRPr="00FA317D" w:rsidRDefault="00A850EB" w:rsidP="00B85940">
            <w:pPr>
              <w:pStyle w:val="IEEEStdsParagraph"/>
            </w:pPr>
            <w:r w:rsidRPr="00FA317D">
              <w:t>variable</w:t>
            </w:r>
          </w:p>
        </w:tc>
        <w:tc>
          <w:tcPr>
            <w:tcW w:w="1088" w:type="dxa"/>
            <w:tcBorders>
              <w:top w:val="single" w:sz="8" w:space="0" w:color="000000"/>
              <w:left w:val="single" w:sz="8" w:space="0" w:color="000000"/>
              <w:bottom w:val="single" w:sz="8" w:space="0" w:color="000000"/>
              <w:right w:val="single" w:sz="8" w:space="0" w:color="000000"/>
            </w:tcBorders>
          </w:tcPr>
          <w:p w14:paraId="67B5C246" w14:textId="6B739E0C" w:rsidR="00A850EB" w:rsidRPr="00FA317D" w:rsidRDefault="00A850EB" w:rsidP="00B85940">
            <w:pPr>
              <w:pStyle w:val="IEEEStdsParagraph"/>
            </w:pPr>
            <w:r>
              <w:t>Variable</w:t>
            </w:r>
          </w:p>
        </w:tc>
      </w:tr>
      <w:tr w:rsidR="00A850EB" w:rsidRPr="00FA317D" w14:paraId="503E3EC8" w14:textId="42EAF4B6" w:rsidTr="00AB17A7">
        <w:trPr>
          <w:trHeight w:val="1450"/>
        </w:trPr>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83FB62C" w14:textId="77777777" w:rsidR="00A850EB" w:rsidRPr="00FA317D" w:rsidRDefault="00A850EB" w:rsidP="00B85940">
            <w:pPr>
              <w:pStyle w:val="IEEEStdsParagraph"/>
            </w:pPr>
            <w:r w:rsidRPr="00FA317D">
              <w:t>Common Sensing Control Present</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F3C76A5" w14:textId="77777777" w:rsidR="00A850EB" w:rsidRPr="00FA317D" w:rsidRDefault="00A850EB" w:rsidP="00B85940">
            <w:pPr>
              <w:pStyle w:val="IEEEStdsParagraph"/>
            </w:pPr>
            <w:r w:rsidRPr="00FA317D">
              <w:rPr>
                <w:lang w:val="en-IN"/>
              </w:rPr>
              <w:t>CIR Report Parameters Present</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DA08EC7" w14:textId="77777777" w:rsidR="00A850EB" w:rsidRPr="00FA317D" w:rsidRDefault="00A850EB" w:rsidP="00B85940">
            <w:pPr>
              <w:pStyle w:val="IEEEStdsParagraph"/>
            </w:pPr>
            <w:r w:rsidRPr="00FA317D">
              <w:rPr>
                <w:lang w:val="en-IN"/>
              </w:rPr>
              <w:t>Frequency Stitching Parameters  Present</w:t>
            </w:r>
          </w:p>
        </w:tc>
        <w:tc>
          <w:tcPr>
            <w:tcW w:w="1195" w:type="dxa"/>
            <w:tcBorders>
              <w:top w:val="single" w:sz="8" w:space="0" w:color="000000"/>
              <w:left w:val="single" w:sz="8" w:space="0" w:color="000000"/>
              <w:bottom w:val="single" w:sz="8" w:space="0" w:color="000000"/>
              <w:right w:val="single" w:sz="8" w:space="0" w:color="000000"/>
            </w:tcBorders>
            <w:vAlign w:val="center"/>
          </w:tcPr>
          <w:p w14:paraId="06BF8FFB" w14:textId="2095210D" w:rsidR="00A850EB" w:rsidRPr="00AB17A7" w:rsidRDefault="00A850EB" w:rsidP="00AB17A7">
            <w:pPr>
              <w:pStyle w:val="IEEEStdsParagraph"/>
              <w:jc w:val="center"/>
              <w:rPr>
                <w:lang w:val="en-IN"/>
              </w:rPr>
            </w:pPr>
            <w:r w:rsidRPr="00AB17A7">
              <w:rPr>
                <w:lang w:val="en-IN"/>
              </w:rPr>
              <w:t>CIR Report for non-sensing transmission</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3924548" w14:textId="6B751BFC" w:rsidR="00A850EB" w:rsidRPr="00FA317D" w:rsidRDefault="00A850EB" w:rsidP="00B85940">
            <w:pPr>
              <w:pStyle w:val="IEEEStdsParagraph"/>
            </w:pPr>
            <w:r w:rsidRPr="00FA317D">
              <w:t xml:space="preserve">Common Sensing Control </w:t>
            </w:r>
            <w:proofErr w:type="spellStart"/>
            <w:r w:rsidRPr="00FA317D">
              <w:t>Config</w:t>
            </w:r>
            <w:proofErr w:type="spellEnd"/>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D789E98" w14:textId="77777777" w:rsidR="00A850EB" w:rsidRPr="00FA317D" w:rsidRDefault="00A850EB" w:rsidP="00B85940">
            <w:pPr>
              <w:pStyle w:val="IEEEStdsParagraph"/>
            </w:pPr>
            <w:r w:rsidRPr="00FA317D">
              <w:rPr>
                <w:lang w:val="en-IN"/>
              </w:rPr>
              <w:t>CIR</w:t>
            </w:r>
            <w:r>
              <w:rPr>
                <w:lang w:val="en-IN"/>
              </w:rPr>
              <w:t xml:space="preserve"> </w:t>
            </w:r>
            <w:r w:rsidRPr="00FA317D">
              <w:rPr>
                <w:lang w:val="en-IN"/>
              </w:rPr>
              <w:t xml:space="preserve">Report Parameters </w:t>
            </w:r>
            <w:proofErr w:type="spellStart"/>
            <w:r w:rsidRPr="00FA317D">
              <w:rPr>
                <w:lang w:val="en-IN"/>
              </w:rPr>
              <w:t>Config</w:t>
            </w:r>
            <w:proofErr w:type="spellEnd"/>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768F2FA" w14:textId="77777777" w:rsidR="00A850EB" w:rsidRPr="00FA317D" w:rsidRDefault="00A850EB" w:rsidP="00B85940">
            <w:pPr>
              <w:pStyle w:val="IEEEStdsParagraph"/>
            </w:pPr>
            <w:r w:rsidRPr="00FA317D">
              <w:rPr>
                <w:lang w:val="en-IN"/>
              </w:rPr>
              <w:t xml:space="preserve">Frequency Stitching Parameters  </w:t>
            </w:r>
            <w:proofErr w:type="spellStart"/>
            <w:r w:rsidRPr="00FA317D">
              <w:rPr>
                <w:lang w:val="en-IN"/>
              </w:rPr>
              <w:t>Config</w:t>
            </w:r>
            <w:proofErr w:type="spellEnd"/>
          </w:p>
        </w:tc>
        <w:tc>
          <w:tcPr>
            <w:tcW w:w="1088" w:type="dxa"/>
            <w:tcBorders>
              <w:top w:val="single" w:sz="8" w:space="0" w:color="000000"/>
              <w:left w:val="single" w:sz="8" w:space="0" w:color="000000"/>
              <w:bottom w:val="single" w:sz="8" w:space="0" w:color="000000"/>
              <w:right w:val="single" w:sz="8" w:space="0" w:color="000000"/>
            </w:tcBorders>
          </w:tcPr>
          <w:p w14:paraId="4ABAB891" w14:textId="04675E0C" w:rsidR="00A850EB" w:rsidRPr="00FA317D" w:rsidRDefault="00A850EB" w:rsidP="00E32FF0">
            <w:pPr>
              <w:pStyle w:val="IEEEStdsParagraph"/>
              <w:rPr>
                <w:lang w:val="en-IN"/>
              </w:rPr>
            </w:pPr>
            <w:r>
              <w:rPr>
                <w:lang w:val="en-IN"/>
              </w:rPr>
              <w:t xml:space="preserve">Parameters for </w:t>
            </w:r>
            <w:proofErr w:type="spellStart"/>
            <w:r w:rsidR="00E32FF0">
              <w:rPr>
                <w:lang w:val="en-IN"/>
              </w:rPr>
              <w:t>CIR_report</w:t>
            </w:r>
            <w:proofErr w:type="spellEnd"/>
            <w:r>
              <w:rPr>
                <w:lang w:val="en-IN"/>
              </w:rPr>
              <w:t xml:space="preserve"> for non-sensing transmission</w:t>
            </w:r>
          </w:p>
        </w:tc>
      </w:tr>
    </w:tbl>
    <w:p w14:paraId="7EFB4FF3" w14:textId="77777777" w:rsidR="00AB065C" w:rsidRDefault="00AB065C" w:rsidP="00AB065C">
      <w:pPr>
        <w:pStyle w:val="IEEEStdsParagraph"/>
      </w:pPr>
    </w:p>
    <w:p w14:paraId="005F08EF" w14:textId="78A1AC60" w:rsidR="008101BC" w:rsidRPr="008101BC" w:rsidRDefault="008101BC" w:rsidP="00B92213">
      <w:pPr>
        <w:pStyle w:val="IEEEStdsParagraph"/>
        <w:rPr>
          <w:rFonts w:eastAsiaTheme="minorEastAsia"/>
          <w:sz w:val="22"/>
          <w:lang w:val="en-IN" w:eastAsia="zh-CN"/>
        </w:rPr>
      </w:pPr>
    </w:p>
    <w:p w14:paraId="7BDFF3BE" w14:textId="1A7E9A85" w:rsidR="00F952BB" w:rsidRDefault="00F952BB" w:rsidP="00F952BB">
      <w:pPr>
        <w:rPr>
          <w:rFonts w:eastAsiaTheme="minorEastAsia"/>
          <w:i/>
          <w:lang w:eastAsia="zh-CN"/>
        </w:rPr>
      </w:pPr>
      <w:r w:rsidRPr="00410A87">
        <w:rPr>
          <w:rFonts w:eastAsiaTheme="minorEastAsia" w:hint="eastAsia"/>
          <w:i/>
          <w:lang w:eastAsia="zh-CN"/>
        </w:rPr>
        <w:t>I</w:t>
      </w:r>
      <w:r>
        <w:rPr>
          <w:rFonts w:eastAsiaTheme="minorEastAsia"/>
          <w:i/>
          <w:lang w:eastAsia="zh-CN"/>
        </w:rPr>
        <w:t xml:space="preserve">nsert the following </w:t>
      </w:r>
      <w:r w:rsidR="00A850EB">
        <w:rPr>
          <w:rFonts w:eastAsiaTheme="minorEastAsia"/>
          <w:i/>
          <w:lang w:eastAsia="zh-CN"/>
        </w:rPr>
        <w:t>at the end of 2.7</w:t>
      </w:r>
      <w:r>
        <w:rPr>
          <w:rFonts w:eastAsiaTheme="minorEastAsia"/>
          <w:i/>
          <w:lang w:eastAsia="zh-CN"/>
        </w:rPr>
        <w:t>.2</w:t>
      </w:r>
      <w:r w:rsidRPr="00410A87">
        <w:rPr>
          <w:rFonts w:eastAsiaTheme="minorEastAsia"/>
          <w:i/>
          <w:lang w:eastAsia="zh-CN"/>
        </w:rPr>
        <w:t xml:space="preserve"> as follows</w:t>
      </w:r>
    </w:p>
    <w:p w14:paraId="77FEA354" w14:textId="77777777" w:rsidR="00F952BB" w:rsidRDefault="00F952BB" w:rsidP="000A0DE0">
      <w:pPr>
        <w:rPr>
          <w:lang w:eastAsia="ja-JP"/>
        </w:rPr>
      </w:pPr>
    </w:p>
    <w:p w14:paraId="1BF045BC" w14:textId="3700ED4B" w:rsidR="00E32FF0" w:rsidRDefault="00E32FF0" w:rsidP="00E32FF0">
      <w:pPr>
        <w:rPr>
          <w:lang w:eastAsia="ja-JP"/>
        </w:rPr>
      </w:pPr>
      <w:r>
        <w:rPr>
          <w:lang w:eastAsia="ja-JP"/>
        </w:rPr>
        <w:t xml:space="preserve">Parameters for CIR report for </w:t>
      </w:r>
      <w:r w:rsidR="00C45CBF">
        <w:rPr>
          <w:lang w:eastAsia="ja-JP"/>
        </w:rPr>
        <w:t xml:space="preserve">non-sensing transmission are </w:t>
      </w:r>
      <w:r>
        <w:rPr>
          <w:lang w:eastAsia="ja-JP"/>
        </w:rPr>
        <w:t>listed in the following Table 9</w:t>
      </w:r>
    </w:p>
    <w:p w14:paraId="260B9F7F" w14:textId="6589D4E3" w:rsidR="00E32FF0" w:rsidRDefault="00E32FF0" w:rsidP="00E32FF0">
      <w:pPr>
        <w:rPr>
          <w:lang w:eastAsia="ja-JP"/>
        </w:rPr>
      </w:pPr>
    </w:p>
    <w:p w14:paraId="73B9024C" w14:textId="41199021" w:rsidR="00E32FF0" w:rsidRDefault="00E32FF0" w:rsidP="00E32FF0">
      <w:pPr>
        <w:rPr>
          <w:rFonts w:ascii="Cambria" w:hAnsi="Cambria"/>
          <w:b/>
          <w:bCs/>
          <w:sz w:val="20"/>
          <w:szCs w:val="20"/>
        </w:rPr>
      </w:pPr>
      <w:r w:rsidRPr="00E60001">
        <w:rPr>
          <w:rFonts w:ascii="Cambria" w:hAnsi="Cambria"/>
          <w:b/>
          <w:bCs/>
          <w:sz w:val="20"/>
          <w:szCs w:val="20"/>
        </w:rPr>
        <w:t xml:space="preserve">Table </w:t>
      </w:r>
      <w:r w:rsidR="009F7DC6">
        <w:rPr>
          <w:rFonts w:ascii="Cambria" w:hAnsi="Cambria"/>
          <w:b/>
          <w:bCs/>
          <w:sz w:val="20"/>
          <w:szCs w:val="20"/>
        </w:rPr>
        <w:t>9</w:t>
      </w:r>
      <w:r>
        <w:rPr>
          <w:rFonts w:ascii="Cambria" w:hAnsi="Cambria"/>
          <w:b/>
          <w:bCs/>
          <w:sz w:val="20"/>
          <w:szCs w:val="20"/>
        </w:rPr>
        <w:t>: Parameters for CIR report for non-sensing transmission</w:t>
      </w:r>
    </w:p>
    <w:p w14:paraId="2413AB6E" w14:textId="77777777" w:rsidR="00E32FF0" w:rsidRDefault="00E32FF0" w:rsidP="00E32FF0">
      <w:pPr>
        <w:rPr>
          <w:lang w:eastAsia="ja-JP"/>
        </w:rPr>
      </w:pPr>
    </w:p>
    <w:tbl>
      <w:tblPr>
        <w:tblW w:w="3120" w:type="dxa"/>
        <w:tblCellMar>
          <w:left w:w="0" w:type="dxa"/>
          <w:right w:w="0" w:type="dxa"/>
        </w:tblCellMar>
        <w:tblLook w:val="04A0" w:firstRow="1" w:lastRow="0" w:firstColumn="1" w:lastColumn="0" w:noHBand="0" w:noVBand="1"/>
      </w:tblPr>
      <w:tblGrid>
        <w:gridCol w:w="1560"/>
        <w:gridCol w:w="1560"/>
      </w:tblGrid>
      <w:tr w:rsidR="00F07420" w:rsidRPr="00E32FF0" w14:paraId="518ABC3C" w14:textId="77777777" w:rsidTr="008F7A0A">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D1FEA6E" w14:textId="4A773CB4" w:rsidR="00F07420" w:rsidRPr="00AB17A7" w:rsidRDefault="00F07420" w:rsidP="00AB17A7">
            <w:pPr>
              <w:pStyle w:val="IEEEStdsParagraph"/>
            </w:pPr>
            <w:r w:rsidRPr="00AB17A7">
              <w:t>0</w:t>
            </w:r>
            <w:r w:rsidR="002153DB">
              <w:t>-1</w:t>
            </w:r>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302E7FD" w14:textId="5B60AF6A" w:rsidR="00F07420" w:rsidRPr="00E32FF0" w:rsidRDefault="002153DB" w:rsidP="00AB17A7">
            <w:pPr>
              <w:pStyle w:val="IEEEStdsParagraph"/>
              <w:rPr>
                <w:lang w:val="en-IN"/>
              </w:rPr>
            </w:pPr>
            <w:r>
              <w:rPr>
                <w:lang w:val="en-IN"/>
              </w:rPr>
              <w:t>2</w:t>
            </w:r>
            <w:r w:rsidR="00F07420" w:rsidRPr="00E32FF0">
              <w:rPr>
                <w:lang w:val="en-IN"/>
              </w:rPr>
              <w:t>-7</w:t>
            </w:r>
          </w:p>
        </w:tc>
      </w:tr>
      <w:tr w:rsidR="00F07420" w:rsidRPr="00E32FF0" w14:paraId="633FF811" w14:textId="77777777" w:rsidTr="008F7A0A">
        <w:trPr>
          <w:trHeight w:val="1429"/>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52643638" w14:textId="61FF5DEC" w:rsidR="00F07420" w:rsidRPr="00E32FF0" w:rsidRDefault="00F07420" w:rsidP="00AB17A7">
            <w:pPr>
              <w:pStyle w:val="IEEEStdsParagraph"/>
              <w:rPr>
                <w:lang w:val="en-IN"/>
              </w:rPr>
            </w:pPr>
            <w:r>
              <w:rPr>
                <w:lang w:val="en-IN"/>
              </w:rPr>
              <w:t>Transmission Packet F</w:t>
            </w:r>
            <w:r w:rsidRPr="00E32FF0">
              <w:rPr>
                <w:lang w:val="en-IN"/>
              </w:rPr>
              <w:t>ormat</w:t>
            </w:r>
            <w:r>
              <w:rPr>
                <w:lang w:val="en-IN"/>
              </w:rPr>
              <w:t xml:space="preserve"> Identifier</w:t>
            </w:r>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E9773BE" w14:textId="77777777" w:rsidR="00F07420" w:rsidRPr="00E32FF0" w:rsidRDefault="00F07420" w:rsidP="00AB17A7">
            <w:pPr>
              <w:pStyle w:val="IEEEStdsParagraph"/>
              <w:rPr>
                <w:lang w:val="en-IN"/>
              </w:rPr>
            </w:pPr>
            <w:r w:rsidRPr="00E32FF0">
              <w:rPr>
                <w:lang w:val="en-IN"/>
              </w:rPr>
              <w:t>reserved</w:t>
            </w:r>
          </w:p>
        </w:tc>
      </w:tr>
    </w:tbl>
    <w:p w14:paraId="45D0B11F" w14:textId="77777777" w:rsidR="00E32FF0" w:rsidRDefault="00E32FF0" w:rsidP="00E32FF0">
      <w:pPr>
        <w:rPr>
          <w:lang w:eastAsia="ja-JP"/>
        </w:rPr>
      </w:pPr>
    </w:p>
    <w:p w14:paraId="4E6EEE9A" w14:textId="6B206D5D" w:rsidR="00E60001" w:rsidRPr="00AB17A7" w:rsidRDefault="00F41FE1" w:rsidP="00E60001">
      <w:pPr>
        <w:keepNext/>
        <w:rPr>
          <w:bCs/>
        </w:rPr>
      </w:pPr>
      <w:r w:rsidRPr="00AB17A7">
        <w:rPr>
          <w:bCs/>
        </w:rPr>
        <w:t>Transmission Packet format</w:t>
      </w:r>
      <w:r w:rsidR="005F0DC2" w:rsidRPr="00AB17A7">
        <w:rPr>
          <w:bCs/>
        </w:rPr>
        <w:t xml:space="preserve"> </w:t>
      </w:r>
      <w:r w:rsidRPr="00AB17A7">
        <w:rPr>
          <w:bCs/>
        </w:rPr>
        <w:t xml:space="preserve">identifier indicates the packet format of non-sensing transmission for </w:t>
      </w:r>
      <w:r w:rsidR="00C45CBF" w:rsidRPr="00AB17A7">
        <w:rPr>
          <w:bCs/>
        </w:rPr>
        <w:t xml:space="preserve">which </w:t>
      </w:r>
      <w:r w:rsidRPr="00AB17A7">
        <w:rPr>
          <w:bCs/>
        </w:rPr>
        <w:t>CIR report</w:t>
      </w:r>
      <w:r w:rsidR="00C45CBF" w:rsidRPr="00AB17A7">
        <w:rPr>
          <w:bCs/>
        </w:rPr>
        <w:t xml:space="preserve"> is also requested</w:t>
      </w:r>
      <w:r w:rsidRPr="00AB17A7">
        <w:rPr>
          <w:bCs/>
        </w:rPr>
        <w:t>. T</w:t>
      </w:r>
      <w:r w:rsidR="00C45CBF" w:rsidRPr="00AB17A7">
        <w:rPr>
          <w:bCs/>
        </w:rPr>
        <w:t>able 10 defines the Transmission Packet Format Identifier.</w:t>
      </w:r>
    </w:p>
    <w:p w14:paraId="6BA3AEB5" w14:textId="77777777" w:rsidR="00F41FE1" w:rsidRDefault="00F41FE1" w:rsidP="00E60001">
      <w:pPr>
        <w:keepNext/>
        <w:rPr>
          <w:rFonts w:ascii="Cambria" w:hAnsi="Cambria"/>
          <w:b/>
          <w:bCs/>
          <w:sz w:val="20"/>
          <w:szCs w:val="20"/>
        </w:rPr>
      </w:pPr>
    </w:p>
    <w:p w14:paraId="7801EEF0" w14:textId="5974EE70" w:rsidR="00F41FE1" w:rsidRPr="00E60001" w:rsidRDefault="00F41FE1" w:rsidP="00F41FE1">
      <w:pPr>
        <w:keepNext/>
        <w:rPr>
          <w:rFonts w:ascii="Cambria" w:hAnsi="Cambria"/>
          <w:b/>
          <w:bCs/>
          <w:sz w:val="20"/>
          <w:szCs w:val="20"/>
        </w:rPr>
      </w:pPr>
      <w:r w:rsidRPr="00E60001">
        <w:rPr>
          <w:rFonts w:ascii="Cambria" w:hAnsi="Cambria"/>
          <w:b/>
          <w:bCs/>
          <w:sz w:val="20"/>
          <w:szCs w:val="20"/>
        </w:rPr>
        <w:t xml:space="preserve">Table </w:t>
      </w:r>
      <w:r>
        <w:rPr>
          <w:rFonts w:ascii="Cambria" w:hAnsi="Cambria"/>
          <w:b/>
          <w:bCs/>
          <w:sz w:val="20"/>
          <w:szCs w:val="20"/>
        </w:rPr>
        <w:t>10: Transmission packet format</w:t>
      </w:r>
      <w:r w:rsidR="00C45CBF">
        <w:rPr>
          <w:rFonts w:ascii="Cambria" w:hAnsi="Cambria"/>
          <w:b/>
          <w:bCs/>
          <w:sz w:val="20"/>
          <w:szCs w:val="20"/>
        </w:rPr>
        <w:t xml:space="preserve"> Identifier</w:t>
      </w:r>
    </w:p>
    <w:p w14:paraId="7D386897" w14:textId="77777777" w:rsidR="00F41FE1" w:rsidRDefault="00F41FE1" w:rsidP="00F41FE1">
      <w:pPr>
        <w:rPr>
          <w:lang w:eastAsia="ja-JP"/>
        </w:rPr>
      </w:pPr>
    </w:p>
    <w:tbl>
      <w:tblPr>
        <w:tblStyle w:val="afb"/>
        <w:tblW w:w="0" w:type="auto"/>
        <w:tblLook w:val="04A0" w:firstRow="1" w:lastRow="0" w:firstColumn="1" w:lastColumn="0" w:noHBand="0" w:noVBand="1"/>
      </w:tblPr>
      <w:tblGrid>
        <w:gridCol w:w="2972"/>
        <w:gridCol w:w="6044"/>
      </w:tblGrid>
      <w:tr w:rsidR="00F41FE1" w14:paraId="525EBB69" w14:textId="77777777" w:rsidTr="00B85940">
        <w:tc>
          <w:tcPr>
            <w:tcW w:w="2972" w:type="dxa"/>
          </w:tcPr>
          <w:p w14:paraId="78116F59" w14:textId="15DF4CC1" w:rsidR="00F41FE1" w:rsidRDefault="00F41FE1" w:rsidP="00B85940">
            <w:pPr>
              <w:pStyle w:val="IEEEStdsParagraph"/>
            </w:pPr>
            <w:r>
              <w:t>Transmission Packet format Identifier</w:t>
            </w:r>
          </w:p>
        </w:tc>
        <w:tc>
          <w:tcPr>
            <w:tcW w:w="6044" w:type="dxa"/>
          </w:tcPr>
          <w:p w14:paraId="4FE9AB55" w14:textId="5A818A43" w:rsidR="00F41FE1" w:rsidRDefault="00F41FE1" w:rsidP="00B85940">
            <w:pPr>
              <w:pStyle w:val="IEEEStdsParagraph"/>
            </w:pPr>
            <w:r>
              <w:t>Transmission packet format</w:t>
            </w:r>
          </w:p>
        </w:tc>
      </w:tr>
      <w:tr w:rsidR="00F41FE1" w14:paraId="514E579A" w14:textId="77777777" w:rsidTr="00B85940">
        <w:tc>
          <w:tcPr>
            <w:tcW w:w="2972" w:type="dxa"/>
          </w:tcPr>
          <w:p w14:paraId="17489BB1" w14:textId="77777777" w:rsidR="00F41FE1" w:rsidRDefault="00F41FE1" w:rsidP="00B85940">
            <w:pPr>
              <w:pStyle w:val="IEEEStdsParagraph"/>
            </w:pPr>
            <w:r>
              <w:t>0</w:t>
            </w:r>
          </w:p>
        </w:tc>
        <w:tc>
          <w:tcPr>
            <w:tcW w:w="6044" w:type="dxa"/>
          </w:tcPr>
          <w:p w14:paraId="57898208" w14:textId="4DE37BB4" w:rsidR="00F41FE1" w:rsidRDefault="00F41FE1" w:rsidP="00F41FE1">
            <w:pPr>
              <w:pStyle w:val="IEEEStdsParagraph"/>
            </w:pPr>
            <w:r>
              <w:t xml:space="preserve">Ranging </w:t>
            </w:r>
          </w:p>
        </w:tc>
      </w:tr>
      <w:tr w:rsidR="00F41FE1" w14:paraId="3D7952F4" w14:textId="77777777" w:rsidTr="00B85940">
        <w:tc>
          <w:tcPr>
            <w:tcW w:w="2972" w:type="dxa"/>
          </w:tcPr>
          <w:p w14:paraId="4583A1F6" w14:textId="77777777" w:rsidR="00F41FE1" w:rsidRDefault="00F41FE1" w:rsidP="00B85940">
            <w:pPr>
              <w:pStyle w:val="IEEEStdsParagraph"/>
            </w:pPr>
            <w:r>
              <w:t>1</w:t>
            </w:r>
          </w:p>
        </w:tc>
        <w:tc>
          <w:tcPr>
            <w:tcW w:w="6044" w:type="dxa"/>
          </w:tcPr>
          <w:p w14:paraId="65E92D3C" w14:textId="0B97BE34" w:rsidR="00F41FE1" w:rsidRDefault="00F41FE1" w:rsidP="00F41FE1">
            <w:pPr>
              <w:pStyle w:val="IEEEStdsParagraph"/>
            </w:pPr>
            <w:r>
              <w:t xml:space="preserve">Data communication </w:t>
            </w:r>
          </w:p>
        </w:tc>
      </w:tr>
      <w:tr w:rsidR="00F41FE1" w14:paraId="586B03B9" w14:textId="64E5CBAC" w:rsidTr="00B85940">
        <w:tc>
          <w:tcPr>
            <w:tcW w:w="2972" w:type="dxa"/>
          </w:tcPr>
          <w:p w14:paraId="727033A7" w14:textId="3EB63E2B" w:rsidR="00F41FE1" w:rsidRDefault="00F41FE1" w:rsidP="00B85940">
            <w:pPr>
              <w:pStyle w:val="IEEEStdsParagraph"/>
            </w:pPr>
            <w:r>
              <w:t>2</w:t>
            </w:r>
          </w:p>
        </w:tc>
        <w:tc>
          <w:tcPr>
            <w:tcW w:w="6044" w:type="dxa"/>
          </w:tcPr>
          <w:p w14:paraId="557A85C7" w14:textId="5830D846" w:rsidR="00F41FE1" w:rsidRDefault="00F41FE1" w:rsidP="00B85940">
            <w:pPr>
              <w:pStyle w:val="IEEEStdsParagraph"/>
            </w:pPr>
            <w:r>
              <w:t>MMS Ranging</w:t>
            </w:r>
          </w:p>
        </w:tc>
      </w:tr>
    </w:tbl>
    <w:p w14:paraId="3D2DE46F" w14:textId="2BE86BE8" w:rsidR="00314E16" w:rsidRDefault="00314E16" w:rsidP="000A0DE0">
      <w:pPr>
        <w:rPr>
          <w:lang w:eastAsia="ja-JP"/>
        </w:rPr>
      </w:pPr>
    </w:p>
    <w:p w14:paraId="0E80691E" w14:textId="3EDCC292" w:rsidR="005F0DC2" w:rsidRDefault="00F07420" w:rsidP="000A0DE0">
      <w:pPr>
        <w:rPr>
          <w:lang w:eastAsia="ja-JP"/>
        </w:rPr>
      </w:pPr>
      <w:r>
        <w:rPr>
          <w:lang w:eastAsia="ja-JP"/>
        </w:rPr>
        <w:t>The source of CIR report is indicated implicitly according to the transmission packet</w:t>
      </w:r>
      <w:r w:rsidR="00E1095A">
        <w:rPr>
          <w:lang w:eastAsia="ja-JP"/>
        </w:rPr>
        <w:t>.</w:t>
      </w:r>
    </w:p>
    <w:p w14:paraId="1FA7F581" w14:textId="7F57D89D" w:rsidR="00263350" w:rsidRDefault="00263350" w:rsidP="000A0DE0">
      <w:pPr>
        <w:rPr>
          <w:lang w:eastAsia="ja-JP"/>
        </w:rPr>
      </w:pPr>
    </w:p>
    <w:p w14:paraId="605B9CE0" w14:textId="73D2143D" w:rsidR="00263350" w:rsidRPr="00E60001" w:rsidRDefault="00263350" w:rsidP="00263350">
      <w:pPr>
        <w:keepNext/>
        <w:rPr>
          <w:rFonts w:ascii="Cambria" w:hAnsi="Cambria"/>
          <w:b/>
          <w:bCs/>
          <w:sz w:val="20"/>
          <w:szCs w:val="20"/>
        </w:rPr>
      </w:pPr>
      <w:r w:rsidRPr="00E60001">
        <w:rPr>
          <w:rFonts w:ascii="Cambria" w:hAnsi="Cambria"/>
          <w:b/>
          <w:bCs/>
          <w:sz w:val="20"/>
          <w:szCs w:val="20"/>
        </w:rPr>
        <w:t xml:space="preserve">Table </w:t>
      </w:r>
      <w:r>
        <w:rPr>
          <w:rFonts w:ascii="Cambria" w:hAnsi="Cambria"/>
          <w:b/>
          <w:bCs/>
          <w:sz w:val="20"/>
          <w:szCs w:val="20"/>
        </w:rPr>
        <w:t>11: Source of CIR Report</w:t>
      </w:r>
    </w:p>
    <w:p w14:paraId="359E2C58" w14:textId="77777777" w:rsidR="00263350" w:rsidRDefault="00263350" w:rsidP="00263350">
      <w:pPr>
        <w:rPr>
          <w:lang w:eastAsia="ja-JP"/>
        </w:rPr>
      </w:pPr>
    </w:p>
    <w:tbl>
      <w:tblPr>
        <w:tblStyle w:val="afb"/>
        <w:tblW w:w="0" w:type="auto"/>
        <w:tblLook w:val="04A0" w:firstRow="1" w:lastRow="0" w:firstColumn="1" w:lastColumn="0" w:noHBand="0" w:noVBand="1"/>
      </w:tblPr>
      <w:tblGrid>
        <w:gridCol w:w="2972"/>
        <w:gridCol w:w="6044"/>
      </w:tblGrid>
      <w:tr w:rsidR="00F07420" w:rsidRPr="00F07420" w14:paraId="0D81CAC6" w14:textId="77777777" w:rsidTr="00F07420">
        <w:trPr>
          <w:trHeight w:val="584"/>
        </w:trPr>
        <w:tc>
          <w:tcPr>
            <w:tcW w:w="2972" w:type="dxa"/>
            <w:hideMark/>
          </w:tcPr>
          <w:p w14:paraId="6CC0C5C9" w14:textId="77777777" w:rsidR="00F07420" w:rsidRPr="00F07420" w:rsidRDefault="00F07420" w:rsidP="00F07420">
            <w:pPr>
              <w:jc w:val="center"/>
              <w:rPr>
                <w:lang w:eastAsia="ja-JP"/>
              </w:rPr>
            </w:pPr>
            <w:r w:rsidRPr="00F07420">
              <w:rPr>
                <w:lang w:eastAsia="ja-JP"/>
              </w:rPr>
              <w:t>Transmission Packet</w:t>
            </w:r>
          </w:p>
        </w:tc>
        <w:tc>
          <w:tcPr>
            <w:tcW w:w="6044" w:type="dxa"/>
            <w:hideMark/>
          </w:tcPr>
          <w:p w14:paraId="3A709E9D" w14:textId="77777777" w:rsidR="00F07420" w:rsidRPr="00F07420" w:rsidRDefault="00F07420" w:rsidP="00F07420">
            <w:pPr>
              <w:jc w:val="center"/>
              <w:rPr>
                <w:lang w:eastAsia="ja-JP"/>
              </w:rPr>
            </w:pPr>
            <w:r w:rsidRPr="00F07420">
              <w:rPr>
                <w:lang w:eastAsia="ja-JP"/>
              </w:rPr>
              <w:t>Source of CIR report</w:t>
            </w:r>
          </w:p>
        </w:tc>
      </w:tr>
      <w:tr w:rsidR="00F07420" w:rsidRPr="00F07420" w14:paraId="13356886" w14:textId="77777777" w:rsidTr="00F07420">
        <w:trPr>
          <w:trHeight w:val="584"/>
        </w:trPr>
        <w:tc>
          <w:tcPr>
            <w:tcW w:w="2972" w:type="dxa"/>
            <w:hideMark/>
          </w:tcPr>
          <w:p w14:paraId="474CCA52" w14:textId="52D92E97" w:rsidR="00F07420" w:rsidRPr="00F07420" w:rsidRDefault="00F07420" w:rsidP="00F07420">
            <w:pPr>
              <w:jc w:val="center"/>
              <w:rPr>
                <w:lang w:eastAsia="ja-JP"/>
              </w:rPr>
            </w:pPr>
            <w:r w:rsidRPr="00F07420">
              <w:rPr>
                <w:lang w:eastAsia="ja-JP"/>
              </w:rPr>
              <w:t>SP0</w:t>
            </w:r>
            <w:r w:rsidR="008F7A0A">
              <w:rPr>
                <w:lang w:eastAsia="ja-JP"/>
              </w:rPr>
              <w:t>-SP3</w:t>
            </w:r>
          </w:p>
        </w:tc>
        <w:tc>
          <w:tcPr>
            <w:tcW w:w="6044" w:type="dxa"/>
            <w:hideMark/>
          </w:tcPr>
          <w:p w14:paraId="67FA9510" w14:textId="77777777" w:rsidR="00F07420" w:rsidRPr="00F07420" w:rsidRDefault="00F07420" w:rsidP="00F07420">
            <w:pPr>
              <w:jc w:val="center"/>
              <w:rPr>
                <w:lang w:eastAsia="ja-JP"/>
              </w:rPr>
            </w:pPr>
            <w:r w:rsidRPr="00F07420">
              <w:rPr>
                <w:lang w:eastAsia="ja-JP"/>
              </w:rPr>
              <w:t>SYNC</w:t>
            </w:r>
          </w:p>
        </w:tc>
      </w:tr>
      <w:tr w:rsidR="00F07420" w:rsidRPr="00F07420" w14:paraId="41AC7C28" w14:textId="77777777" w:rsidTr="00F07420">
        <w:trPr>
          <w:trHeight w:val="584"/>
        </w:trPr>
        <w:tc>
          <w:tcPr>
            <w:tcW w:w="2972" w:type="dxa"/>
            <w:hideMark/>
          </w:tcPr>
          <w:p w14:paraId="02F78AC4" w14:textId="2A593673" w:rsidR="00F07420" w:rsidRPr="00F07420" w:rsidRDefault="008F7A0A" w:rsidP="00F07420">
            <w:pPr>
              <w:jc w:val="center"/>
              <w:rPr>
                <w:lang w:eastAsia="ja-JP"/>
              </w:rPr>
            </w:pPr>
            <w:r>
              <w:rPr>
                <w:lang w:eastAsia="ja-JP"/>
              </w:rPr>
              <w:t>Dynamic Data</w:t>
            </w:r>
          </w:p>
        </w:tc>
        <w:tc>
          <w:tcPr>
            <w:tcW w:w="6044" w:type="dxa"/>
            <w:hideMark/>
          </w:tcPr>
          <w:p w14:paraId="6D932983" w14:textId="42769780" w:rsidR="00F07420" w:rsidRPr="00F07420" w:rsidRDefault="008F7A0A" w:rsidP="00F07420">
            <w:pPr>
              <w:jc w:val="center"/>
              <w:rPr>
                <w:lang w:eastAsia="ja-JP"/>
              </w:rPr>
            </w:pPr>
            <w:r>
              <w:rPr>
                <w:lang w:eastAsia="ja-JP"/>
              </w:rPr>
              <w:t>SYNC</w:t>
            </w:r>
          </w:p>
        </w:tc>
      </w:tr>
      <w:tr w:rsidR="00F07420" w:rsidRPr="00F07420" w14:paraId="6F47F534" w14:textId="77777777" w:rsidTr="00F07420">
        <w:trPr>
          <w:trHeight w:val="584"/>
        </w:trPr>
        <w:tc>
          <w:tcPr>
            <w:tcW w:w="2972" w:type="dxa"/>
            <w:hideMark/>
          </w:tcPr>
          <w:p w14:paraId="1123D4CA" w14:textId="77777777" w:rsidR="00F07420" w:rsidRPr="00F07420" w:rsidRDefault="00F07420" w:rsidP="00F07420">
            <w:pPr>
              <w:jc w:val="center"/>
              <w:rPr>
                <w:lang w:eastAsia="ja-JP"/>
              </w:rPr>
            </w:pPr>
            <w:r w:rsidRPr="00F07420">
              <w:rPr>
                <w:lang w:eastAsia="ja-JP"/>
              </w:rPr>
              <w:t>RSF-only MMS</w:t>
            </w:r>
          </w:p>
        </w:tc>
        <w:tc>
          <w:tcPr>
            <w:tcW w:w="6044" w:type="dxa"/>
            <w:hideMark/>
          </w:tcPr>
          <w:p w14:paraId="26A6FD16" w14:textId="77777777" w:rsidR="00F07420" w:rsidRPr="00F07420" w:rsidRDefault="00F07420" w:rsidP="00F07420">
            <w:pPr>
              <w:jc w:val="center"/>
              <w:rPr>
                <w:lang w:eastAsia="ja-JP"/>
              </w:rPr>
            </w:pPr>
            <w:r w:rsidRPr="00F07420">
              <w:rPr>
                <w:lang w:eastAsia="ja-JP"/>
              </w:rPr>
              <w:t>RSF</w:t>
            </w:r>
          </w:p>
        </w:tc>
      </w:tr>
      <w:tr w:rsidR="00F07420" w:rsidRPr="00F07420" w14:paraId="1BC7C86B" w14:textId="77777777" w:rsidTr="00F07420">
        <w:trPr>
          <w:trHeight w:val="584"/>
        </w:trPr>
        <w:tc>
          <w:tcPr>
            <w:tcW w:w="2972" w:type="dxa"/>
            <w:hideMark/>
          </w:tcPr>
          <w:p w14:paraId="3696BF48" w14:textId="77777777" w:rsidR="00F07420" w:rsidRPr="00F07420" w:rsidRDefault="00F07420" w:rsidP="00F07420">
            <w:pPr>
              <w:jc w:val="center"/>
              <w:rPr>
                <w:lang w:eastAsia="ja-JP"/>
              </w:rPr>
            </w:pPr>
            <w:r w:rsidRPr="00F07420">
              <w:rPr>
                <w:lang w:eastAsia="ja-JP"/>
              </w:rPr>
              <w:t>RIF-only MMS</w:t>
            </w:r>
          </w:p>
        </w:tc>
        <w:tc>
          <w:tcPr>
            <w:tcW w:w="6044" w:type="dxa"/>
            <w:hideMark/>
          </w:tcPr>
          <w:p w14:paraId="5034FC81" w14:textId="597D6B69" w:rsidR="00F07420" w:rsidRPr="00F07420" w:rsidRDefault="00F07420" w:rsidP="00F07420">
            <w:pPr>
              <w:jc w:val="center"/>
              <w:rPr>
                <w:lang w:eastAsia="ja-JP"/>
              </w:rPr>
            </w:pPr>
            <w:r w:rsidRPr="00F07420">
              <w:rPr>
                <w:lang w:eastAsia="ja-JP"/>
              </w:rPr>
              <w:t>RIF</w:t>
            </w:r>
            <w:r w:rsidR="002153DB">
              <w:rPr>
                <w:lang w:eastAsia="ja-JP"/>
              </w:rPr>
              <w:t>/</w:t>
            </w:r>
            <w:r w:rsidR="002153DB" w:rsidRPr="00B14A50">
              <w:rPr>
                <w:lang w:eastAsia="ja-JP"/>
              </w:rPr>
              <w:t>STS</w:t>
            </w:r>
          </w:p>
        </w:tc>
      </w:tr>
      <w:tr w:rsidR="00F07420" w:rsidRPr="00F07420" w14:paraId="18D9D63A" w14:textId="77777777" w:rsidTr="00F07420">
        <w:trPr>
          <w:trHeight w:val="584"/>
        </w:trPr>
        <w:tc>
          <w:tcPr>
            <w:tcW w:w="2972" w:type="dxa"/>
            <w:hideMark/>
          </w:tcPr>
          <w:p w14:paraId="5A606565" w14:textId="77777777" w:rsidR="00F07420" w:rsidRPr="00F07420" w:rsidRDefault="00F07420" w:rsidP="00F07420">
            <w:pPr>
              <w:jc w:val="center"/>
              <w:rPr>
                <w:lang w:eastAsia="ja-JP"/>
              </w:rPr>
            </w:pPr>
            <w:r w:rsidRPr="00F07420">
              <w:rPr>
                <w:lang w:eastAsia="ja-JP"/>
              </w:rPr>
              <w:t>Mixed MMS</w:t>
            </w:r>
          </w:p>
        </w:tc>
        <w:tc>
          <w:tcPr>
            <w:tcW w:w="6044" w:type="dxa"/>
            <w:hideMark/>
          </w:tcPr>
          <w:p w14:paraId="3F1EBA32" w14:textId="77777777" w:rsidR="00F07420" w:rsidRPr="00F07420" w:rsidRDefault="00F07420" w:rsidP="00F07420">
            <w:pPr>
              <w:jc w:val="center"/>
              <w:rPr>
                <w:lang w:eastAsia="ja-JP"/>
              </w:rPr>
            </w:pPr>
            <w:r w:rsidRPr="00F07420">
              <w:rPr>
                <w:lang w:eastAsia="ja-JP"/>
              </w:rPr>
              <w:t>RSF</w:t>
            </w:r>
          </w:p>
        </w:tc>
      </w:tr>
    </w:tbl>
    <w:p w14:paraId="681DF63E" w14:textId="77777777" w:rsidR="00263350" w:rsidRPr="006E69A5" w:rsidRDefault="00263350" w:rsidP="000A0DE0">
      <w:pPr>
        <w:rPr>
          <w:lang w:eastAsia="ja-JP"/>
        </w:rPr>
      </w:pPr>
    </w:p>
    <w:sectPr w:rsidR="00263350" w:rsidRPr="006E69A5"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1F9C0" w14:textId="77777777" w:rsidR="001359C4" w:rsidRDefault="001359C4" w:rsidP="00B72CFD">
      <w:r>
        <w:separator/>
      </w:r>
    </w:p>
  </w:endnote>
  <w:endnote w:type="continuationSeparator" w:id="0">
    <w:p w14:paraId="593883B8" w14:textId="77777777" w:rsidR="001359C4" w:rsidRDefault="001359C4"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631B8C45" w:rsidR="008808DD" w:rsidRPr="00005722" w:rsidRDefault="008808DD" w:rsidP="001E62CE">
    <w:pPr>
      <w:pStyle w:val="ae"/>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14A5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DE426" w14:textId="77777777" w:rsidR="001359C4" w:rsidRDefault="001359C4" w:rsidP="00B72CFD">
      <w:r>
        <w:separator/>
      </w:r>
    </w:p>
  </w:footnote>
  <w:footnote w:type="continuationSeparator" w:id="0">
    <w:p w14:paraId="47533F5A" w14:textId="77777777" w:rsidR="001359C4" w:rsidRDefault="001359C4"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1ACA8D8E" w:rsidR="008808DD" w:rsidRPr="00B72CFD" w:rsidRDefault="008808DD" w:rsidP="00B72CFD">
    <w:pPr>
      <w:pStyle w:val="a9"/>
      <w:spacing w:after="240" w:line="220" w:lineRule="exact"/>
      <w:rPr>
        <w:rFonts w:ascii="Times New Roman" w:hAnsi="Times New Roman"/>
      </w:rPr>
    </w:pPr>
    <w:r>
      <w:rPr>
        <w:rFonts w:ascii="Times New Roman" w:eastAsia="Malgun Gothic" w:hAnsi="Times New Roman"/>
        <w:u w:val="single"/>
      </w:rPr>
      <w:t xml:space="preserve"> </w:t>
    </w:r>
    <w:r w:rsidR="001D35E6">
      <w:rPr>
        <w:rFonts w:ascii="Times New Roman" w:eastAsia="Malgun Gothic" w:hAnsi="Times New Roman"/>
        <w:u w:val="single"/>
      </w:rPr>
      <w:t>August</w:t>
    </w:r>
    <w:r>
      <w:rPr>
        <w:rFonts w:ascii="Times New Roman" w:eastAsia="Malgun Gothic" w:hAnsi="Times New Roman"/>
        <w:u w:val="single"/>
      </w:rPr>
      <w:t xml:space="preserve">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331A43">
      <w:rPr>
        <w:rFonts w:ascii="Times New Roman" w:eastAsia="Malgun Gothic" w:hAnsi="Times New Roman"/>
        <w:u w:val="single"/>
      </w:rPr>
      <w:t>0</w:t>
    </w:r>
    <w:r w:rsidR="00500035">
      <w:rPr>
        <w:rFonts w:ascii="Times New Roman" w:eastAsia="Malgun Gothic" w:hAnsi="Times New Roman"/>
        <w:u w:val="single"/>
      </w:rPr>
      <w:t>451</w:t>
    </w:r>
    <w:r w:rsidRPr="00865063">
      <w:rPr>
        <w:rFonts w:ascii="Times New Roman" w:eastAsia="Malgun Gothic" w:hAnsi="Times New Roman"/>
        <w:u w:val="single"/>
      </w:rPr>
      <w:t>-0</w:t>
    </w:r>
    <w:r>
      <w:rPr>
        <w:rFonts w:ascii="Times New Roman" w:eastAsia="Malgun Gothic" w:hAnsi="Times New Roman"/>
        <w:u w:val="single"/>
      </w:rPr>
      <w:t>0</w:t>
    </w:r>
    <w:r w:rsidR="00331A43">
      <w:rPr>
        <w:rFonts w:ascii="Times New Roman" w:eastAsia="Malgun Gothic" w:hAnsi="Times New Roman"/>
        <w:u w:val="single"/>
      </w:rPr>
      <w:t>-</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5D97"/>
    <w:multiLevelType w:val="multilevel"/>
    <w:tmpl w:val="A63499CE"/>
    <w:lvl w:ilvl="0">
      <w:start w:val="2"/>
      <w:numFmt w:val="decimal"/>
      <w:pStyle w:val="1"/>
      <w:suff w:val="space"/>
      <w:lvlText w:val="%1"/>
      <w:lvlJc w:val="left"/>
      <w:pPr>
        <w:ind w:left="0" w:firstLine="0"/>
      </w:pPr>
      <w:rPr>
        <w:rFonts w:ascii="Arial Bold" w:hAnsi="Arial Bold" w:hint="default"/>
        <w:b/>
        <w:i w:val="0"/>
        <w:sz w:val="24"/>
      </w:rPr>
    </w:lvl>
    <w:lvl w:ilvl="1">
      <w:start w:val="7"/>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7"/>
  </w:num>
  <w:num w:numId="2">
    <w:abstractNumId w:val="15"/>
  </w:num>
  <w:num w:numId="3">
    <w:abstractNumId w:val="14"/>
  </w:num>
  <w:num w:numId="4">
    <w:abstractNumId w:val="5"/>
  </w:num>
  <w:num w:numId="5">
    <w:abstractNumId w:val="0"/>
  </w:num>
  <w:num w:numId="6">
    <w:abstractNumId w:val="8"/>
  </w:num>
  <w:num w:numId="7">
    <w:abstractNumId w:val="1"/>
  </w:num>
  <w:num w:numId="8">
    <w:abstractNumId w:val="10"/>
  </w:num>
  <w:num w:numId="9">
    <w:abstractNumId w:val="4"/>
  </w:num>
  <w:num w:numId="10">
    <w:abstractNumId w:val="2"/>
  </w:num>
  <w:num w:numId="11">
    <w:abstractNumId w:val="6"/>
  </w:num>
  <w:num w:numId="12">
    <w:abstractNumId w:val="12"/>
  </w:num>
  <w:num w:numId="13">
    <w:abstractNumId w:val="3"/>
  </w:num>
  <w:num w:numId="14">
    <w:abstractNumId w:val="9"/>
  </w:num>
  <w:num w:numId="15">
    <w:abstractNumId w:val="14"/>
  </w:num>
  <w:num w:numId="16">
    <w:abstractNumId w:val="11"/>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8"/>
    </w:lvlOverride>
    <w:lvlOverride w:ilvl="1">
      <w:startOverride w:val="2"/>
    </w:lvlOverride>
  </w:num>
  <w:num w:numId="25">
    <w:abstractNumId w:val="7"/>
    <w:lvlOverride w:ilvl="0">
      <w:startOverride w:val="8"/>
    </w:lvlOverride>
    <w:lvlOverride w:ilvl="1">
      <w:startOverride w:val="2"/>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3"/>
    </w:lvlOverride>
  </w:num>
  <w:num w:numId="28">
    <w:abstractNumId w:val="7"/>
  </w:num>
  <w:num w:numId="29">
    <w:abstractNumId w:val="14"/>
  </w:num>
  <w:num w:numId="30">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2"/>
    </w:lvlOverride>
    <w:lvlOverride w:ilvl="1">
      <w:startOverride w:val="6"/>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9C4"/>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53D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0F3A"/>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8B0"/>
    <w:rsid w:val="002C7A12"/>
    <w:rsid w:val="002C7A86"/>
    <w:rsid w:val="002D0C21"/>
    <w:rsid w:val="002D0EA5"/>
    <w:rsid w:val="002D1BDB"/>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098"/>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72B1"/>
    <w:rsid w:val="00337615"/>
    <w:rsid w:val="00340129"/>
    <w:rsid w:val="00341C72"/>
    <w:rsid w:val="00341DE3"/>
    <w:rsid w:val="00342A9B"/>
    <w:rsid w:val="00342DF9"/>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323C"/>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0035"/>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8F7A0A"/>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A50"/>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57B"/>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213"/>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82B"/>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E56A2"/>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F06C0"/>
    <w:rsid w:val="00EF1914"/>
    <w:rsid w:val="00EF3B8E"/>
    <w:rsid w:val="00EF401C"/>
    <w:rsid w:val="00EF43C0"/>
    <w:rsid w:val="00EF4CF0"/>
    <w:rsid w:val="00EF51FF"/>
    <w:rsid w:val="00EF55C7"/>
    <w:rsid w:val="00EF760A"/>
    <w:rsid w:val="00EF7C19"/>
    <w:rsid w:val="00F02491"/>
    <w:rsid w:val="00F04795"/>
    <w:rsid w:val="00F07420"/>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1FE1"/>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AB065C"/>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AB065C"/>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F335AD"/>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D9117B"/>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8"/>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9">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9"/>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a">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b">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b"/>
    <w:rsid w:val="00440520"/>
    <w:pPr>
      <w:tabs>
        <w:tab w:val="clear" w:pos="400"/>
        <w:tab w:val="left" w:pos="800"/>
      </w:tabs>
      <w:ind w:left="800"/>
    </w:pPr>
  </w:style>
  <w:style w:type="paragraph" w:styleId="32">
    <w:name w:val="List Continue 3"/>
    <w:basedOn w:val="ab"/>
    <w:rsid w:val="00440520"/>
    <w:pPr>
      <w:tabs>
        <w:tab w:val="clear" w:pos="400"/>
        <w:tab w:val="left" w:pos="1200"/>
      </w:tabs>
      <w:ind w:left="1200"/>
    </w:pPr>
  </w:style>
  <w:style w:type="paragraph" w:styleId="41">
    <w:name w:val="List Continue 4"/>
    <w:basedOn w:val="ab"/>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c">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c"/>
    <w:uiPriority w:val="99"/>
    <w:rsid w:val="00440520"/>
    <w:rPr>
      <w:rFonts w:ascii="Arial" w:eastAsia="Times New Roman" w:hAnsi="Arial" w:cs="Times New Roman"/>
      <w:sz w:val="18"/>
      <w:szCs w:val="20"/>
      <w:lang w:val="en-GB" w:eastAsia="x-none"/>
    </w:rPr>
  </w:style>
  <w:style w:type="character" w:styleId="ad">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e">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e"/>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11"/>
    <w:next w:val="a"/>
    <w:uiPriority w:val="39"/>
    <w:rsid w:val="00440520"/>
    <w:pPr>
      <w:spacing w:before="0"/>
      <w:ind w:left="400"/>
    </w:pPr>
    <w:rPr>
      <w:i/>
      <w:iCs/>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0">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1">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1"/>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2">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3">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4">
    <w:name w:val="annotation reference"/>
    <w:uiPriority w:val="99"/>
    <w:rsid w:val="00440520"/>
    <w:rPr>
      <w:sz w:val="18"/>
      <w:szCs w:val="18"/>
    </w:rPr>
  </w:style>
  <w:style w:type="paragraph" w:styleId="af5">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5"/>
    <w:uiPriority w:val="99"/>
    <w:rsid w:val="00440520"/>
    <w:rPr>
      <w:rFonts w:ascii="Arial" w:eastAsia="Times New Roman" w:hAnsi="Arial" w:cs="Times New Roman"/>
      <w:sz w:val="24"/>
      <w:szCs w:val="24"/>
      <w:lang w:val="en-GB" w:eastAsia="x-none"/>
    </w:rPr>
  </w:style>
  <w:style w:type="paragraph" w:styleId="af6">
    <w:name w:val="annotation subject"/>
    <w:basedOn w:val="af5"/>
    <w:next w:val="af5"/>
    <w:link w:val="Char5"/>
    <w:uiPriority w:val="99"/>
    <w:rsid w:val="00440520"/>
    <w:rPr>
      <w:b/>
      <w:bCs/>
    </w:rPr>
  </w:style>
  <w:style w:type="character" w:customStyle="1" w:styleId="Char5">
    <w:name w:val="批注主题 Char"/>
    <w:basedOn w:val="Char4"/>
    <w:link w:val="af6"/>
    <w:uiPriority w:val="99"/>
    <w:rsid w:val="00440520"/>
    <w:rPr>
      <w:rFonts w:ascii="Arial" w:eastAsia="Times New Roman" w:hAnsi="Arial" w:cs="Times New Roman"/>
      <w:b/>
      <w:bCs/>
      <w:sz w:val="24"/>
      <w:szCs w:val="24"/>
      <w:lang w:val="en-GB" w:eastAsia="x-none"/>
    </w:rPr>
  </w:style>
  <w:style w:type="paragraph" w:styleId="af7">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7"/>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8">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9">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9"/>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c"/>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a">
    <w:name w:val="FollowedHyperlink"/>
    <w:uiPriority w:val="99"/>
    <w:rsid w:val="00440520"/>
    <w:rPr>
      <w:rFonts w:cs="Times New Roman"/>
      <w:color w:val="800080"/>
      <w:u w:val="single"/>
    </w:rPr>
  </w:style>
  <w:style w:type="table" w:styleId="afb">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c">
    <w:name w:val="Normal (Web)"/>
    <w:basedOn w:val="a"/>
    <w:uiPriority w:val="99"/>
    <w:rsid w:val="00440520"/>
    <w:pPr>
      <w:spacing w:before="100" w:beforeAutospacing="1" w:after="100" w:afterAutospacing="1"/>
    </w:pPr>
  </w:style>
  <w:style w:type="character" w:styleId="afd">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e">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0">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353722507">
      <w:bodyDiv w:val="1"/>
      <w:marLeft w:val="0"/>
      <w:marRight w:val="0"/>
      <w:marTop w:val="0"/>
      <w:marBottom w:val="0"/>
      <w:divBdr>
        <w:top w:val="none" w:sz="0" w:space="0" w:color="auto"/>
        <w:left w:val="none" w:sz="0" w:space="0" w:color="auto"/>
        <w:bottom w:val="none" w:sz="0" w:space="0" w:color="auto"/>
        <w:right w:val="none" w:sz="0" w:space="0" w:color="auto"/>
      </w:divBdr>
      <w:divsChild>
        <w:div w:id="1517382295">
          <w:marLeft w:val="1886"/>
          <w:marRight w:val="0"/>
          <w:marTop w:val="12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62545155">
      <w:bodyDiv w:val="1"/>
      <w:marLeft w:val="0"/>
      <w:marRight w:val="0"/>
      <w:marTop w:val="0"/>
      <w:marBottom w:val="0"/>
      <w:divBdr>
        <w:top w:val="none" w:sz="0" w:space="0" w:color="auto"/>
        <w:left w:val="none" w:sz="0" w:space="0" w:color="auto"/>
        <w:bottom w:val="none" w:sz="0" w:space="0" w:color="auto"/>
        <w:right w:val="none" w:sz="0" w:space="0" w:color="auto"/>
      </w:divBdr>
    </w:div>
    <w:div w:id="1684749271">
      <w:bodyDiv w:val="1"/>
      <w:marLeft w:val="0"/>
      <w:marRight w:val="0"/>
      <w:marTop w:val="0"/>
      <w:marBottom w:val="0"/>
      <w:divBdr>
        <w:top w:val="none" w:sz="0" w:space="0" w:color="auto"/>
        <w:left w:val="none" w:sz="0" w:space="0" w:color="auto"/>
        <w:bottom w:val="none" w:sz="0" w:space="0" w:color="auto"/>
        <w:right w:val="none" w:sz="0" w:space="0" w:color="auto"/>
      </w:divBdr>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4.xml><?xml version="1.0" encoding="utf-8"?>
<ds:datastoreItem xmlns:ds="http://schemas.openxmlformats.org/officeDocument/2006/customXml" ds:itemID="{1AF6CD42-94E5-48A3-ADC0-589414A4662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30565</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321</cp:revision>
  <cp:lastPrinted>2020-03-02T15:13:00Z</cp:lastPrinted>
  <dcterms:created xsi:type="dcterms:W3CDTF">2023-03-01T01:27:00Z</dcterms:created>
  <dcterms:modified xsi:type="dcterms:W3CDTF">2023-08-28T10:44:00Z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(3)DulXpQH3MLeUyazR3c7w0fw2Nca6RXaqQJ45nz3S2+yDAsoOVF+QeE+4BSdL+Bg722PBn7kp
XLwNZHm016/vu41ymVXP5qF6FH2YDK7cIocKnkAogo9s9W6z8eA3QcA56zhXUyKHLxg/7yDJ
sgQTYfSTTRmzVucqJSmDvoCU1gm4ukKKCRFY9IU7cdy03WZwC9rKvxpKKJ65Rw4r1CLMLwg0
y5bYwjDJXf6tEoEu32</vt:lpwstr>
  </property>
  <property fmtid="{D5CDD505-2E9C-101B-9397-08002B2CF9AE}" pid="4" name="_2015_ms_pID_7253431">
    <vt:lpwstr>OIGMuTyjOXhxUwYObsYW2jUuvQprqx/HUAm3CdaIabX43s7oVFxdp0
kPPsM0WP1htMKLN2l8nDeF+Ty2N0VStT/FF6/e22nbdZCNBEk8t155QLyUmDw41QoAIrjj/V
+6X7D+5wGSG3dyNYeOWC2lquSURALhWQKjrxhGQyxTv/nW98IBccVjyFYSnOTpmbBg08lUkT
KbukNjjGihJh/ykeLy2o9IdCPgDvHKZeVpeY</vt:lpwstr>
  </property>
  <property fmtid="{D5CDD505-2E9C-101B-9397-08002B2CF9AE}" pid="5" name="_2015_ms_pID_7253432">
    <vt:lpwstr>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