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17F060CD" w:rsidR="00846BB8" w:rsidRPr="007A6B39" w:rsidRDefault="00473B6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Text for Frequency Stitching in UWB sensing (Based on UWB sensing TFD)</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436E8CFA" w:rsidR="00846BB8" w:rsidRPr="007A6B39" w:rsidRDefault="00695CFB"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C23218">
              <w:rPr>
                <w:rFonts w:eastAsia="DejaVu Sans"/>
                <w:kern w:val="1"/>
                <w:lang w:eastAsia="ar-SA"/>
              </w:rPr>
              <w:t>July</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682C4CE7" w:rsidR="00846BB8" w:rsidRPr="00C97F55" w:rsidRDefault="00473B6F" w:rsidP="00FD5B91">
            <w:pPr>
              <w:jc w:val="both"/>
              <w:rPr>
                <w:rFonts w:eastAsiaTheme="minorEastAsia"/>
                <w:lang w:eastAsia="zh-CN"/>
              </w:rPr>
            </w:pPr>
            <w:r>
              <w:rPr>
                <w:rFonts w:eastAsiaTheme="minorEastAsia"/>
                <w:lang w:eastAsia="zh-CN"/>
              </w:rPr>
              <w:t>Aniruddh Rao Kabbinale</w:t>
            </w:r>
            <w:r w:rsidR="00B51584">
              <w:rPr>
                <w:rFonts w:eastAsiaTheme="minorEastAsia"/>
                <w:lang w:eastAsia="zh-CN"/>
              </w:rPr>
              <w:t xml:space="preserve">, Ankur Bansal, Karthik Srinivasa </w:t>
            </w:r>
            <w:proofErr w:type="spellStart"/>
            <w:r w:rsidR="00B51584">
              <w:rPr>
                <w:rFonts w:eastAsiaTheme="minorEastAsia"/>
                <w:lang w:eastAsia="zh-CN"/>
              </w:rPr>
              <w:t>Gopalan</w:t>
            </w:r>
            <w:proofErr w:type="spellEnd"/>
            <w:r w:rsidR="00B51584">
              <w:rPr>
                <w:rFonts w:eastAsiaTheme="minorEastAsia"/>
                <w:lang w:eastAsia="zh-CN"/>
              </w:rPr>
              <w:t xml:space="preserve">, </w:t>
            </w:r>
            <w:proofErr w:type="spellStart"/>
            <w:r w:rsidR="00B51584">
              <w:rPr>
                <w:rFonts w:eastAsiaTheme="minorEastAsia"/>
                <w:lang w:eastAsia="zh-CN"/>
              </w:rPr>
              <w:t>Mingyu</w:t>
            </w:r>
            <w:proofErr w:type="spellEnd"/>
            <w:r w:rsidR="00B51584">
              <w:rPr>
                <w:rFonts w:eastAsiaTheme="minorEastAsia"/>
                <w:lang w:eastAsia="zh-CN"/>
              </w:rPr>
              <w:t xml:space="preserve"> Lee</w:t>
            </w:r>
            <w:r w:rsidR="00FD5B91">
              <w:rPr>
                <w:rFonts w:eastAsiaTheme="minorEastAsia"/>
                <w:lang w:eastAsia="zh-CN"/>
              </w:rPr>
              <w:t xml:space="preserve"> (Samsung Electronics)</w:t>
            </w:r>
            <w:r w:rsidR="00B51584">
              <w:rPr>
                <w:rFonts w:eastAsiaTheme="minorEastAsia"/>
                <w:lang w:eastAsia="zh-CN"/>
              </w:rPr>
              <w:t>, Frank Leong</w:t>
            </w:r>
            <w:r w:rsidR="00F97CA2">
              <w:rPr>
                <w:rFonts w:eastAsiaTheme="minorEastAsia"/>
                <w:lang w:eastAsia="zh-CN"/>
              </w:rPr>
              <w:t>, Riku Pirhonen</w:t>
            </w:r>
            <w:r w:rsidR="00F952BB">
              <w:rPr>
                <w:rFonts w:eastAsiaTheme="minorEastAsia"/>
                <w:lang w:eastAsia="zh-CN"/>
              </w:rPr>
              <w:t xml:space="preserve">, Wolfgang </w:t>
            </w:r>
            <w:proofErr w:type="spellStart"/>
            <w:r w:rsidR="00F952BB">
              <w:rPr>
                <w:rFonts w:eastAsiaTheme="minorEastAsia"/>
                <w:lang w:eastAsia="zh-CN"/>
              </w:rPr>
              <w:t>Kuchler</w:t>
            </w:r>
            <w:proofErr w:type="spellEnd"/>
            <w:r w:rsidR="00B51584">
              <w:rPr>
                <w:rFonts w:eastAsiaTheme="minorEastAsia"/>
                <w:lang w:eastAsia="zh-CN"/>
              </w:rPr>
              <w:t xml:space="preserve"> (NXP), Bin Qian, Huang Lei (Huawei)</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Header"/>
        <w:tabs>
          <w:tab w:val="left" w:pos="1465"/>
          <w:tab w:val="center" w:pos="4513"/>
        </w:tabs>
        <w:rPr>
          <w:rFonts w:ascii="Times New Roman" w:eastAsia="MS Mincho" w:hAnsi="Times New Roman"/>
          <w:sz w:val="24"/>
          <w:szCs w:val="24"/>
        </w:rPr>
      </w:pPr>
      <w:r w:rsidRPr="00984625">
        <w:rPr>
          <w:rFonts w:eastAsia="MS Mincho"/>
        </w:rPr>
        <w:br w:type="page"/>
      </w:r>
    </w:p>
    <w:p w14:paraId="358BB14B" w14:textId="1ECF459C"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E91203">
        <w:rPr>
          <w:rFonts w:eastAsiaTheme="minorEastAsia"/>
          <w:i/>
          <w:lang w:eastAsia="zh-CN"/>
        </w:rPr>
        <w:t>4</w:t>
      </w:r>
      <w:r w:rsidR="00B51DF1">
        <w:rPr>
          <w:rFonts w:eastAsiaTheme="minorEastAsia"/>
          <w:i/>
          <w:lang w:eastAsia="zh-CN"/>
        </w:rPr>
        <w:t>-04ab-proposal-of-sensing-framewo</w:t>
      </w:r>
      <w:bookmarkStart w:id="0" w:name="_GoBack"/>
      <w:bookmarkEnd w:id="0"/>
      <w:r w:rsidR="00B51DF1">
        <w:rPr>
          <w:rFonts w:eastAsiaTheme="minorEastAsia"/>
          <w:i/>
          <w:lang w:eastAsia="zh-CN"/>
        </w:rPr>
        <w:t xml:space="preserve">rk. </w:t>
      </w:r>
    </w:p>
    <w:p w14:paraId="4B1D619D" w14:textId="77777777" w:rsidR="00184D42" w:rsidRDefault="00184D42" w:rsidP="003F5978">
      <w:pPr>
        <w:jc w:val="both"/>
        <w:rPr>
          <w:rFonts w:eastAsiaTheme="minorEastAsia"/>
          <w:i/>
          <w:lang w:eastAsia="zh-CN"/>
        </w:rPr>
      </w:pPr>
    </w:p>
    <w:p w14:paraId="079D6E58" w14:textId="03E2A5A6" w:rsidR="00410A87" w:rsidRPr="00410A87" w:rsidRDefault="00410A87" w:rsidP="003F5978">
      <w:pPr>
        <w:jc w:val="both"/>
        <w:rPr>
          <w:rFonts w:eastAsiaTheme="minorEastAsia"/>
          <w:i/>
          <w:lang w:eastAsia="zh-CN"/>
        </w:rPr>
      </w:pPr>
      <w:r w:rsidRPr="00410A87">
        <w:rPr>
          <w:rFonts w:eastAsiaTheme="minorEastAsia" w:hint="eastAsia"/>
          <w:i/>
          <w:lang w:eastAsia="zh-CN"/>
        </w:rPr>
        <w:t>I</w:t>
      </w:r>
      <w:r w:rsidR="00473B6F">
        <w:rPr>
          <w:rFonts w:eastAsiaTheme="minorEastAsia"/>
          <w:i/>
          <w:lang w:eastAsia="zh-CN"/>
        </w:rPr>
        <w:t xml:space="preserve">nsert a new </w:t>
      </w:r>
      <w:proofErr w:type="spellStart"/>
      <w:r w:rsidR="00473B6F">
        <w:rPr>
          <w:rFonts w:eastAsiaTheme="minorEastAsia"/>
          <w:i/>
          <w:lang w:eastAsia="zh-CN"/>
        </w:rPr>
        <w:t>subclause</w:t>
      </w:r>
      <w:proofErr w:type="spellEnd"/>
      <w:r w:rsidR="00473B6F">
        <w:rPr>
          <w:rFonts w:eastAsiaTheme="minorEastAsia"/>
          <w:i/>
          <w:lang w:eastAsia="zh-CN"/>
        </w:rPr>
        <w:t xml:space="preserve"> 2.3.2 after 2.3.1</w:t>
      </w:r>
      <w:r w:rsidRPr="00410A87">
        <w:rPr>
          <w:rFonts w:eastAsiaTheme="minorEastAsia"/>
          <w:i/>
          <w:lang w:eastAsia="zh-CN"/>
        </w:rPr>
        <w:t xml:space="preserve"> as follows</w:t>
      </w:r>
    </w:p>
    <w:p w14:paraId="01D60976" w14:textId="77777777" w:rsidR="00410A87" w:rsidRPr="00410A87" w:rsidRDefault="00410A87" w:rsidP="00410A87">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1" w:name="_Toc133784205"/>
      <w:bookmarkEnd w:id="1"/>
    </w:p>
    <w:p w14:paraId="23FD112C" w14:textId="77777777" w:rsidR="00410A87" w:rsidRPr="00410A87" w:rsidRDefault="00410A87" w:rsidP="00410A87">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x-none"/>
        </w:rPr>
      </w:pPr>
      <w:bookmarkStart w:id="2" w:name="_Toc133784206"/>
      <w:bookmarkEnd w:id="2"/>
    </w:p>
    <w:p w14:paraId="1E9C0DA0" w14:textId="66F24100" w:rsidR="00C1111F" w:rsidRDefault="00473B6F" w:rsidP="00942BEA">
      <w:pPr>
        <w:pStyle w:val="Heading2"/>
        <w:numPr>
          <w:ilvl w:val="1"/>
          <w:numId w:val="27"/>
        </w:numPr>
      </w:pPr>
      <w:r w:rsidRPr="00473B6F">
        <w:t>Operational modes for UWB sensing</w:t>
      </w:r>
    </w:p>
    <w:p w14:paraId="45D5F911" w14:textId="77777777" w:rsidR="00473B6F" w:rsidRPr="00473B6F" w:rsidRDefault="00473B6F" w:rsidP="00473B6F">
      <w:pPr>
        <w:pStyle w:val="ListParagraph"/>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bookmarkStart w:id="3" w:name="_Toc133784208"/>
      <w:bookmarkStart w:id="4" w:name="_Toc133784215"/>
      <w:bookmarkEnd w:id="3"/>
    </w:p>
    <w:p w14:paraId="4B1B1718" w14:textId="77777777" w:rsidR="00473B6F" w:rsidRPr="00473B6F" w:rsidRDefault="00473B6F" w:rsidP="00473B6F">
      <w:pPr>
        <w:pStyle w:val="ListParagraph"/>
        <w:keepNext/>
        <w:keepLines/>
        <w:numPr>
          <w:ilvl w:val="0"/>
          <w:numId w:val="3"/>
        </w:numPr>
        <w:suppressAutoHyphens/>
        <w:spacing w:before="360" w:line="240" w:lineRule="auto"/>
        <w:contextualSpacing w:val="0"/>
        <w:jc w:val="left"/>
        <w:outlineLvl w:val="0"/>
        <w:rPr>
          <w:rFonts w:eastAsiaTheme="minorEastAsia"/>
          <w:b/>
          <w:vanish/>
          <w:sz w:val="24"/>
          <w:lang w:val="en-US" w:eastAsia="ja-JP"/>
        </w:rPr>
      </w:pPr>
    </w:p>
    <w:p w14:paraId="69ABCBA8" w14:textId="77777777" w:rsidR="00473B6F" w:rsidRPr="00473B6F" w:rsidRDefault="00473B6F" w:rsidP="00473B6F">
      <w:pPr>
        <w:pStyle w:val="ListParagraph"/>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63F65062" w14:textId="77777777" w:rsidR="00473B6F" w:rsidRPr="00473B6F" w:rsidRDefault="00473B6F" w:rsidP="00473B6F">
      <w:pPr>
        <w:pStyle w:val="ListParagraph"/>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1050D112" w14:textId="77777777" w:rsidR="00473B6F" w:rsidRPr="00473B6F" w:rsidRDefault="00473B6F" w:rsidP="00473B6F">
      <w:pPr>
        <w:pStyle w:val="ListParagraph"/>
        <w:keepNext/>
        <w:keepLines/>
        <w:numPr>
          <w:ilvl w:val="1"/>
          <w:numId w:val="3"/>
        </w:numPr>
        <w:suppressAutoHyphens/>
        <w:spacing w:before="360" w:line="240" w:lineRule="auto"/>
        <w:contextualSpacing w:val="0"/>
        <w:jc w:val="left"/>
        <w:outlineLvl w:val="1"/>
        <w:rPr>
          <w:rFonts w:eastAsiaTheme="minorEastAsia"/>
          <w:b/>
          <w:vanish/>
          <w:sz w:val="22"/>
          <w:lang w:val="en-US" w:eastAsia="ja-JP"/>
        </w:rPr>
      </w:pPr>
    </w:p>
    <w:p w14:paraId="0F9E4D65" w14:textId="77777777" w:rsidR="00473B6F" w:rsidRPr="00473B6F" w:rsidRDefault="00473B6F" w:rsidP="00473B6F">
      <w:pPr>
        <w:pStyle w:val="ListParagraph"/>
        <w:keepNext/>
        <w:keepLines/>
        <w:numPr>
          <w:ilvl w:val="2"/>
          <w:numId w:val="3"/>
        </w:numPr>
        <w:suppressAutoHyphens/>
        <w:spacing w:before="240" w:line="240" w:lineRule="auto"/>
        <w:contextualSpacing w:val="0"/>
        <w:jc w:val="left"/>
        <w:outlineLvl w:val="2"/>
        <w:rPr>
          <w:rFonts w:eastAsiaTheme="minorEastAsia"/>
          <w:b/>
          <w:vanish/>
          <w:lang w:val="en-US" w:eastAsia="ja-JP"/>
        </w:rPr>
      </w:pPr>
    </w:p>
    <w:bookmarkEnd w:id="4"/>
    <w:p w14:paraId="176E82D8" w14:textId="09175971" w:rsidR="00370073" w:rsidRPr="00184D42" w:rsidRDefault="00473B6F" w:rsidP="00473B6F">
      <w:pPr>
        <w:pStyle w:val="IEEEStdsLevel3Header"/>
        <w:rPr>
          <w:rFonts w:eastAsiaTheme="minorEastAsia"/>
        </w:rPr>
      </w:pPr>
      <w:r>
        <w:rPr>
          <w:rFonts w:eastAsiaTheme="minorEastAsia"/>
        </w:rPr>
        <w:t>Frequency Stitching</w:t>
      </w:r>
      <w:r w:rsidR="00DE573F" w:rsidRPr="00184D42">
        <w:rPr>
          <w:rFonts w:eastAsiaTheme="minorEastAsia"/>
        </w:rPr>
        <w:t xml:space="preserve"> </w:t>
      </w:r>
    </w:p>
    <w:p w14:paraId="61D4E527" w14:textId="642195DF" w:rsidR="00AE03D1" w:rsidRDefault="00473B6F" w:rsidP="001E141B">
      <w:pPr>
        <w:jc w:val="both"/>
        <w:rPr>
          <w:lang w:eastAsia="ja-JP"/>
        </w:rPr>
      </w:pPr>
      <w:r>
        <w:rPr>
          <w:lang w:eastAsia="ja-JP"/>
        </w:rPr>
        <w:t>Frequency stitching</w:t>
      </w:r>
      <w:r w:rsidR="00275683">
        <w:rPr>
          <w:lang w:eastAsia="ja-JP"/>
        </w:rPr>
        <w:t xml:space="preserve"> combines multiple carrier frequencies, to improve sensing link budget and accuracy. Frequency stitching is an optional feature for mono-static and bi/multi-static modes. Frequency stitching can be performed with overlapping carrier frequencies or </w:t>
      </w:r>
      <w:r w:rsidR="001E141B">
        <w:rPr>
          <w:lang w:eastAsia="ja-JP"/>
        </w:rPr>
        <w:t>non-overlapping</w:t>
      </w:r>
      <w:r w:rsidR="00275683">
        <w:rPr>
          <w:lang w:eastAsia="ja-JP"/>
        </w:rPr>
        <w:t xml:space="preserve"> carrier frequencies. Carrier frequency grid configuration determines the percentage of overlap of transmissions in frequency stitching. A carrier frequency grid configuration of 124.8 MHz indicates an overlap of 75%</w:t>
      </w:r>
      <w:r w:rsidR="001E141B">
        <w:rPr>
          <w:lang w:eastAsia="ja-JP"/>
        </w:rPr>
        <w:t>, carrier frequency grid configuration of 249.6 MHz indicates an overlap of 50% and a carrier frequency grid configuration of 374.4 MHz indicates an overlap of 25%. Carrier frequency grid configuration of 499.2 MHz indicates no overlap of transmissions in frequency stitching.</w:t>
      </w:r>
      <w:r w:rsidR="00AE03D1">
        <w:rPr>
          <w:lang w:eastAsia="ja-JP"/>
        </w:rPr>
        <w:t xml:space="preserve"> </w:t>
      </w:r>
      <w:r w:rsidR="00314E16">
        <w:rPr>
          <w:lang w:eastAsia="ja-JP"/>
        </w:rPr>
        <w:t>The sensing report can be shared per transmission or an aggregated report is sent after the last transmission.</w:t>
      </w:r>
    </w:p>
    <w:p w14:paraId="63CEA526" w14:textId="77777777" w:rsidR="00473B6F" w:rsidRDefault="00473B6F" w:rsidP="000A0DE0">
      <w:pPr>
        <w:rPr>
          <w:lang w:eastAsia="ja-JP"/>
        </w:rPr>
      </w:pPr>
    </w:p>
    <w:p w14:paraId="1BE8B30D" w14:textId="77777777" w:rsidR="00473B6F" w:rsidRDefault="00473B6F" w:rsidP="000A0DE0">
      <w:pPr>
        <w:rPr>
          <w:rFonts w:eastAsiaTheme="minorEastAsia"/>
          <w:i/>
          <w:lang w:eastAsia="zh-CN"/>
        </w:rPr>
      </w:pPr>
    </w:p>
    <w:p w14:paraId="1A584AEA" w14:textId="25E0BA52" w:rsidR="00A01461" w:rsidRDefault="00A01461" w:rsidP="000A0DE0">
      <w:pPr>
        <w:rPr>
          <w:rFonts w:eastAsiaTheme="minorEastAsia"/>
          <w:i/>
          <w:lang w:eastAsia="zh-CN"/>
        </w:rPr>
      </w:pPr>
      <w:r>
        <w:rPr>
          <w:rFonts w:eastAsiaTheme="minorEastAsia"/>
          <w:i/>
          <w:lang w:eastAsia="zh-CN"/>
        </w:rPr>
        <w:t xml:space="preserve">Changes to Table 6 in </w:t>
      </w:r>
      <w:r w:rsidR="00471FB7">
        <w:rPr>
          <w:rFonts w:eastAsiaTheme="minorEastAsia"/>
          <w:i/>
          <w:lang w:eastAsia="zh-CN"/>
        </w:rPr>
        <w:t>2.6.2 are marked in RED color.</w:t>
      </w:r>
    </w:p>
    <w:p w14:paraId="56C7EFF3" w14:textId="426791FC" w:rsidR="00473B6F" w:rsidRDefault="00473B6F" w:rsidP="000A0DE0">
      <w:pPr>
        <w:rPr>
          <w:rFonts w:eastAsiaTheme="minorEastAsia"/>
          <w:i/>
          <w:lang w:eastAsia="zh-CN"/>
        </w:rPr>
      </w:pPr>
      <w:r w:rsidRPr="00410A87">
        <w:rPr>
          <w:rFonts w:eastAsiaTheme="minorEastAsia" w:hint="eastAsia"/>
          <w:i/>
          <w:lang w:eastAsia="zh-CN"/>
        </w:rPr>
        <w:t>I</w:t>
      </w:r>
      <w:r>
        <w:rPr>
          <w:rFonts w:eastAsiaTheme="minorEastAsia"/>
          <w:i/>
          <w:lang w:eastAsia="zh-CN"/>
        </w:rPr>
        <w:t>nsert the following description after Table 6 in 2.6.2</w:t>
      </w:r>
      <w:r w:rsidRPr="00410A87">
        <w:rPr>
          <w:rFonts w:eastAsiaTheme="minorEastAsia"/>
          <w:i/>
          <w:lang w:eastAsia="zh-CN"/>
        </w:rPr>
        <w:t xml:space="preserve"> as follows</w:t>
      </w:r>
    </w:p>
    <w:p w14:paraId="5F417D36" w14:textId="46C47F83" w:rsidR="00473B6F" w:rsidRDefault="00473B6F" w:rsidP="000A0DE0">
      <w:pPr>
        <w:rPr>
          <w:rFonts w:eastAsiaTheme="minorEastAsia"/>
          <w:i/>
          <w:lang w:eastAsia="zh-CN"/>
        </w:rPr>
      </w:pPr>
    </w:p>
    <w:p w14:paraId="7757179E" w14:textId="6B342292" w:rsidR="00EA45B3" w:rsidRDefault="00EA45B3" w:rsidP="00EA45B3">
      <w:pPr>
        <w:pStyle w:val="Heading2"/>
        <w:numPr>
          <w:ilvl w:val="1"/>
          <w:numId w:val="28"/>
        </w:numPr>
      </w:pPr>
    </w:p>
    <w:p w14:paraId="4A1F3206" w14:textId="311F421E" w:rsidR="00EA45B3" w:rsidRDefault="00B92213" w:rsidP="00B92213">
      <w:pPr>
        <w:pStyle w:val="IEEEStdsLevel3Header"/>
        <w:numPr>
          <w:ilvl w:val="0"/>
          <w:numId w:val="0"/>
        </w:numPr>
        <w:rPr>
          <w:rFonts w:eastAsiaTheme="minorEastAsia"/>
        </w:rPr>
      </w:pPr>
      <w:r>
        <w:rPr>
          <w:rFonts w:eastAsiaTheme="minorEastAsia"/>
        </w:rPr>
        <w:t xml:space="preserve">2.6.2 </w:t>
      </w:r>
    </w:p>
    <w:p w14:paraId="46136570" w14:textId="77777777" w:rsidR="008101BC" w:rsidRDefault="008101BC" w:rsidP="00B92213">
      <w:pPr>
        <w:pStyle w:val="IEEEStdsParagraph"/>
        <w:rPr>
          <w:rFonts w:eastAsiaTheme="minorEastAsia"/>
          <w:i/>
          <w:sz w:val="22"/>
          <w:lang w:val="en-IN" w:eastAsia="zh-CN"/>
        </w:rPr>
      </w:pPr>
    </w:p>
    <w:p w14:paraId="248F305A" w14:textId="77777777" w:rsidR="008101BC" w:rsidRDefault="008101BC" w:rsidP="008101BC">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Frequency stitching parameters field</w:t>
      </w:r>
    </w:p>
    <w:p w14:paraId="243EA365" w14:textId="77777777" w:rsidR="008101BC" w:rsidRPr="00D82290" w:rsidRDefault="008101BC" w:rsidP="008101BC"/>
    <w:tbl>
      <w:tblPr>
        <w:tblW w:w="8175" w:type="dxa"/>
        <w:tblCellMar>
          <w:left w:w="0" w:type="dxa"/>
          <w:right w:w="0" w:type="dxa"/>
        </w:tblCellMar>
        <w:tblLook w:val="04A0" w:firstRow="1" w:lastRow="0" w:firstColumn="1" w:lastColumn="0" w:noHBand="0" w:noVBand="1"/>
      </w:tblPr>
      <w:tblGrid>
        <w:gridCol w:w="1262"/>
        <w:gridCol w:w="1072"/>
        <w:gridCol w:w="1475"/>
        <w:gridCol w:w="2163"/>
        <w:gridCol w:w="1090"/>
        <w:gridCol w:w="1113"/>
      </w:tblGrid>
      <w:tr w:rsidR="008101BC" w:rsidRPr="00FB5A18" w14:paraId="6422F0B5" w14:textId="77777777" w:rsidTr="00F04795">
        <w:trPr>
          <w:trHeight w:val="399"/>
        </w:trPr>
        <w:tc>
          <w:tcPr>
            <w:tcW w:w="142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120F2419" w14:textId="77777777" w:rsidR="008101BC" w:rsidRPr="00FB5A18" w:rsidRDefault="008101BC" w:rsidP="00BC3EAB">
            <w:pPr>
              <w:pStyle w:val="IEEEStdsParagraph"/>
            </w:pPr>
            <w:r w:rsidRPr="00FB5A18">
              <w:rPr>
                <w:lang w:val="en-IN"/>
              </w:rPr>
              <w:t>0</w:t>
            </w: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9E894B8" w14:textId="77777777" w:rsidR="008101BC" w:rsidRPr="00FB5A18" w:rsidRDefault="008101BC" w:rsidP="00BC3EAB">
            <w:pPr>
              <w:pStyle w:val="IEEEStdsParagraph"/>
            </w:pPr>
            <w:r w:rsidRPr="00FB5A18">
              <w:t>1-4</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1A9E352E" w14:textId="77777777" w:rsidR="008101BC" w:rsidRPr="00FB5A18" w:rsidRDefault="008101BC" w:rsidP="00BC3EAB">
            <w:pPr>
              <w:pStyle w:val="IEEEStdsParagraph"/>
            </w:pPr>
            <w:r w:rsidRPr="00FB5A18">
              <w:rPr>
                <w:lang w:val="en-IN"/>
              </w:rPr>
              <w:t>5-6</w:t>
            </w:r>
          </w:p>
        </w:tc>
        <w:tc>
          <w:tcPr>
            <w:tcW w:w="143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426AF37D" w14:textId="73DB3B41" w:rsidR="008101BC" w:rsidRPr="00F04795" w:rsidRDefault="008101BC" w:rsidP="00BC3EAB">
            <w:pPr>
              <w:pStyle w:val="IEEEStdsParagraph"/>
            </w:pPr>
            <w:r w:rsidRPr="00F04795">
              <w:rPr>
                <w:strike/>
                <w:color w:val="FF0000"/>
                <w:lang w:val="en-IN"/>
              </w:rPr>
              <w:t>7-8</w:t>
            </w:r>
            <w:r w:rsidR="00F04795" w:rsidRPr="00F04795">
              <w:rPr>
                <w:color w:val="FF0000"/>
                <w:lang w:val="en-IN"/>
              </w:rPr>
              <w:t xml:space="preserve">  </w:t>
            </w:r>
            <w:r w:rsidR="00F04795">
              <w:rPr>
                <w:color w:val="FF0000"/>
                <w:lang w:val="en-IN"/>
              </w:rPr>
              <w:t>7-11</w:t>
            </w:r>
          </w:p>
        </w:tc>
        <w:tc>
          <w:tcPr>
            <w:tcW w:w="11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1C0BCAB8" w14:textId="5354C0BF" w:rsidR="008101BC" w:rsidRPr="00F04795" w:rsidRDefault="008101BC" w:rsidP="00BC3EAB">
            <w:pPr>
              <w:pStyle w:val="IEEEStdsParagraph"/>
            </w:pPr>
            <w:r w:rsidRPr="00F04795">
              <w:rPr>
                <w:strike/>
                <w:color w:val="FF0000"/>
                <w:lang w:val="en-IN"/>
              </w:rPr>
              <w:t>9-10</w:t>
            </w:r>
            <w:r w:rsidR="00F04795" w:rsidRPr="00F04795">
              <w:rPr>
                <w:color w:val="FF0000"/>
                <w:lang w:val="en-IN"/>
              </w:rPr>
              <w:t xml:space="preserve"> </w:t>
            </w:r>
            <w:r w:rsidR="00F04795">
              <w:rPr>
                <w:color w:val="FF0000"/>
                <w:lang w:val="en-IN"/>
              </w:rPr>
              <w:t>12-13</w:t>
            </w:r>
          </w:p>
        </w:tc>
        <w:tc>
          <w:tcPr>
            <w:tcW w:w="124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B6CB330" w14:textId="003CE3BC" w:rsidR="008101BC" w:rsidRPr="00F04795" w:rsidRDefault="008101BC" w:rsidP="00BC3EAB">
            <w:pPr>
              <w:pStyle w:val="IEEEStdsParagraph"/>
            </w:pPr>
            <w:r w:rsidRPr="00F04795">
              <w:rPr>
                <w:strike/>
                <w:color w:val="FF0000"/>
                <w:lang w:val="en-IN"/>
              </w:rPr>
              <w:t>11-15</w:t>
            </w:r>
            <w:r w:rsidR="00F04795">
              <w:rPr>
                <w:color w:val="FF0000"/>
                <w:lang w:val="en-IN"/>
              </w:rPr>
              <w:t xml:space="preserve"> 14-15</w:t>
            </w:r>
          </w:p>
        </w:tc>
      </w:tr>
      <w:tr w:rsidR="008101BC" w:rsidRPr="00FB5A18" w14:paraId="0A8BB86D" w14:textId="77777777" w:rsidTr="00F04795">
        <w:trPr>
          <w:trHeight w:val="1541"/>
        </w:trPr>
        <w:tc>
          <w:tcPr>
            <w:tcW w:w="142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B793968" w14:textId="77777777" w:rsidR="008101BC" w:rsidRPr="00FB5A18" w:rsidRDefault="008101BC" w:rsidP="00BC3EAB">
            <w:pPr>
              <w:pStyle w:val="IEEEStdsParagraph"/>
            </w:pPr>
            <w:r w:rsidRPr="00FB5A18">
              <w:rPr>
                <w:lang w:val="en-IN"/>
              </w:rPr>
              <w:t>Frequency stitching direction</w:t>
            </w: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49C029A" w14:textId="77777777" w:rsidR="008101BC" w:rsidRPr="00FB5A18" w:rsidRDefault="008101BC" w:rsidP="00BC3EAB">
            <w:pPr>
              <w:pStyle w:val="IEEEStdsParagraph"/>
            </w:pPr>
            <w:r w:rsidRPr="00FB5A18">
              <w:t>Base channel number or channel number</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501CB426" w14:textId="77777777" w:rsidR="008101BC" w:rsidRPr="00FB5A18" w:rsidRDefault="008101BC" w:rsidP="00BC3EAB">
            <w:pPr>
              <w:pStyle w:val="IEEEStdsParagraph"/>
            </w:pPr>
            <w:r w:rsidRPr="00FB5A18">
              <w:rPr>
                <w:lang w:val="en-IN"/>
              </w:rPr>
              <w:t>Carrier frequency grid configuration ID</w:t>
            </w:r>
          </w:p>
        </w:tc>
        <w:tc>
          <w:tcPr>
            <w:tcW w:w="143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4DDD880C" w14:textId="77777777" w:rsidR="008101BC" w:rsidRPr="00F04795" w:rsidRDefault="008101BC" w:rsidP="00BC3EAB">
            <w:pPr>
              <w:pStyle w:val="IEEEStdsParagraph"/>
              <w:rPr>
                <w:strike/>
                <w:lang w:val="en-IN"/>
              </w:rPr>
            </w:pPr>
            <w:commentRangeStart w:id="5"/>
            <w:r w:rsidRPr="00F04795">
              <w:rPr>
                <w:strike/>
                <w:color w:val="FF0000"/>
                <w:lang w:val="en-IN"/>
              </w:rPr>
              <w:t>Aggregated Bandwidth</w:t>
            </w:r>
            <w:commentRangeEnd w:id="5"/>
            <w:r w:rsidR="00E24A22">
              <w:rPr>
                <w:rStyle w:val="CommentReference"/>
                <w:rFonts w:ascii="Arial" w:hAnsi="Arial"/>
                <w:lang w:val="en-GB" w:eastAsia="x-none"/>
              </w:rPr>
              <w:commentReference w:id="5"/>
            </w:r>
          </w:p>
          <w:p w14:paraId="7837E659" w14:textId="19279A62" w:rsidR="008101BC" w:rsidRPr="00FB5A18" w:rsidRDefault="008101BC" w:rsidP="00BC3EAB">
            <w:pPr>
              <w:pStyle w:val="IEEEStdsParagraph"/>
            </w:pPr>
            <w:r w:rsidRPr="00F04795">
              <w:rPr>
                <w:color w:val="FF0000"/>
                <w:lang w:val="en-IN"/>
              </w:rPr>
              <w:t>Number of transmissions</w:t>
            </w:r>
          </w:p>
        </w:tc>
        <w:tc>
          <w:tcPr>
            <w:tcW w:w="11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38CEEA7" w14:textId="77777777" w:rsidR="008101BC" w:rsidRPr="00FB5A18" w:rsidRDefault="008101BC" w:rsidP="00BC3EAB">
            <w:pPr>
              <w:pStyle w:val="IEEEStdsParagraph"/>
            </w:pPr>
            <w:r w:rsidRPr="00FB5A18">
              <w:rPr>
                <w:lang w:val="en-IN"/>
              </w:rPr>
              <w:t>Feedback control</w:t>
            </w:r>
          </w:p>
        </w:tc>
        <w:tc>
          <w:tcPr>
            <w:tcW w:w="124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0AC3C22" w14:textId="77777777" w:rsidR="008101BC" w:rsidRPr="00FB5A18" w:rsidRDefault="008101BC" w:rsidP="00BC3EAB">
            <w:pPr>
              <w:pStyle w:val="IEEEStdsParagraph"/>
            </w:pPr>
            <w:r w:rsidRPr="00FB5A18">
              <w:rPr>
                <w:lang w:val="en-IN"/>
              </w:rPr>
              <w:t>Reserved</w:t>
            </w:r>
          </w:p>
        </w:tc>
      </w:tr>
    </w:tbl>
    <w:p w14:paraId="005F08EF" w14:textId="77777777" w:rsidR="008101BC" w:rsidRPr="008101BC" w:rsidRDefault="008101BC" w:rsidP="00B92213">
      <w:pPr>
        <w:pStyle w:val="IEEEStdsParagraph"/>
        <w:rPr>
          <w:rFonts w:eastAsiaTheme="minorEastAsia"/>
          <w:sz w:val="22"/>
          <w:lang w:val="en-IN" w:eastAsia="zh-CN"/>
        </w:rPr>
      </w:pPr>
    </w:p>
    <w:p w14:paraId="7BDFF3BE" w14:textId="77777777" w:rsidR="00F952BB" w:rsidRDefault="00F952BB" w:rsidP="00F952BB">
      <w:pPr>
        <w:rPr>
          <w:rFonts w:eastAsiaTheme="minorEastAsia"/>
          <w:i/>
          <w:lang w:eastAsia="zh-CN"/>
        </w:rPr>
      </w:pPr>
      <w:r w:rsidRPr="00410A87">
        <w:rPr>
          <w:rFonts w:eastAsiaTheme="minorEastAsia" w:hint="eastAsia"/>
          <w:i/>
          <w:lang w:eastAsia="zh-CN"/>
        </w:rPr>
        <w:t>I</w:t>
      </w:r>
      <w:r>
        <w:rPr>
          <w:rFonts w:eastAsiaTheme="minorEastAsia"/>
          <w:i/>
          <w:lang w:eastAsia="zh-CN"/>
        </w:rPr>
        <w:t>nsert the following description after Table 6 in 2.6.2</w:t>
      </w:r>
      <w:r w:rsidRPr="00410A87">
        <w:rPr>
          <w:rFonts w:eastAsiaTheme="minorEastAsia"/>
          <w:i/>
          <w:lang w:eastAsia="zh-CN"/>
        </w:rPr>
        <w:t xml:space="preserve"> as follows</w:t>
      </w:r>
    </w:p>
    <w:p w14:paraId="77FEA354" w14:textId="77777777" w:rsidR="00F952BB" w:rsidRDefault="00F952BB" w:rsidP="000A0DE0">
      <w:pPr>
        <w:rPr>
          <w:lang w:eastAsia="ja-JP"/>
        </w:rPr>
      </w:pPr>
    </w:p>
    <w:p w14:paraId="7F5E6B5D" w14:textId="648827AE" w:rsidR="00473B6F" w:rsidRDefault="00473B6F" w:rsidP="000A0DE0">
      <w:pPr>
        <w:rPr>
          <w:lang w:eastAsia="ja-JP"/>
        </w:rPr>
      </w:pPr>
      <w:r>
        <w:rPr>
          <w:lang w:eastAsia="ja-JP"/>
        </w:rPr>
        <w:t>Frequ</w:t>
      </w:r>
      <w:r w:rsidR="00A90A1C">
        <w:rPr>
          <w:lang w:eastAsia="ja-JP"/>
        </w:rPr>
        <w:t>e</w:t>
      </w:r>
      <w:r>
        <w:rPr>
          <w:lang w:eastAsia="ja-JP"/>
        </w:rPr>
        <w:t>ncy Stitching Direction – Indicates the direction of usage of channels, from base ch</w:t>
      </w:r>
      <w:r w:rsidR="00F952BB">
        <w:rPr>
          <w:lang w:eastAsia="ja-JP"/>
        </w:rPr>
        <w:t>annel, for frequency stitching.</w:t>
      </w:r>
    </w:p>
    <w:p w14:paraId="6CEBD6A7" w14:textId="77777777" w:rsidR="00A90A1C" w:rsidRDefault="00A90A1C" w:rsidP="000A0DE0">
      <w:pPr>
        <w:rPr>
          <w:lang w:eastAsia="ja-JP"/>
        </w:rPr>
      </w:pPr>
    </w:p>
    <w:p w14:paraId="0BA4DF64" w14:textId="14C88D92" w:rsidR="00473B6F" w:rsidRDefault="00473B6F" w:rsidP="000A0DE0">
      <w:pPr>
        <w:rPr>
          <w:lang w:eastAsia="ja-JP"/>
        </w:rPr>
      </w:pPr>
      <w:r>
        <w:rPr>
          <w:lang w:eastAsia="ja-JP"/>
        </w:rPr>
        <w:t>Base channel number or channel number – Indicates the starting channel for performing UWB sensing when frequency stitching is enabled</w:t>
      </w:r>
    </w:p>
    <w:p w14:paraId="1A43F825" w14:textId="77777777" w:rsidR="00A90A1C" w:rsidRDefault="00A90A1C" w:rsidP="000A0DE0">
      <w:pPr>
        <w:rPr>
          <w:lang w:eastAsia="ja-JP"/>
        </w:rPr>
      </w:pPr>
    </w:p>
    <w:p w14:paraId="4DBFE9E4" w14:textId="72D105F3" w:rsidR="00473B6F" w:rsidRDefault="00473B6F" w:rsidP="000A0DE0">
      <w:pPr>
        <w:rPr>
          <w:lang w:eastAsia="ja-JP"/>
        </w:rPr>
      </w:pPr>
      <w:r>
        <w:rPr>
          <w:lang w:eastAsia="ja-JP"/>
        </w:rPr>
        <w:t>Carrier frequency grid configuration Identifier</w:t>
      </w:r>
      <w:r w:rsidR="00A90A1C">
        <w:rPr>
          <w:lang w:eastAsia="ja-JP"/>
        </w:rPr>
        <w:t xml:space="preserve"> – Indicates the configuration of carrier frequency grid for frequency stitching. Table 7 defines the carrier frequency grid configuration identifiers.</w:t>
      </w:r>
    </w:p>
    <w:p w14:paraId="4E6EEE9A" w14:textId="77777777" w:rsidR="00E60001" w:rsidRDefault="00E60001" w:rsidP="00E60001">
      <w:pPr>
        <w:keepNext/>
        <w:rPr>
          <w:rFonts w:ascii="Cambria" w:hAnsi="Cambria"/>
          <w:b/>
          <w:bCs/>
          <w:sz w:val="20"/>
          <w:szCs w:val="20"/>
        </w:rPr>
      </w:pPr>
    </w:p>
    <w:p w14:paraId="57DE1F4E" w14:textId="0030FC92" w:rsidR="00E60001" w:rsidRPr="00E60001" w:rsidRDefault="00E60001" w:rsidP="00E60001">
      <w:pPr>
        <w:keepNext/>
        <w:rPr>
          <w:rFonts w:ascii="Cambria" w:hAnsi="Cambria"/>
          <w:b/>
          <w:bCs/>
          <w:sz w:val="20"/>
          <w:szCs w:val="20"/>
        </w:rPr>
      </w:pPr>
      <w:r w:rsidRPr="00E60001">
        <w:rPr>
          <w:rFonts w:ascii="Cambria" w:hAnsi="Cambria"/>
          <w:b/>
          <w:bCs/>
          <w:sz w:val="20"/>
          <w:szCs w:val="20"/>
        </w:rPr>
        <w:t xml:space="preserve">Table </w:t>
      </w:r>
      <w:r>
        <w:rPr>
          <w:rFonts w:ascii="Cambria" w:hAnsi="Cambria"/>
          <w:b/>
          <w:bCs/>
          <w:sz w:val="20"/>
          <w:szCs w:val="20"/>
        </w:rPr>
        <w:t>7: Carrier Frequency Grid Configuration</w:t>
      </w:r>
    </w:p>
    <w:p w14:paraId="42A71851" w14:textId="77777777" w:rsidR="00E60001" w:rsidRDefault="00E60001" w:rsidP="000A0DE0">
      <w:pPr>
        <w:rPr>
          <w:lang w:eastAsia="ja-JP"/>
        </w:rPr>
      </w:pPr>
    </w:p>
    <w:tbl>
      <w:tblPr>
        <w:tblStyle w:val="TableGrid"/>
        <w:tblW w:w="0" w:type="auto"/>
        <w:tblLook w:val="04A0" w:firstRow="1" w:lastRow="0" w:firstColumn="1" w:lastColumn="0" w:noHBand="0" w:noVBand="1"/>
      </w:tblPr>
      <w:tblGrid>
        <w:gridCol w:w="2972"/>
        <w:gridCol w:w="6044"/>
      </w:tblGrid>
      <w:tr w:rsidR="00A90A1C" w14:paraId="0E9F86B6" w14:textId="77777777" w:rsidTr="00942BEA">
        <w:tc>
          <w:tcPr>
            <w:tcW w:w="2972" w:type="dxa"/>
          </w:tcPr>
          <w:p w14:paraId="75A955DA" w14:textId="35777E8F" w:rsidR="00A90A1C" w:rsidRDefault="00A90A1C" w:rsidP="00F67116">
            <w:pPr>
              <w:pStyle w:val="IEEEStdsParagraph"/>
            </w:pPr>
            <w:r>
              <w:t>Carrier Frequency Grid configuration Identifier</w:t>
            </w:r>
          </w:p>
        </w:tc>
        <w:tc>
          <w:tcPr>
            <w:tcW w:w="6044" w:type="dxa"/>
          </w:tcPr>
          <w:p w14:paraId="7C4F7099" w14:textId="395A9FEB" w:rsidR="00A90A1C" w:rsidRDefault="00A90A1C" w:rsidP="00F67116">
            <w:pPr>
              <w:pStyle w:val="IEEEStdsParagraph"/>
            </w:pPr>
            <w:r>
              <w:t>Definition</w:t>
            </w:r>
          </w:p>
        </w:tc>
      </w:tr>
      <w:tr w:rsidR="00A90A1C" w14:paraId="41B143F7" w14:textId="77777777" w:rsidTr="00942BEA">
        <w:tc>
          <w:tcPr>
            <w:tcW w:w="2972" w:type="dxa"/>
          </w:tcPr>
          <w:p w14:paraId="18FFA19A" w14:textId="77777777" w:rsidR="00A90A1C" w:rsidRDefault="00A90A1C" w:rsidP="00F67116">
            <w:pPr>
              <w:pStyle w:val="IEEEStdsParagraph"/>
            </w:pPr>
            <w:r>
              <w:t>0</w:t>
            </w:r>
          </w:p>
        </w:tc>
        <w:tc>
          <w:tcPr>
            <w:tcW w:w="6044" w:type="dxa"/>
          </w:tcPr>
          <w:p w14:paraId="21E74E3D" w14:textId="7564A747" w:rsidR="00A90A1C" w:rsidRDefault="00A90A1C" w:rsidP="00F67116">
            <w:pPr>
              <w:pStyle w:val="IEEEStdsParagraph"/>
            </w:pPr>
            <w:r>
              <w:t>No Overlap of channels for frequency stitching</w:t>
            </w:r>
          </w:p>
        </w:tc>
      </w:tr>
      <w:tr w:rsidR="00A90A1C" w14:paraId="2278D436" w14:textId="77777777" w:rsidTr="00942BEA">
        <w:tc>
          <w:tcPr>
            <w:tcW w:w="2972" w:type="dxa"/>
          </w:tcPr>
          <w:p w14:paraId="48893159" w14:textId="77777777" w:rsidR="00A90A1C" w:rsidRDefault="00A90A1C" w:rsidP="00F67116">
            <w:pPr>
              <w:pStyle w:val="IEEEStdsParagraph"/>
            </w:pPr>
            <w:r>
              <w:t>1</w:t>
            </w:r>
          </w:p>
        </w:tc>
        <w:tc>
          <w:tcPr>
            <w:tcW w:w="6044" w:type="dxa"/>
          </w:tcPr>
          <w:p w14:paraId="5236FC45" w14:textId="540ACDA3" w:rsidR="00A90A1C" w:rsidRDefault="00A90A1C" w:rsidP="00F67116">
            <w:pPr>
              <w:pStyle w:val="IEEEStdsParagraph"/>
            </w:pPr>
            <w:r w:rsidRPr="00A90A1C">
              <w:t>124.8 MHz carrier frequency grid</w:t>
            </w:r>
            <w:r>
              <w:t xml:space="preserve"> (75% overlap in consecutive channels)</w:t>
            </w:r>
          </w:p>
        </w:tc>
      </w:tr>
      <w:tr w:rsidR="00A90A1C" w14:paraId="6B0B9B30" w14:textId="77777777" w:rsidTr="00942BEA">
        <w:tc>
          <w:tcPr>
            <w:tcW w:w="2972" w:type="dxa"/>
          </w:tcPr>
          <w:p w14:paraId="1071D9BC" w14:textId="77777777" w:rsidR="00A90A1C" w:rsidRDefault="00A90A1C" w:rsidP="00F67116">
            <w:pPr>
              <w:pStyle w:val="IEEEStdsParagraph"/>
            </w:pPr>
            <w:r>
              <w:t>2</w:t>
            </w:r>
          </w:p>
        </w:tc>
        <w:tc>
          <w:tcPr>
            <w:tcW w:w="6044" w:type="dxa"/>
          </w:tcPr>
          <w:p w14:paraId="7ABACB06" w14:textId="0D71C1D5" w:rsidR="00A90A1C" w:rsidRDefault="00A90A1C" w:rsidP="00F67116">
            <w:pPr>
              <w:pStyle w:val="IEEEStdsParagraph"/>
            </w:pPr>
            <w:r w:rsidRPr="00A90A1C">
              <w:t>249.6 MHz carrier frequency grid</w:t>
            </w:r>
            <w:r>
              <w:t xml:space="preserve"> (50% overlap in consecutive channels)</w:t>
            </w:r>
          </w:p>
        </w:tc>
      </w:tr>
      <w:tr w:rsidR="00A90A1C" w14:paraId="5CE82D5D" w14:textId="77777777" w:rsidTr="00942BEA">
        <w:tc>
          <w:tcPr>
            <w:tcW w:w="2972" w:type="dxa"/>
          </w:tcPr>
          <w:p w14:paraId="5840717E" w14:textId="1B39A1AC" w:rsidR="00A90A1C" w:rsidRDefault="00A90A1C" w:rsidP="00F67116">
            <w:pPr>
              <w:pStyle w:val="IEEEStdsParagraph"/>
            </w:pPr>
            <w:r>
              <w:t>3</w:t>
            </w:r>
          </w:p>
        </w:tc>
        <w:tc>
          <w:tcPr>
            <w:tcW w:w="6044" w:type="dxa"/>
          </w:tcPr>
          <w:p w14:paraId="3B4EE65C" w14:textId="70E3009C" w:rsidR="00A90A1C" w:rsidRDefault="00A90A1C" w:rsidP="00F67116">
            <w:pPr>
              <w:pStyle w:val="IEEEStdsParagraph"/>
            </w:pPr>
            <w:r w:rsidRPr="00A90A1C">
              <w:t>374.4 MHz carrier frequency grid</w:t>
            </w:r>
            <w:r>
              <w:t xml:space="preserve"> (25% overlap in consecutive channels)</w:t>
            </w:r>
          </w:p>
        </w:tc>
      </w:tr>
    </w:tbl>
    <w:p w14:paraId="5BCA8242" w14:textId="1124777B" w:rsidR="00A90A1C" w:rsidRDefault="00A90A1C" w:rsidP="000A0DE0">
      <w:pPr>
        <w:rPr>
          <w:lang w:eastAsia="ja-JP"/>
        </w:rPr>
      </w:pPr>
    </w:p>
    <w:p w14:paraId="3F085BBC" w14:textId="3E5392D7" w:rsidR="00E60001" w:rsidRDefault="00E24A22" w:rsidP="000A0DE0">
      <w:pPr>
        <w:rPr>
          <w:lang w:eastAsia="ja-JP"/>
        </w:rPr>
      </w:pPr>
      <w:r>
        <w:rPr>
          <w:lang w:eastAsia="ja-JP"/>
        </w:rPr>
        <w:t>Number of transmissions</w:t>
      </w:r>
      <w:r w:rsidR="00E60001">
        <w:rPr>
          <w:lang w:eastAsia="ja-JP"/>
        </w:rPr>
        <w:t xml:space="preserve"> – Indicates the total </w:t>
      </w:r>
      <w:r w:rsidR="00727FF5">
        <w:rPr>
          <w:lang w:eastAsia="ja-JP"/>
        </w:rPr>
        <w:t>number of transmissions done with frequency stitching</w:t>
      </w:r>
      <w:r w:rsidR="00E60001">
        <w:rPr>
          <w:lang w:eastAsia="ja-JP"/>
        </w:rPr>
        <w:t>.</w:t>
      </w:r>
    </w:p>
    <w:p w14:paraId="4BC7AF47" w14:textId="39F99EE8" w:rsidR="00E60001" w:rsidRDefault="00E60001" w:rsidP="000A0DE0">
      <w:pPr>
        <w:rPr>
          <w:lang w:eastAsia="ja-JP"/>
        </w:rPr>
      </w:pPr>
    </w:p>
    <w:p w14:paraId="0FE844B0" w14:textId="393FFBE4" w:rsidR="00275683" w:rsidRDefault="00275683" w:rsidP="000A0DE0">
      <w:pPr>
        <w:rPr>
          <w:lang w:eastAsia="ja-JP"/>
        </w:rPr>
      </w:pPr>
      <w:r>
        <w:rPr>
          <w:lang w:eastAsia="ja-JP"/>
        </w:rPr>
        <w:t>Feedback Control – I</w:t>
      </w:r>
      <w:r w:rsidR="00314E16">
        <w:rPr>
          <w:lang w:eastAsia="ja-JP"/>
        </w:rPr>
        <w:t>ndicates if the report is shared per transmission or an aggregated report is shared after the last transmission. Table 9 indicates the values used for feedback control</w:t>
      </w:r>
    </w:p>
    <w:p w14:paraId="66AF3277" w14:textId="1D22D2B3" w:rsidR="00314E16" w:rsidRDefault="00314E16" w:rsidP="000A0DE0">
      <w:pPr>
        <w:rPr>
          <w:lang w:eastAsia="ja-JP"/>
        </w:rPr>
      </w:pPr>
    </w:p>
    <w:p w14:paraId="2E956C59" w14:textId="5CC5F175" w:rsidR="00314E16" w:rsidRDefault="00314E16" w:rsidP="00314E16">
      <w:pPr>
        <w:rPr>
          <w:lang w:eastAsia="ja-JP"/>
        </w:rPr>
      </w:pPr>
      <w:r w:rsidRPr="00E60001">
        <w:rPr>
          <w:rFonts w:ascii="Cambria" w:hAnsi="Cambria"/>
          <w:b/>
          <w:bCs/>
          <w:sz w:val="20"/>
          <w:szCs w:val="20"/>
        </w:rPr>
        <w:t xml:space="preserve">Table </w:t>
      </w:r>
      <w:r>
        <w:rPr>
          <w:rFonts w:ascii="Cambria" w:hAnsi="Cambria"/>
          <w:b/>
          <w:bCs/>
          <w:sz w:val="20"/>
          <w:szCs w:val="20"/>
        </w:rPr>
        <w:t>9: Feedback Control</w:t>
      </w:r>
    </w:p>
    <w:p w14:paraId="5BF9D466" w14:textId="77777777" w:rsidR="00314E16" w:rsidRDefault="00314E16" w:rsidP="000A0DE0">
      <w:pPr>
        <w:rPr>
          <w:lang w:eastAsia="ja-JP"/>
        </w:rPr>
      </w:pPr>
    </w:p>
    <w:p w14:paraId="0965D73F" w14:textId="6772E0FB" w:rsidR="00314E16" w:rsidRDefault="00314E16" w:rsidP="000A0DE0">
      <w:pPr>
        <w:rPr>
          <w:lang w:eastAsia="ja-JP"/>
        </w:rPr>
      </w:pPr>
    </w:p>
    <w:tbl>
      <w:tblPr>
        <w:tblStyle w:val="TableGrid"/>
        <w:tblW w:w="0" w:type="auto"/>
        <w:tblLook w:val="04A0" w:firstRow="1" w:lastRow="0" w:firstColumn="1" w:lastColumn="0" w:noHBand="0" w:noVBand="1"/>
      </w:tblPr>
      <w:tblGrid>
        <w:gridCol w:w="1599"/>
        <w:gridCol w:w="5592"/>
      </w:tblGrid>
      <w:tr w:rsidR="00314E16" w14:paraId="79039421" w14:textId="77777777" w:rsidTr="00F67116">
        <w:tc>
          <w:tcPr>
            <w:tcW w:w="0" w:type="auto"/>
          </w:tcPr>
          <w:p w14:paraId="764935CF" w14:textId="7276CC4A" w:rsidR="00314E16" w:rsidRDefault="00314E16" w:rsidP="00F67116">
            <w:pPr>
              <w:pStyle w:val="IEEEStdsParagraph"/>
            </w:pPr>
            <w:r>
              <w:t>Feedback control</w:t>
            </w:r>
          </w:p>
        </w:tc>
        <w:tc>
          <w:tcPr>
            <w:tcW w:w="0" w:type="auto"/>
          </w:tcPr>
          <w:p w14:paraId="71A2437A" w14:textId="77777777" w:rsidR="00314E16" w:rsidRDefault="00314E16" w:rsidP="00F67116">
            <w:pPr>
              <w:pStyle w:val="IEEEStdsParagraph"/>
            </w:pPr>
            <w:r>
              <w:t>Definition</w:t>
            </w:r>
          </w:p>
        </w:tc>
      </w:tr>
      <w:tr w:rsidR="00314E16" w14:paraId="444BB429" w14:textId="77777777" w:rsidTr="00F67116">
        <w:tc>
          <w:tcPr>
            <w:tcW w:w="0" w:type="auto"/>
          </w:tcPr>
          <w:p w14:paraId="1956BD16" w14:textId="77777777" w:rsidR="00314E16" w:rsidRDefault="00314E16" w:rsidP="00F67116">
            <w:pPr>
              <w:pStyle w:val="IEEEStdsParagraph"/>
            </w:pPr>
            <w:r>
              <w:t>0</w:t>
            </w:r>
          </w:p>
        </w:tc>
        <w:tc>
          <w:tcPr>
            <w:tcW w:w="0" w:type="auto"/>
          </w:tcPr>
          <w:p w14:paraId="2FA0BBA7" w14:textId="56829760" w:rsidR="00314E16" w:rsidRDefault="00314E16" w:rsidP="00F67116">
            <w:pPr>
              <w:pStyle w:val="IEEEStdsParagraph"/>
            </w:pPr>
            <w:r>
              <w:t>Feedback after each sensing transmission</w:t>
            </w:r>
          </w:p>
        </w:tc>
      </w:tr>
      <w:tr w:rsidR="00314E16" w14:paraId="521D7F21" w14:textId="77777777" w:rsidTr="00F67116">
        <w:tc>
          <w:tcPr>
            <w:tcW w:w="0" w:type="auto"/>
          </w:tcPr>
          <w:p w14:paraId="274B4F1B" w14:textId="77777777" w:rsidR="00314E16" w:rsidRDefault="00314E16" w:rsidP="00F67116">
            <w:pPr>
              <w:pStyle w:val="IEEEStdsParagraph"/>
            </w:pPr>
            <w:r>
              <w:t>1</w:t>
            </w:r>
          </w:p>
        </w:tc>
        <w:tc>
          <w:tcPr>
            <w:tcW w:w="0" w:type="auto"/>
          </w:tcPr>
          <w:p w14:paraId="0F2679DB" w14:textId="4595EA1D" w:rsidR="00314E16" w:rsidRDefault="00314E16" w:rsidP="00F67116">
            <w:pPr>
              <w:pStyle w:val="IEEEStdsParagraph"/>
            </w:pPr>
            <w:r>
              <w:t>Feedback for all transmissions at the end of last transmission</w:t>
            </w:r>
          </w:p>
        </w:tc>
      </w:tr>
      <w:tr w:rsidR="00314E16" w14:paraId="59C7F390" w14:textId="77777777" w:rsidTr="00F67116">
        <w:tc>
          <w:tcPr>
            <w:tcW w:w="0" w:type="auto"/>
          </w:tcPr>
          <w:p w14:paraId="50A2F426" w14:textId="77777777" w:rsidR="00314E16" w:rsidRDefault="00314E16" w:rsidP="00F67116">
            <w:pPr>
              <w:pStyle w:val="IEEEStdsParagraph"/>
            </w:pPr>
            <w:r>
              <w:t>2</w:t>
            </w:r>
          </w:p>
        </w:tc>
        <w:tc>
          <w:tcPr>
            <w:tcW w:w="0" w:type="auto"/>
          </w:tcPr>
          <w:p w14:paraId="167D2382" w14:textId="12C10CA6" w:rsidR="00314E16" w:rsidRDefault="00314E16" w:rsidP="00F67116">
            <w:pPr>
              <w:pStyle w:val="IEEEStdsParagraph"/>
            </w:pPr>
            <w:r>
              <w:t>Feedback for the aggregated channel at the end of last transmission</w:t>
            </w:r>
          </w:p>
        </w:tc>
      </w:tr>
    </w:tbl>
    <w:p w14:paraId="3D2DE46F" w14:textId="77777777" w:rsidR="00314E16" w:rsidRPr="006E69A5" w:rsidRDefault="00314E16" w:rsidP="000A0DE0">
      <w:pPr>
        <w:rPr>
          <w:lang w:eastAsia="ja-JP"/>
        </w:rPr>
      </w:pPr>
    </w:p>
    <w:sectPr w:rsidR="00314E16" w:rsidRPr="006E69A5" w:rsidSect="00206D65">
      <w:headerReference w:type="default" r:id="rId13"/>
      <w:footerReference w:type="default" r:id="rId14"/>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niruddh Rao Kabbinale/IoT Connectivity Standards /SRI-Bangalore/Staff Engineer/Samsung Electronics" w:date="2023-07-11T18:03:00Z" w:initials="ARKCS/EE">
    <w:p w14:paraId="4018D5B8" w14:textId="7DA0E5E3" w:rsidR="00E24A22" w:rsidRDefault="00E24A22">
      <w:pPr>
        <w:pStyle w:val="CommentText"/>
      </w:pPr>
      <w:r>
        <w:rPr>
          <w:rStyle w:val="CommentReference"/>
        </w:rPr>
        <w:annotationRef/>
      </w:r>
      <w:r>
        <w:t>Comment for the group</w:t>
      </w:r>
      <w:proofErr w:type="gramStart"/>
      <w:r>
        <w:t>:</w:t>
      </w:r>
      <w:proofErr w:type="gramEnd"/>
      <w:r>
        <w:br/>
      </w:r>
      <w:r>
        <w:br/>
        <w:t>This field is changed from “Aggregated bandwidth” to “Number of transmissions” for two reasons:</w:t>
      </w:r>
      <w:r>
        <w:br/>
      </w:r>
      <w:r>
        <w:br/>
        <w:t>1. The existing proposal of “Aggregated bandwidth” limits the usage to only 4 values. The new proposal to use “number of transmissions” instead makes it less restrictive and allows all combinations of the agreed “carrier frequency grid” values.</w:t>
      </w:r>
    </w:p>
    <w:p w14:paraId="11CC610B" w14:textId="77777777" w:rsidR="00E24A22" w:rsidRDefault="00E24A22">
      <w:pPr>
        <w:pStyle w:val="CommentText"/>
      </w:pPr>
    </w:p>
    <w:p w14:paraId="5F03F50A" w14:textId="70F2F84A" w:rsidR="00E24A22" w:rsidRDefault="00E24A22">
      <w:pPr>
        <w:pStyle w:val="CommentText"/>
      </w:pPr>
      <w:r>
        <w:t>2. The existing values for “Aggregated Bandwidth” are not accurate multiples of the carrier frequency grid configuration we have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3F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8C75" w14:textId="77777777" w:rsidR="00181D14" w:rsidRDefault="00181D14" w:rsidP="00B72CFD">
      <w:r>
        <w:separator/>
      </w:r>
    </w:p>
  </w:endnote>
  <w:endnote w:type="continuationSeparator" w:id="0">
    <w:p w14:paraId="310FB633" w14:textId="77777777" w:rsidR="00181D14" w:rsidRDefault="00181D1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0F7E17C0" w:rsidR="008808DD" w:rsidRPr="00005722" w:rsidRDefault="008808DD" w:rsidP="001E62C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31A43">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891E1" w14:textId="77777777" w:rsidR="00181D14" w:rsidRDefault="00181D14" w:rsidP="00B72CFD">
      <w:r>
        <w:separator/>
      </w:r>
    </w:p>
  </w:footnote>
  <w:footnote w:type="continuationSeparator" w:id="0">
    <w:p w14:paraId="5FA3E1BE" w14:textId="77777777" w:rsidR="00181D14" w:rsidRDefault="00181D14"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65D5964B" w:rsidR="008808DD" w:rsidRPr="00B72CFD" w:rsidRDefault="008808DD" w:rsidP="00B72CFD">
    <w:pPr>
      <w:pStyle w:val="Header"/>
      <w:spacing w:after="240" w:line="220" w:lineRule="exact"/>
      <w:rPr>
        <w:rFonts w:ascii="Times New Roman" w:hAnsi="Times New Roman"/>
      </w:rPr>
    </w:pPr>
    <w:r>
      <w:rPr>
        <w:rFonts w:ascii="Times New Roman" w:eastAsia="Malgun Gothic" w:hAnsi="Times New Roman"/>
        <w:u w:val="single"/>
      </w:rPr>
      <w:t xml:space="preserve"> July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331A43">
      <w:rPr>
        <w:rFonts w:ascii="Times New Roman" w:eastAsia="Malgun Gothic" w:hAnsi="Times New Roman"/>
        <w:u w:val="single"/>
      </w:rPr>
      <w:t>0395</w:t>
    </w:r>
    <w:r w:rsidRPr="00865063">
      <w:rPr>
        <w:rFonts w:ascii="Times New Roman" w:eastAsia="Malgun Gothic" w:hAnsi="Times New Roman"/>
        <w:u w:val="single"/>
      </w:rPr>
      <w:t>-0</w:t>
    </w:r>
    <w:r>
      <w:rPr>
        <w:rFonts w:ascii="Times New Roman" w:eastAsia="Malgun Gothic" w:hAnsi="Times New Roman"/>
        <w:u w:val="single"/>
      </w:rPr>
      <w:t>0</w:t>
    </w:r>
    <w:r w:rsidR="00331A43">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26FE2E64"/>
    <w:lvl w:ilvl="0">
      <w:start w:val="1"/>
      <w:numFmt w:val="decimal"/>
      <w:pStyle w:val="Heading1"/>
      <w:suff w:val="space"/>
      <w:lvlText w:val="%1"/>
      <w:lvlJc w:val="left"/>
      <w:pPr>
        <w:ind w:left="0" w:firstLine="0"/>
      </w:pPr>
      <w:rPr>
        <w:rFonts w:ascii="Arial Bold" w:hAnsi="Arial Bold" w:hint="default"/>
        <w:b/>
        <w:i w:val="0"/>
        <w:sz w:val="24"/>
      </w:rPr>
    </w:lvl>
    <w:lvl w:ilvl="1">
      <w:start w:val="5"/>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3"/>
    </w:lvlOverride>
  </w:num>
  <w:num w:numId="28">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4A4B"/>
    <w:rsid w:val="001D4D2A"/>
    <w:rsid w:val="001D5209"/>
    <w:rsid w:val="001D571D"/>
    <w:rsid w:val="001D60F7"/>
    <w:rsid w:val="001D6498"/>
    <w:rsid w:val="001E01BA"/>
    <w:rsid w:val="001E141B"/>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ECC"/>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213"/>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A0032"/>
    <w:rsid w:val="00EA0C89"/>
    <w:rsid w:val="00EA1861"/>
    <w:rsid w:val="00EA2CAD"/>
    <w:rsid w:val="00EA3200"/>
    <w:rsid w:val="00EA45B3"/>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4795"/>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42BEA"/>
    <w:pPr>
      <w:numPr>
        <w:ilvl w:val="1"/>
      </w:numPr>
      <w:tabs>
        <w:tab w:val="clear" w:pos="400"/>
        <w:tab w:val="clear" w:pos="560"/>
        <w:tab w:val="left" w:pos="700"/>
      </w:tabs>
      <w:spacing w:before="240" w:line="250" w:lineRule="exact"/>
      <w:outlineLvl w:val="1"/>
    </w:pPr>
    <w:rPr>
      <w:rFonts w:ascii="Times New Roman" w:eastAsia="SimHei" w:hAnsi="Times New Roman"/>
      <w:lang w:val="x-none" w:eastAsia="zh-CN"/>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42BEA"/>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75B7FB67-F3EF-4880-8FE3-EA353AA8781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30402</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Aniruddh Rao Kabbinale/IoT Connectivity Standards /SRI-Bangalore/Staff Engineer/Samsung Electronics</cp:lastModifiedBy>
  <cp:revision>300</cp:revision>
  <cp:lastPrinted>2020-03-02T15:13:00Z</cp:lastPrinted>
  <dcterms:created xsi:type="dcterms:W3CDTF">2023-03-01T01:27:00Z</dcterms:created>
  <dcterms:modified xsi:type="dcterms:W3CDTF">2023-07-12T07:18:00Z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(3)RQY1bZd71k7JKRvT6utsYwvrlq2oGI4Nm1dZHX9CBqCRR3DoxbCws/kmpgwKkoxzKASwBKgC
4fQr5/bOJ9+bKR2LJ40V0CXd7tiPLVfzHoS5dwFdm7uWFjDlgyf1lEOorDJbMaNLsPfnxz0Z
mSJP22p9nLWPVZvk4WswNb5II5B2AfimLBEnva/FoOpOtBb5HMvKZVAY7V/TWExB3gTrGqHL
HFQ7+Sqa4VlPtQKCbJ</vt:lpwstr>
  </property>
  <property fmtid="{D5CDD505-2E9C-101B-9397-08002B2CF9AE}" pid="4" name="_2015_ms_pID_7253431">
    <vt:lpwstr>aiU44fyp4qs2vrl8aAJscbE565fq7qk1tkQXR9OZAT2wTrZi69Yrkd
MSMek53CqKDxa5oyG8fLdyGfVteUYCkrWxQf9mY3M1qAtBCRJMa1frzm0lDPQu2ZM0HHJCO+
bFWGqxM+JcYiPc/ZraedlSW82wsOMGHGJ5lOFJQGGZxjmdYTYN0Tm2kuDSgFWDEz5PauKqyX
NsdMVQa1alK/kIprnn7WEKxENclH5fPvcbpR</vt:lpwstr>
  </property>
  <property fmtid="{D5CDD505-2E9C-101B-9397-08002B2CF9AE}" pid="5" name="_2015_ms_pID_7253432">
    <vt:lpwstr>oyeUhGWj5ypbbkRKl4IIT60=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