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76DB48DA" w:rsidR="004E3A07" w:rsidRPr="00AB1DD1" w:rsidRDefault="00AF249D">
            <w:pPr>
              <w:pStyle w:val="covertext"/>
              <w:rPr>
                <w:b/>
                <w:sz w:val="24"/>
                <w:szCs w:val="22"/>
              </w:rPr>
            </w:pPr>
            <w:r>
              <w:rPr>
                <w:b/>
                <w:sz w:val="24"/>
                <w:szCs w:val="22"/>
              </w:rPr>
              <w:t>Timeline TG6ma</w:t>
            </w:r>
            <w:r w:rsidR="00D16BDE">
              <w:rPr>
                <w:b/>
                <w:sz w:val="24"/>
                <w:szCs w:val="22"/>
              </w:rPr>
              <w:t xml:space="preserve"> </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380BBC0B" w:rsidR="004E3A07" w:rsidRPr="00AB1DD1" w:rsidRDefault="00D16BDE">
            <w:pPr>
              <w:pStyle w:val="covertext"/>
              <w:rPr>
                <w:sz w:val="24"/>
                <w:szCs w:val="22"/>
              </w:rPr>
            </w:pPr>
            <w:r>
              <w:rPr>
                <w:sz w:val="24"/>
                <w:szCs w:val="22"/>
              </w:rPr>
              <w:t>Ma</w:t>
            </w:r>
            <w:r w:rsidR="00AF249D">
              <w:rPr>
                <w:sz w:val="24"/>
                <w:szCs w:val="22"/>
              </w:rPr>
              <w:t>y</w:t>
            </w:r>
            <w:r w:rsidR="00E32014" w:rsidRPr="00AB1DD1">
              <w:rPr>
                <w:sz w:val="24"/>
                <w:szCs w:val="22"/>
              </w:rPr>
              <w:t xml:space="preserve"> </w:t>
            </w:r>
            <w:r w:rsidR="00AF249D">
              <w:rPr>
                <w:sz w:val="24"/>
                <w:szCs w:val="22"/>
              </w:rPr>
              <w:t>18</w:t>
            </w:r>
            <w:r w:rsidR="000E5FF5">
              <w:rPr>
                <w:sz w:val="24"/>
                <w:szCs w:val="22"/>
              </w:rPr>
              <w:t>th</w:t>
            </w:r>
            <w:r w:rsidR="00FC54A1" w:rsidRPr="00AB1DD1">
              <w:rPr>
                <w:sz w:val="24"/>
                <w:szCs w:val="22"/>
              </w:rPr>
              <w:t>,</w:t>
            </w:r>
            <w:r w:rsidR="00E32014" w:rsidRPr="00AB1DD1">
              <w:rPr>
                <w:sz w:val="24"/>
                <w:szCs w:val="22"/>
              </w:rPr>
              <w:t xml:space="preserve"> 202</w:t>
            </w:r>
            <w:r w:rsidR="00204A98">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605F8187" w:rsidR="00CB0B01" w:rsidRPr="00B20755" w:rsidRDefault="00D16BDE" w:rsidP="00CB0B01">
            <w:pPr>
              <w:pStyle w:val="covertext"/>
              <w:rPr>
                <w:sz w:val="22"/>
              </w:rPr>
            </w:pPr>
            <w:r>
              <w:rPr>
                <w:sz w:val="22"/>
              </w:rPr>
              <w:t>Agenda joint 4ab and 6ma meeting.</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6AC5D917" w:rsidR="00CB0B01" w:rsidRPr="00B20755" w:rsidRDefault="00D16BDE" w:rsidP="00CB0B01">
            <w:pPr>
              <w:pStyle w:val="covertext"/>
              <w:rPr>
                <w:sz w:val="22"/>
              </w:rPr>
            </w:pPr>
            <w:r>
              <w:rPr>
                <w:sz w:val="22"/>
              </w:rPr>
              <w:t>Material for discussion.</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 xml:space="preserve">It </w:t>
            </w:r>
            <w:proofErr w:type="gramStart"/>
            <w:r w:rsidRPr="00B20755">
              <w:rPr>
                <w:sz w:val="22"/>
              </w:rPr>
              <w:t>is offered</w:t>
            </w:r>
            <w:proofErr w:type="gramEnd"/>
            <w:r w:rsidRPr="00B20755">
              <w:rPr>
                <w:sz w:val="22"/>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 xml:space="preserve">The contributor acknowledges and accepts that this contribution becomes the property of IEEE and may </w:t>
            </w:r>
            <w:proofErr w:type="gramStart"/>
            <w:r w:rsidRPr="00B20755">
              <w:rPr>
                <w:sz w:val="22"/>
              </w:rPr>
              <w:t>be made</w:t>
            </w:r>
            <w:proofErr w:type="gramEnd"/>
            <w:r w:rsidRPr="00B20755">
              <w:rPr>
                <w:sz w:val="22"/>
              </w:rPr>
              <w:t xml:space="preserv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6FD348A6" w14:textId="77777777" w:rsidR="00E50811" w:rsidRDefault="00E50811" w:rsidP="00E50811">
      <w:pPr>
        <w:jc w:val="center"/>
        <w:rPr>
          <w:b/>
          <w:bCs/>
          <w:color w:val="auto"/>
          <w:sz w:val="28"/>
          <w:szCs w:val="28"/>
        </w:rPr>
      </w:pPr>
    </w:p>
    <w:p w14:paraId="04E4C335" w14:textId="77777777" w:rsidR="005F3660" w:rsidRDefault="00AF249D" w:rsidP="001707CC">
      <w:pPr>
        <w:jc w:val="both"/>
        <w:rPr>
          <w:b/>
          <w:bCs/>
          <w:color w:val="auto"/>
          <w:sz w:val="28"/>
          <w:szCs w:val="28"/>
        </w:rPr>
      </w:pPr>
      <w:r>
        <w:rPr>
          <w:b/>
          <w:bCs/>
          <w:color w:val="auto"/>
          <w:sz w:val="28"/>
          <w:szCs w:val="28"/>
        </w:rPr>
        <w:t xml:space="preserve"> </w:t>
      </w:r>
      <w:r w:rsidR="005F3660" w:rsidRPr="005F3660">
        <w:rPr>
          <w:noProof/>
        </w:rPr>
        <w:drawing>
          <wp:inline distT="0" distB="0" distL="0" distR="0" wp14:anchorId="601415C1" wp14:editId="24947D44">
            <wp:extent cx="5943600" cy="2674620"/>
            <wp:effectExtent l="0" t="0" r="0" b="0"/>
            <wp:docPr id="1608484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84737" name=""/>
                    <pic:cNvPicPr/>
                  </pic:nvPicPr>
                  <pic:blipFill>
                    <a:blip r:embed="rId8"/>
                    <a:stretch>
                      <a:fillRect/>
                    </a:stretch>
                  </pic:blipFill>
                  <pic:spPr>
                    <a:xfrm>
                      <a:off x="0" y="0"/>
                      <a:ext cx="5943600" cy="2674620"/>
                    </a:xfrm>
                    <a:prstGeom prst="rect">
                      <a:avLst/>
                    </a:prstGeom>
                  </pic:spPr>
                </pic:pic>
              </a:graphicData>
            </a:graphic>
          </wp:inline>
        </w:drawing>
      </w:r>
    </w:p>
    <w:p w14:paraId="3CD08CDF" w14:textId="77777777" w:rsidR="005F3660" w:rsidRDefault="005F3660" w:rsidP="001707CC">
      <w:pPr>
        <w:jc w:val="both"/>
        <w:rPr>
          <w:b/>
          <w:bCs/>
          <w:color w:val="auto"/>
          <w:sz w:val="28"/>
          <w:szCs w:val="28"/>
        </w:rPr>
      </w:pPr>
    </w:p>
    <w:p w14:paraId="01F2169B" w14:textId="77777777" w:rsidR="005F3660" w:rsidRDefault="005F3660">
      <w:pPr>
        <w:rPr>
          <w:b/>
          <w:bCs/>
          <w:color w:val="auto"/>
          <w:sz w:val="28"/>
          <w:szCs w:val="28"/>
        </w:rPr>
      </w:pPr>
      <w:r>
        <w:rPr>
          <w:b/>
          <w:bCs/>
          <w:color w:val="auto"/>
          <w:sz w:val="28"/>
          <w:szCs w:val="28"/>
        </w:rPr>
        <w:br w:type="page"/>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85"/>
        <w:gridCol w:w="1675"/>
        <w:gridCol w:w="4370"/>
      </w:tblGrid>
      <w:tr w:rsidR="00D404E2" w14:paraId="333FBC81" w14:textId="77777777" w:rsidTr="005F4D2B">
        <w:trPr>
          <w:jc w:val="center"/>
        </w:trPr>
        <w:tc>
          <w:tcPr>
            <w:tcW w:w="3285" w:type="dxa"/>
            <w:tcBorders>
              <w:top w:val="single" w:sz="12" w:space="0" w:color="auto"/>
              <w:bottom w:val="single" w:sz="12" w:space="0" w:color="auto"/>
            </w:tcBorders>
          </w:tcPr>
          <w:p w14:paraId="222DED6B" w14:textId="77777777" w:rsidR="00D404E2" w:rsidRPr="00E60C56" w:rsidRDefault="00D404E2" w:rsidP="005F4D2B">
            <w:pPr>
              <w:jc w:val="center"/>
              <w:rPr>
                <w:b/>
                <w:bCs/>
              </w:rPr>
            </w:pPr>
            <w:r w:rsidRPr="00E60C56">
              <w:rPr>
                <w:b/>
                <w:bCs/>
              </w:rPr>
              <w:lastRenderedPageBreak/>
              <w:t>Topic</w:t>
            </w:r>
          </w:p>
        </w:tc>
        <w:tc>
          <w:tcPr>
            <w:tcW w:w="1675" w:type="dxa"/>
            <w:tcBorders>
              <w:top w:val="single" w:sz="12" w:space="0" w:color="auto"/>
              <w:bottom w:val="single" w:sz="12" w:space="0" w:color="auto"/>
            </w:tcBorders>
          </w:tcPr>
          <w:p w14:paraId="56F9F50A" w14:textId="77777777" w:rsidR="00D404E2" w:rsidRPr="00E60C56" w:rsidRDefault="00D404E2" w:rsidP="005F4D2B">
            <w:pPr>
              <w:jc w:val="center"/>
              <w:rPr>
                <w:b/>
                <w:bCs/>
              </w:rPr>
            </w:pPr>
            <w:r w:rsidRPr="00E60C56">
              <w:rPr>
                <w:b/>
                <w:bCs/>
              </w:rPr>
              <w:t>Deadline</w:t>
            </w:r>
          </w:p>
        </w:tc>
        <w:tc>
          <w:tcPr>
            <w:tcW w:w="4370" w:type="dxa"/>
            <w:tcBorders>
              <w:top w:val="single" w:sz="12" w:space="0" w:color="auto"/>
              <w:bottom w:val="single" w:sz="12" w:space="0" w:color="auto"/>
            </w:tcBorders>
          </w:tcPr>
          <w:p w14:paraId="4E3A724C" w14:textId="77777777" w:rsidR="00D404E2" w:rsidRPr="00E60C56" w:rsidRDefault="00D404E2" w:rsidP="005F4D2B">
            <w:pPr>
              <w:jc w:val="center"/>
              <w:rPr>
                <w:b/>
                <w:bCs/>
              </w:rPr>
            </w:pPr>
            <w:r w:rsidRPr="00E60C56">
              <w:rPr>
                <w:b/>
                <w:bCs/>
              </w:rPr>
              <w:t>Notes</w:t>
            </w:r>
          </w:p>
        </w:tc>
      </w:tr>
      <w:tr w:rsidR="00D404E2" w14:paraId="09ABDF2F" w14:textId="77777777" w:rsidTr="005F4D2B">
        <w:trPr>
          <w:trHeight w:val="1519"/>
          <w:jc w:val="center"/>
        </w:trPr>
        <w:tc>
          <w:tcPr>
            <w:tcW w:w="3285" w:type="dxa"/>
            <w:tcBorders>
              <w:top w:val="single" w:sz="12" w:space="0" w:color="auto"/>
              <w:bottom w:val="single" w:sz="4" w:space="0" w:color="auto"/>
            </w:tcBorders>
            <w:vAlign w:val="center"/>
          </w:tcPr>
          <w:p w14:paraId="2F2F741C" w14:textId="77777777" w:rsidR="00D404E2" w:rsidRDefault="00D404E2" w:rsidP="005F4D2B">
            <w:r>
              <w:t>Technical Requirements Document (TRD). Channel Model Document (CMD). Call for Proposals.</w:t>
            </w:r>
          </w:p>
        </w:tc>
        <w:tc>
          <w:tcPr>
            <w:tcW w:w="1675" w:type="dxa"/>
            <w:tcBorders>
              <w:top w:val="single" w:sz="12" w:space="0" w:color="auto"/>
              <w:bottom w:val="single" w:sz="4" w:space="0" w:color="auto"/>
            </w:tcBorders>
            <w:vAlign w:val="center"/>
          </w:tcPr>
          <w:p w14:paraId="4A862871" w14:textId="77777777" w:rsidR="00D404E2" w:rsidRDefault="00D404E2" w:rsidP="005F4D2B">
            <w:pPr>
              <w:jc w:val="center"/>
            </w:pPr>
            <w:r>
              <w:t>Sept. 2022</w:t>
            </w:r>
          </w:p>
        </w:tc>
        <w:tc>
          <w:tcPr>
            <w:tcW w:w="4370" w:type="dxa"/>
            <w:tcBorders>
              <w:top w:val="single" w:sz="12" w:space="0" w:color="auto"/>
              <w:bottom w:val="single" w:sz="4" w:space="0" w:color="auto"/>
            </w:tcBorders>
            <w:vAlign w:val="center"/>
          </w:tcPr>
          <w:p w14:paraId="17CA61D4" w14:textId="77777777" w:rsidR="00D404E2" w:rsidRDefault="00D404E2" w:rsidP="005F4D2B">
            <w:r>
              <w:t>TRD describes the technical requirements baseline for the evaluation of proposals. The CMD contains the channel models for different use cases targeted by the Std.</w:t>
            </w:r>
          </w:p>
          <w:p w14:paraId="4A17AF46" w14:textId="77777777" w:rsidR="00D404E2" w:rsidRDefault="00D404E2" w:rsidP="005F4D2B">
            <w:r>
              <w:t>Announcement of call for proposals.</w:t>
            </w:r>
          </w:p>
        </w:tc>
      </w:tr>
      <w:tr w:rsidR="00D404E2" w14:paraId="3F13D16B" w14:textId="77777777" w:rsidTr="005F4D2B">
        <w:trPr>
          <w:trHeight w:val="551"/>
          <w:jc w:val="center"/>
        </w:trPr>
        <w:tc>
          <w:tcPr>
            <w:tcW w:w="3285" w:type="dxa"/>
            <w:tcBorders>
              <w:top w:val="single" w:sz="4" w:space="0" w:color="auto"/>
            </w:tcBorders>
            <w:vAlign w:val="center"/>
          </w:tcPr>
          <w:p w14:paraId="219DBDE1" w14:textId="77777777" w:rsidR="00D404E2" w:rsidRDefault="00D404E2" w:rsidP="005F4D2B">
            <w:r>
              <w:t>Due day for proposals</w:t>
            </w:r>
          </w:p>
        </w:tc>
        <w:tc>
          <w:tcPr>
            <w:tcW w:w="1675" w:type="dxa"/>
            <w:tcBorders>
              <w:top w:val="single" w:sz="4" w:space="0" w:color="auto"/>
            </w:tcBorders>
            <w:vAlign w:val="center"/>
          </w:tcPr>
          <w:p w14:paraId="3B8A363B" w14:textId="77777777" w:rsidR="00D404E2" w:rsidRDefault="00D404E2" w:rsidP="005F4D2B">
            <w:pPr>
              <w:jc w:val="center"/>
            </w:pPr>
            <w:r>
              <w:t>March</w:t>
            </w:r>
            <w:r w:rsidRPr="00BE40A4">
              <w:t xml:space="preserve"> 1</w:t>
            </w:r>
            <w:r>
              <w:t>0</w:t>
            </w:r>
            <w:r w:rsidRPr="00BE40A4">
              <w:rPr>
                <w:vertAlign w:val="superscript"/>
              </w:rPr>
              <w:t>th</w:t>
            </w:r>
            <w:r w:rsidRPr="00EB1D6A">
              <w:t>, 2023</w:t>
            </w:r>
          </w:p>
        </w:tc>
        <w:tc>
          <w:tcPr>
            <w:tcW w:w="4370" w:type="dxa"/>
            <w:tcBorders>
              <w:top w:val="single" w:sz="4" w:space="0" w:color="auto"/>
            </w:tcBorders>
            <w:vAlign w:val="center"/>
          </w:tcPr>
          <w:p w14:paraId="404F58F0" w14:textId="77777777" w:rsidR="00D404E2" w:rsidRDefault="00D404E2" w:rsidP="005F4D2B"/>
        </w:tc>
      </w:tr>
      <w:tr w:rsidR="00D404E2" w14:paraId="481E579C" w14:textId="77777777" w:rsidTr="005F4D2B">
        <w:trPr>
          <w:jc w:val="center"/>
        </w:trPr>
        <w:tc>
          <w:tcPr>
            <w:tcW w:w="3285" w:type="dxa"/>
            <w:vAlign w:val="center"/>
          </w:tcPr>
          <w:p w14:paraId="7655D4BA" w14:textId="77777777" w:rsidR="00D404E2" w:rsidRDefault="00D404E2" w:rsidP="005F4D2B">
            <w:r>
              <w:t>Presentation of proposals</w:t>
            </w:r>
          </w:p>
        </w:tc>
        <w:tc>
          <w:tcPr>
            <w:tcW w:w="1675" w:type="dxa"/>
            <w:vAlign w:val="center"/>
          </w:tcPr>
          <w:p w14:paraId="55CEE220" w14:textId="77777777" w:rsidR="00D404E2" w:rsidRDefault="00D404E2" w:rsidP="005F4D2B">
            <w:pPr>
              <w:jc w:val="center"/>
            </w:pPr>
            <w:r>
              <w:t>Nov. 2022,  January, March 2023</w:t>
            </w:r>
          </w:p>
        </w:tc>
        <w:tc>
          <w:tcPr>
            <w:tcW w:w="4370" w:type="dxa"/>
            <w:vAlign w:val="center"/>
          </w:tcPr>
          <w:p w14:paraId="7CC5B785" w14:textId="77777777" w:rsidR="00D404E2" w:rsidRDefault="00D404E2" w:rsidP="005F4D2B">
            <w:r>
              <w:t xml:space="preserve">Start of discussions for harmonization of proposals. </w:t>
            </w:r>
          </w:p>
        </w:tc>
      </w:tr>
      <w:tr w:rsidR="00D404E2" w14:paraId="7893E616" w14:textId="77777777" w:rsidTr="005F4D2B">
        <w:trPr>
          <w:jc w:val="center"/>
        </w:trPr>
        <w:tc>
          <w:tcPr>
            <w:tcW w:w="3285" w:type="dxa"/>
            <w:vAlign w:val="center"/>
          </w:tcPr>
          <w:p w14:paraId="4F13E3E6" w14:textId="77777777" w:rsidR="00D404E2" w:rsidRDefault="00D404E2" w:rsidP="005F4D2B">
            <w:pPr>
              <w:spacing w:line="288" w:lineRule="auto"/>
            </w:pPr>
            <w:r>
              <w:t>Harmonization of Proposals</w:t>
            </w:r>
          </w:p>
        </w:tc>
        <w:tc>
          <w:tcPr>
            <w:tcW w:w="1675" w:type="dxa"/>
            <w:vAlign w:val="center"/>
          </w:tcPr>
          <w:p w14:paraId="491ABB6E" w14:textId="77777777" w:rsidR="00D404E2" w:rsidRDefault="00D404E2" w:rsidP="005F4D2B">
            <w:pPr>
              <w:spacing w:line="288" w:lineRule="auto"/>
              <w:jc w:val="center"/>
            </w:pPr>
            <w:r>
              <w:t>March 2023</w:t>
            </w:r>
          </w:p>
        </w:tc>
        <w:tc>
          <w:tcPr>
            <w:tcW w:w="4370" w:type="dxa"/>
            <w:vAlign w:val="center"/>
          </w:tcPr>
          <w:p w14:paraId="219552BD" w14:textId="77777777" w:rsidR="00D404E2" w:rsidRDefault="00D404E2" w:rsidP="005F4D2B">
            <w:pPr>
              <w:spacing w:line="288" w:lineRule="auto"/>
            </w:pPr>
            <w:r>
              <w:t xml:space="preserve">Agreements on key technologies. </w:t>
            </w:r>
          </w:p>
        </w:tc>
      </w:tr>
      <w:tr w:rsidR="00D404E2" w14:paraId="6BFC3947" w14:textId="77777777" w:rsidTr="005F4D2B">
        <w:trPr>
          <w:jc w:val="center"/>
        </w:trPr>
        <w:tc>
          <w:tcPr>
            <w:tcW w:w="3285" w:type="dxa"/>
            <w:vAlign w:val="center"/>
          </w:tcPr>
          <w:p w14:paraId="5CEEDA7E" w14:textId="77777777" w:rsidR="00D404E2" w:rsidRDefault="00D404E2" w:rsidP="005F4D2B">
            <w:pPr>
              <w:spacing w:line="288" w:lineRule="auto"/>
            </w:pPr>
            <w:r>
              <w:t>Std Draft v.0</w:t>
            </w:r>
          </w:p>
        </w:tc>
        <w:tc>
          <w:tcPr>
            <w:tcW w:w="1675" w:type="dxa"/>
            <w:vAlign w:val="center"/>
          </w:tcPr>
          <w:p w14:paraId="52410165" w14:textId="77777777" w:rsidR="00D404E2" w:rsidRDefault="00D404E2" w:rsidP="005F4D2B">
            <w:pPr>
              <w:spacing w:line="288" w:lineRule="auto"/>
              <w:jc w:val="center"/>
            </w:pPr>
            <w:r>
              <w:t>May 2023</w:t>
            </w:r>
          </w:p>
        </w:tc>
        <w:tc>
          <w:tcPr>
            <w:tcW w:w="4370" w:type="dxa"/>
            <w:vAlign w:val="center"/>
          </w:tcPr>
          <w:p w14:paraId="22DF4F91" w14:textId="77777777" w:rsidR="00D404E2" w:rsidRDefault="00D404E2" w:rsidP="005F4D2B">
            <w:pPr>
              <w:spacing w:line="288" w:lineRule="auto"/>
            </w:pPr>
            <w:r>
              <w:t xml:space="preserve">Mostly editorial revisions and start integrating text of agreed proposals. </w:t>
            </w:r>
          </w:p>
        </w:tc>
      </w:tr>
      <w:tr w:rsidR="00D404E2" w14:paraId="7130F580" w14:textId="77777777" w:rsidTr="005F4D2B">
        <w:trPr>
          <w:jc w:val="center"/>
        </w:trPr>
        <w:tc>
          <w:tcPr>
            <w:tcW w:w="3285" w:type="dxa"/>
            <w:vAlign w:val="center"/>
          </w:tcPr>
          <w:p w14:paraId="462E3D32" w14:textId="77777777" w:rsidR="00D404E2" w:rsidRDefault="00D404E2" w:rsidP="005F4D2B">
            <w:pPr>
              <w:spacing w:line="288" w:lineRule="auto"/>
            </w:pPr>
            <w:r>
              <w:t>Std Draft v. 1</w:t>
            </w:r>
          </w:p>
        </w:tc>
        <w:tc>
          <w:tcPr>
            <w:tcW w:w="1675" w:type="dxa"/>
            <w:vAlign w:val="center"/>
          </w:tcPr>
          <w:p w14:paraId="76EE9049" w14:textId="77777777" w:rsidR="00D404E2" w:rsidRDefault="00D404E2" w:rsidP="005F4D2B">
            <w:pPr>
              <w:spacing w:line="288" w:lineRule="auto"/>
              <w:jc w:val="center"/>
            </w:pPr>
            <w:r>
              <w:t>July 2023</w:t>
            </w:r>
          </w:p>
        </w:tc>
        <w:tc>
          <w:tcPr>
            <w:tcW w:w="4370" w:type="dxa"/>
            <w:vAlign w:val="center"/>
          </w:tcPr>
          <w:p w14:paraId="39223AA7" w14:textId="55C30179" w:rsidR="00D404E2" w:rsidRDefault="00D404E2" w:rsidP="005F4D2B">
            <w:pPr>
              <w:spacing w:line="288" w:lineRule="auto"/>
            </w:pPr>
            <w:r>
              <w:t xml:space="preserve"> </w:t>
            </w:r>
            <w:r w:rsidR="002038F8" w:rsidRPr="002038F8">
              <w:rPr>
                <w:b/>
                <w:bCs/>
              </w:rPr>
              <w:t>Plan</w:t>
            </w:r>
            <w:r w:rsidR="002038F8">
              <w:t xml:space="preserve"> to f</w:t>
            </w:r>
            <w:r>
              <w:t>inish integration of technical proposals.</w:t>
            </w:r>
          </w:p>
        </w:tc>
      </w:tr>
      <w:tr w:rsidR="00D404E2" w14:paraId="61CDF33E" w14:textId="77777777" w:rsidTr="005F4D2B">
        <w:trPr>
          <w:jc w:val="center"/>
        </w:trPr>
        <w:tc>
          <w:tcPr>
            <w:tcW w:w="3285" w:type="dxa"/>
            <w:vAlign w:val="center"/>
          </w:tcPr>
          <w:p w14:paraId="7E4731B9" w14:textId="77777777" w:rsidR="00D404E2" w:rsidRDefault="00D404E2" w:rsidP="005F4D2B">
            <w:pPr>
              <w:spacing w:line="288" w:lineRule="auto"/>
            </w:pPr>
            <w:r>
              <w:t>Std Draft v. 1 recirculation</w:t>
            </w:r>
          </w:p>
        </w:tc>
        <w:tc>
          <w:tcPr>
            <w:tcW w:w="1675" w:type="dxa"/>
            <w:vAlign w:val="center"/>
          </w:tcPr>
          <w:p w14:paraId="0C4B7AB9" w14:textId="77777777" w:rsidR="00D404E2" w:rsidRDefault="00D404E2" w:rsidP="005F4D2B">
            <w:pPr>
              <w:spacing w:line="288" w:lineRule="auto"/>
              <w:jc w:val="center"/>
            </w:pPr>
            <w:r>
              <w:t>August 2023</w:t>
            </w:r>
          </w:p>
        </w:tc>
        <w:tc>
          <w:tcPr>
            <w:tcW w:w="4370" w:type="dxa"/>
            <w:vAlign w:val="center"/>
          </w:tcPr>
          <w:p w14:paraId="46AFD011" w14:textId="77777777" w:rsidR="00D404E2" w:rsidRDefault="00D404E2" w:rsidP="005F4D2B">
            <w:pPr>
              <w:spacing w:line="288" w:lineRule="auto"/>
            </w:pPr>
            <w:r>
              <w:t>TG approval</w:t>
            </w:r>
          </w:p>
        </w:tc>
      </w:tr>
      <w:tr w:rsidR="00D404E2" w14:paraId="04B6A351" w14:textId="77777777" w:rsidTr="005F4D2B">
        <w:trPr>
          <w:jc w:val="center"/>
        </w:trPr>
        <w:tc>
          <w:tcPr>
            <w:tcW w:w="3285" w:type="dxa"/>
            <w:vAlign w:val="center"/>
          </w:tcPr>
          <w:p w14:paraId="34F96DE9" w14:textId="77777777" w:rsidR="00D404E2" w:rsidRDefault="00D404E2" w:rsidP="005F4D2B">
            <w:pPr>
              <w:spacing w:line="288" w:lineRule="auto"/>
            </w:pPr>
            <w:r>
              <w:t>WG pre-ballot</w:t>
            </w:r>
          </w:p>
        </w:tc>
        <w:tc>
          <w:tcPr>
            <w:tcW w:w="1675" w:type="dxa"/>
            <w:vAlign w:val="center"/>
          </w:tcPr>
          <w:p w14:paraId="5FFA5C0F" w14:textId="77777777" w:rsidR="00D404E2" w:rsidRDefault="00D404E2" w:rsidP="005F4D2B">
            <w:pPr>
              <w:spacing w:line="288" w:lineRule="auto"/>
              <w:jc w:val="center"/>
            </w:pPr>
            <w:r>
              <w:t>September 2023</w:t>
            </w:r>
          </w:p>
        </w:tc>
        <w:tc>
          <w:tcPr>
            <w:tcW w:w="4370" w:type="dxa"/>
            <w:vAlign w:val="center"/>
          </w:tcPr>
          <w:p w14:paraId="22AA922E" w14:textId="77777777" w:rsidR="00D404E2" w:rsidRDefault="00D404E2" w:rsidP="005F4D2B">
            <w:pPr>
              <w:spacing w:line="288" w:lineRule="auto"/>
            </w:pPr>
            <w:r>
              <w:t>WG pre-ballot submission.</w:t>
            </w:r>
          </w:p>
        </w:tc>
      </w:tr>
      <w:tr w:rsidR="00D404E2" w14:paraId="361CA66C" w14:textId="77777777" w:rsidTr="005F4D2B">
        <w:trPr>
          <w:jc w:val="center"/>
        </w:trPr>
        <w:tc>
          <w:tcPr>
            <w:tcW w:w="3285" w:type="dxa"/>
            <w:vAlign w:val="center"/>
          </w:tcPr>
          <w:p w14:paraId="6DA3FB2B" w14:textId="77777777" w:rsidR="00D404E2" w:rsidRDefault="00D404E2" w:rsidP="005F4D2B">
            <w:pPr>
              <w:spacing w:line="288" w:lineRule="auto"/>
            </w:pPr>
            <w:r>
              <w:t>Comments and resolution for pre-ballot.</w:t>
            </w:r>
          </w:p>
        </w:tc>
        <w:tc>
          <w:tcPr>
            <w:tcW w:w="1675" w:type="dxa"/>
            <w:vAlign w:val="center"/>
          </w:tcPr>
          <w:p w14:paraId="46E788EC" w14:textId="77777777" w:rsidR="00D404E2" w:rsidRDefault="00D404E2" w:rsidP="005F4D2B">
            <w:pPr>
              <w:spacing w:line="288" w:lineRule="auto"/>
              <w:jc w:val="center"/>
            </w:pPr>
            <w:r>
              <w:t>November 2023</w:t>
            </w:r>
          </w:p>
        </w:tc>
        <w:tc>
          <w:tcPr>
            <w:tcW w:w="4370" w:type="dxa"/>
            <w:vAlign w:val="center"/>
          </w:tcPr>
          <w:p w14:paraId="3B7C9994" w14:textId="77777777" w:rsidR="00D404E2" w:rsidRDefault="00D404E2" w:rsidP="005F4D2B">
            <w:pPr>
              <w:spacing w:line="288" w:lineRule="auto"/>
            </w:pPr>
            <w:r>
              <w:t>Finish resolutions to pre-ballot comments and recirculation.</w:t>
            </w:r>
          </w:p>
        </w:tc>
      </w:tr>
      <w:tr w:rsidR="00D404E2" w14:paraId="1DE0BB95" w14:textId="77777777" w:rsidTr="005F4D2B">
        <w:trPr>
          <w:jc w:val="center"/>
        </w:trPr>
        <w:tc>
          <w:tcPr>
            <w:tcW w:w="3285" w:type="dxa"/>
            <w:vAlign w:val="center"/>
          </w:tcPr>
          <w:p w14:paraId="0429470B" w14:textId="77777777" w:rsidR="00D404E2" w:rsidRDefault="00D404E2" w:rsidP="005F4D2B">
            <w:pPr>
              <w:spacing w:line="288" w:lineRule="auto"/>
            </w:pPr>
            <w:r>
              <w:t>WG letter ballot (LB)</w:t>
            </w:r>
          </w:p>
        </w:tc>
        <w:tc>
          <w:tcPr>
            <w:tcW w:w="1675" w:type="dxa"/>
            <w:vAlign w:val="center"/>
          </w:tcPr>
          <w:p w14:paraId="3E972140" w14:textId="77777777" w:rsidR="00D404E2" w:rsidRDefault="00D404E2" w:rsidP="005F4D2B">
            <w:pPr>
              <w:spacing w:line="288" w:lineRule="auto"/>
              <w:jc w:val="center"/>
            </w:pPr>
            <w:r>
              <w:t>January 2024</w:t>
            </w:r>
          </w:p>
        </w:tc>
        <w:tc>
          <w:tcPr>
            <w:tcW w:w="4370" w:type="dxa"/>
            <w:vAlign w:val="center"/>
          </w:tcPr>
          <w:p w14:paraId="46E36D31" w14:textId="77777777" w:rsidR="00D404E2" w:rsidRDefault="00D404E2" w:rsidP="005F4D2B">
            <w:pPr>
              <w:spacing w:line="288" w:lineRule="auto"/>
            </w:pPr>
            <w:r>
              <w:t>LB submission</w:t>
            </w:r>
          </w:p>
        </w:tc>
      </w:tr>
      <w:tr w:rsidR="00D404E2" w14:paraId="4898A16C" w14:textId="77777777" w:rsidTr="005F4D2B">
        <w:trPr>
          <w:jc w:val="center"/>
        </w:trPr>
        <w:tc>
          <w:tcPr>
            <w:tcW w:w="3285" w:type="dxa"/>
            <w:vAlign w:val="center"/>
          </w:tcPr>
          <w:p w14:paraId="5189013E" w14:textId="77777777" w:rsidR="00D404E2" w:rsidRDefault="00D404E2" w:rsidP="005F4D2B">
            <w:pPr>
              <w:spacing w:line="288" w:lineRule="auto"/>
            </w:pPr>
            <w:r>
              <w:t xml:space="preserve"> LB recirculation</w:t>
            </w:r>
          </w:p>
        </w:tc>
        <w:tc>
          <w:tcPr>
            <w:tcW w:w="1675" w:type="dxa"/>
            <w:vAlign w:val="center"/>
          </w:tcPr>
          <w:p w14:paraId="1001979F" w14:textId="77777777" w:rsidR="00D404E2" w:rsidRDefault="00D404E2" w:rsidP="005F4D2B">
            <w:pPr>
              <w:spacing w:line="288" w:lineRule="auto"/>
              <w:jc w:val="center"/>
            </w:pPr>
            <w:r>
              <w:t>January 2024</w:t>
            </w:r>
          </w:p>
        </w:tc>
        <w:tc>
          <w:tcPr>
            <w:tcW w:w="4370" w:type="dxa"/>
            <w:vAlign w:val="center"/>
          </w:tcPr>
          <w:p w14:paraId="2822580D" w14:textId="77777777" w:rsidR="00D404E2" w:rsidRDefault="00D404E2" w:rsidP="005F4D2B">
            <w:pPr>
              <w:spacing w:line="288" w:lineRule="auto"/>
            </w:pPr>
            <w:r>
              <w:t>Comment-resolutions to LB recirculation</w:t>
            </w:r>
          </w:p>
        </w:tc>
      </w:tr>
      <w:tr w:rsidR="00D404E2" w14:paraId="11782834" w14:textId="77777777" w:rsidTr="005F4D2B">
        <w:trPr>
          <w:jc w:val="center"/>
        </w:trPr>
        <w:tc>
          <w:tcPr>
            <w:tcW w:w="3285" w:type="dxa"/>
            <w:vAlign w:val="center"/>
          </w:tcPr>
          <w:p w14:paraId="227576A4" w14:textId="77777777" w:rsidR="00D404E2" w:rsidRDefault="00D404E2" w:rsidP="005F4D2B">
            <w:pPr>
              <w:spacing w:line="288" w:lineRule="auto"/>
            </w:pPr>
            <w:r>
              <w:t>Conditional approval for Sponsor Ballot (SB)</w:t>
            </w:r>
          </w:p>
        </w:tc>
        <w:tc>
          <w:tcPr>
            <w:tcW w:w="1675" w:type="dxa"/>
            <w:vAlign w:val="center"/>
          </w:tcPr>
          <w:p w14:paraId="0F553338" w14:textId="77777777" w:rsidR="00D404E2" w:rsidRDefault="00D404E2" w:rsidP="005F4D2B">
            <w:pPr>
              <w:spacing w:line="288" w:lineRule="auto"/>
              <w:jc w:val="center"/>
            </w:pPr>
            <w:r>
              <w:t>January 2024</w:t>
            </w:r>
          </w:p>
        </w:tc>
        <w:tc>
          <w:tcPr>
            <w:tcW w:w="4370" w:type="dxa"/>
            <w:vAlign w:val="center"/>
          </w:tcPr>
          <w:p w14:paraId="529AA350" w14:textId="77777777" w:rsidR="00D404E2" w:rsidRDefault="00D404E2" w:rsidP="005F4D2B">
            <w:pPr>
              <w:spacing w:line="288" w:lineRule="auto"/>
            </w:pPr>
            <w:r>
              <w:t>Seek conditional approval</w:t>
            </w:r>
          </w:p>
        </w:tc>
      </w:tr>
      <w:tr w:rsidR="00D404E2" w14:paraId="1FD6E3CF" w14:textId="77777777" w:rsidTr="005F4D2B">
        <w:trPr>
          <w:jc w:val="center"/>
        </w:trPr>
        <w:tc>
          <w:tcPr>
            <w:tcW w:w="3285" w:type="dxa"/>
            <w:vAlign w:val="center"/>
          </w:tcPr>
          <w:p w14:paraId="49AB1B32" w14:textId="77777777" w:rsidR="00D404E2" w:rsidRDefault="00D404E2" w:rsidP="005F4D2B">
            <w:pPr>
              <w:spacing w:line="288" w:lineRule="auto"/>
            </w:pPr>
            <w:r>
              <w:t>Final LB recirculation. EC approval</w:t>
            </w:r>
          </w:p>
        </w:tc>
        <w:tc>
          <w:tcPr>
            <w:tcW w:w="1675" w:type="dxa"/>
            <w:vAlign w:val="center"/>
          </w:tcPr>
          <w:p w14:paraId="443F31DE" w14:textId="77777777" w:rsidR="00D404E2" w:rsidRDefault="00D404E2" w:rsidP="005F4D2B">
            <w:pPr>
              <w:spacing w:line="288" w:lineRule="auto"/>
              <w:jc w:val="center"/>
            </w:pPr>
            <w:r>
              <w:t>March 2024</w:t>
            </w:r>
          </w:p>
        </w:tc>
        <w:tc>
          <w:tcPr>
            <w:tcW w:w="4370" w:type="dxa"/>
            <w:vAlign w:val="center"/>
          </w:tcPr>
          <w:p w14:paraId="4768F048" w14:textId="77777777" w:rsidR="00D404E2" w:rsidRDefault="00D404E2" w:rsidP="005F4D2B">
            <w:pPr>
              <w:spacing w:line="288" w:lineRule="auto"/>
            </w:pPr>
            <w:r>
              <w:t xml:space="preserve">Just before the March meeting. </w:t>
            </w:r>
          </w:p>
        </w:tc>
      </w:tr>
      <w:tr w:rsidR="00D404E2" w14:paraId="6BF47DD0" w14:textId="77777777" w:rsidTr="005F4D2B">
        <w:trPr>
          <w:jc w:val="center"/>
        </w:trPr>
        <w:tc>
          <w:tcPr>
            <w:tcW w:w="3285" w:type="dxa"/>
            <w:vAlign w:val="center"/>
          </w:tcPr>
          <w:p w14:paraId="11EE3406" w14:textId="77777777" w:rsidR="00D404E2" w:rsidRDefault="00D404E2" w:rsidP="005F4D2B">
            <w:pPr>
              <w:spacing w:line="288" w:lineRule="auto"/>
            </w:pPr>
            <w:r>
              <w:t>EC approval to SB</w:t>
            </w:r>
          </w:p>
        </w:tc>
        <w:tc>
          <w:tcPr>
            <w:tcW w:w="1675" w:type="dxa"/>
            <w:vAlign w:val="center"/>
          </w:tcPr>
          <w:p w14:paraId="7A4E8A04" w14:textId="77777777" w:rsidR="00D404E2" w:rsidRDefault="00D404E2" w:rsidP="005F4D2B">
            <w:pPr>
              <w:spacing w:line="288" w:lineRule="auto"/>
              <w:jc w:val="center"/>
            </w:pPr>
            <w:r>
              <w:t>March 2024</w:t>
            </w:r>
          </w:p>
        </w:tc>
        <w:tc>
          <w:tcPr>
            <w:tcW w:w="4370" w:type="dxa"/>
            <w:vAlign w:val="center"/>
          </w:tcPr>
          <w:p w14:paraId="3211B25E" w14:textId="77777777" w:rsidR="00D404E2" w:rsidRDefault="00D404E2" w:rsidP="005F4D2B">
            <w:pPr>
              <w:spacing w:line="288" w:lineRule="auto"/>
            </w:pPr>
          </w:p>
        </w:tc>
      </w:tr>
      <w:tr w:rsidR="00D404E2" w14:paraId="436B524A" w14:textId="77777777" w:rsidTr="005F4D2B">
        <w:trPr>
          <w:jc w:val="center"/>
        </w:trPr>
        <w:tc>
          <w:tcPr>
            <w:tcW w:w="3285" w:type="dxa"/>
            <w:vAlign w:val="center"/>
          </w:tcPr>
          <w:p w14:paraId="1D8B8136" w14:textId="77777777" w:rsidR="00D404E2" w:rsidRDefault="00D404E2" w:rsidP="005F4D2B">
            <w:pPr>
              <w:spacing w:line="288" w:lineRule="auto"/>
            </w:pPr>
            <w:r>
              <w:t>SB submission</w:t>
            </w:r>
          </w:p>
        </w:tc>
        <w:tc>
          <w:tcPr>
            <w:tcW w:w="1675" w:type="dxa"/>
            <w:vAlign w:val="center"/>
          </w:tcPr>
          <w:p w14:paraId="0BE8B6C8" w14:textId="77777777" w:rsidR="00D404E2" w:rsidRDefault="00D404E2" w:rsidP="005F4D2B">
            <w:pPr>
              <w:spacing w:line="288" w:lineRule="auto"/>
              <w:jc w:val="center"/>
            </w:pPr>
            <w:r>
              <w:t>March 2024</w:t>
            </w:r>
          </w:p>
        </w:tc>
        <w:tc>
          <w:tcPr>
            <w:tcW w:w="4370" w:type="dxa"/>
            <w:vAlign w:val="center"/>
          </w:tcPr>
          <w:p w14:paraId="79B8D90A" w14:textId="77777777" w:rsidR="00D404E2" w:rsidRDefault="00D404E2" w:rsidP="005F4D2B">
            <w:pPr>
              <w:spacing w:line="288" w:lineRule="auto"/>
            </w:pPr>
            <w:r>
              <w:t xml:space="preserve"> </w:t>
            </w:r>
          </w:p>
        </w:tc>
      </w:tr>
      <w:tr w:rsidR="00D404E2" w14:paraId="11C66112" w14:textId="77777777" w:rsidTr="005F4D2B">
        <w:trPr>
          <w:jc w:val="center"/>
        </w:trPr>
        <w:tc>
          <w:tcPr>
            <w:tcW w:w="3285" w:type="dxa"/>
            <w:vAlign w:val="center"/>
          </w:tcPr>
          <w:p w14:paraId="0740ABE4" w14:textId="77777777" w:rsidR="00D404E2" w:rsidRDefault="00D404E2" w:rsidP="005F4D2B">
            <w:pPr>
              <w:spacing w:line="288" w:lineRule="auto"/>
            </w:pPr>
            <w:r>
              <w:t>SB recirculation</w:t>
            </w:r>
          </w:p>
        </w:tc>
        <w:tc>
          <w:tcPr>
            <w:tcW w:w="1675" w:type="dxa"/>
            <w:vAlign w:val="center"/>
          </w:tcPr>
          <w:p w14:paraId="570EF67C" w14:textId="77777777" w:rsidR="00D404E2" w:rsidRDefault="00D404E2" w:rsidP="005F4D2B">
            <w:pPr>
              <w:spacing w:line="288" w:lineRule="auto"/>
              <w:jc w:val="center"/>
            </w:pPr>
            <w:r>
              <w:t>May 2024</w:t>
            </w:r>
          </w:p>
        </w:tc>
        <w:tc>
          <w:tcPr>
            <w:tcW w:w="4370" w:type="dxa"/>
            <w:vAlign w:val="center"/>
          </w:tcPr>
          <w:p w14:paraId="7412D6C6" w14:textId="77777777" w:rsidR="00D404E2" w:rsidRDefault="00D404E2" w:rsidP="005F4D2B">
            <w:pPr>
              <w:spacing w:line="288" w:lineRule="auto"/>
            </w:pPr>
            <w:r>
              <w:t>Resolutions to SB.</w:t>
            </w:r>
          </w:p>
        </w:tc>
      </w:tr>
      <w:tr w:rsidR="00D404E2" w14:paraId="61D78E35" w14:textId="77777777" w:rsidTr="005F4D2B">
        <w:trPr>
          <w:jc w:val="center"/>
        </w:trPr>
        <w:tc>
          <w:tcPr>
            <w:tcW w:w="3285" w:type="dxa"/>
            <w:vAlign w:val="center"/>
          </w:tcPr>
          <w:p w14:paraId="02869BD3" w14:textId="77777777" w:rsidR="00D404E2" w:rsidRDefault="00D404E2" w:rsidP="005F4D2B">
            <w:pPr>
              <w:spacing w:line="264" w:lineRule="auto"/>
            </w:pPr>
            <w:r>
              <w:t>Conditional/unconditional approval to RevCom</w:t>
            </w:r>
          </w:p>
        </w:tc>
        <w:tc>
          <w:tcPr>
            <w:tcW w:w="1675" w:type="dxa"/>
            <w:vAlign w:val="center"/>
          </w:tcPr>
          <w:p w14:paraId="0114AE8B" w14:textId="77777777" w:rsidR="00D404E2" w:rsidRDefault="00D404E2" w:rsidP="005F4D2B">
            <w:pPr>
              <w:spacing w:line="264" w:lineRule="auto"/>
              <w:jc w:val="center"/>
            </w:pPr>
            <w:r>
              <w:t>May 2024</w:t>
            </w:r>
          </w:p>
        </w:tc>
        <w:tc>
          <w:tcPr>
            <w:tcW w:w="4370" w:type="dxa"/>
            <w:vAlign w:val="center"/>
          </w:tcPr>
          <w:p w14:paraId="1178C984" w14:textId="77777777" w:rsidR="00D404E2" w:rsidRDefault="00D404E2" w:rsidP="005F4D2B">
            <w:pPr>
              <w:spacing w:line="264" w:lineRule="auto"/>
            </w:pPr>
            <w:r>
              <w:t xml:space="preserve">Submission to SASB agenda </w:t>
            </w:r>
          </w:p>
        </w:tc>
      </w:tr>
      <w:tr w:rsidR="00D404E2" w14:paraId="27657173" w14:textId="77777777" w:rsidTr="005F4D2B">
        <w:trPr>
          <w:jc w:val="center"/>
        </w:trPr>
        <w:tc>
          <w:tcPr>
            <w:tcW w:w="3285" w:type="dxa"/>
            <w:vAlign w:val="center"/>
          </w:tcPr>
          <w:p w14:paraId="25777C5A" w14:textId="77777777" w:rsidR="00D404E2" w:rsidRDefault="00D404E2" w:rsidP="005F4D2B">
            <w:pPr>
              <w:spacing w:line="288" w:lineRule="auto"/>
            </w:pPr>
            <w:r>
              <w:t>SB recirculation if required</w:t>
            </w:r>
          </w:p>
        </w:tc>
        <w:tc>
          <w:tcPr>
            <w:tcW w:w="1675" w:type="dxa"/>
            <w:vAlign w:val="center"/>
          </w:tcPr>
          <w:p w14:paraId="73EA405D" w14:textId="77777777" w:rsidR="00D404E2" w:rsidRDefault="00D404E2" w:rsidP="005F4D2B">
            <w:pPr>
              <w:spacing w:line="288" w:lineRule="auto"/>
              <w:jc w:val="center"/>
            </w:pPr>
            <w:r>
              <w:t>June 2024</w:t>
            </w:r>
          </w:p>
        </w:tc>
        <w:tc>
          <w:tcPr>
            <w:tcW w:w="4370" w:type="dxa"/>
            <w:vAlign w:val="center"/>
          </w:tcPr>
          <w:p w14:paraId="7CB42E69" w14:textId="77777777" w:rsidR="00D404E2" w:rsidRDefault="00D404E2" w:rsidP="005F4D2B">
            <w:pPr>
              <w:spacing w:line="288" w:lineRule="auto"/>
            </w:pPr>
          </w:p>
        </w:tc>
      </w:tr>
      <w:tr w:rsidR="00D404E2" w14:paraId="1E906FE0" w14:textId="77777777" w:rsidTr="005F4D2B">
        <w:trPr>
          <w:jc w:val="center"/>
        </w:trPr>
        <w:tc>
          <w:tcPr>
            <w:tcW w:w="3285" w:type="dxa"/>
            <w:vAlign w:val="center"/>
          </w:tcPr>
          <w:p w14:paraId="79BE13A1" w14:textId="77777777" w:rsidR="00D404E2" w:rsidRDefault="00D404E2" w:rsidP="005F4D2B">
            <w:pPr>
              <w:spacing w:line="288" w:lineRule="auto"/>
            </w:pPr>
            <w:r>
              <w:t>RevCom submission</w:t>
            </w:r>
          </w:p>
        </w:tc>
        <w:tc>
          <w:tcPr>
            <w:tcW w:w="1675" w:type="dxa"/>
            <w:vAlign w:val="center"/>
          </w:tcPr>
          <w:p w14:paraId="0C03F2F0" w14:textId="77777777" w:rsidR="00D404E2" w:rsidRDefault="00D404E2" w:rsidP="005F4D2B">
            <w:pPr>
              <w:spacing w:line="288" w:lineRule="auto"/>
              <w:jc w:val="center"/>
            </w:pPr>
            <w:r>
              <w:t>June 2024</w:t>
            </w:r>
          </w:p>
        </w:tc>
        <w:tc>
          <w:tcPr>
            <w:tcW w:w="4370" w:type="dxa"/>
            <w:vAlign w:val="center"/>
          </w:tcPr>
          <w:p w14:paraId="0E8BA6F3" w14:textId="77777777" w:rsidR="00D404E2" w:rsidRDefault="00D404E2" w:rsidP="005F4D2B">
            <w:pPr>
              <w:spacing w:line="288" w:lineRule="auto"/>
            </w:pPr>
            <w:r>
              <w:t>RevCom approval</w:t>
            </w:r>
          </w:p>
        </w:tc>
      </w:tr>
    </w:tbl>
    <w:p w14:paraId="1A5A5763" w14:textId="27B911F1" w:rsidR="00BB41EB" w:rsidRDefault="00E50811" w:rsidP="001707CC">
      <w:pPr>
        <w:jc w:val="both"/>
        <w:rPr>
          <w:color w:val="auto"/>
          <w:sz w:val="22"/>
          <w:szCs w:val="22"/>
        </w:rPr>
      </w:pPr>
      <w:r>
        <w:rPr>
          <w:b/>
          <w:bCs/>
          <w:color w:val="auto"/>
          <w:sz w:val="28"/>
          <w:szCs w:val="28"/>
        </w:rPr>
        <w:t xml:space="preserve"> </w:t>
      </w:r>
    </w:p>
    <w:sectPr w:rsidR="00BB41E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FAB6" w14:textId="77777777" w:rsidR="006F174F" w:rsidRDefault="006F174F">
      <w:r>
        <w:separator/>
      </w:r>
    </w:p>
  </w:endnote>
  <w:endnote w:type="continuationSeparator" w:id="0">
    <w:p w14:paraId="2ED74553" w14:textId="77777777" w:rsidR="006F174F" w:rsidRDefault="006F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58C9" w14:textId="77777777" w:rsidR="006F174F" w:rsidRDefault="006F174F">
      <w:r>
        <w:separator/>
      </w:r>
    </w:p>
  </w:footnote>
  <w:footnote w:type="continuationSeparator" w:id="0">
    <w:p w14:paraId="2C53FBDA" w14:textId="77777777" w:rsidR="006F174F" w:rsidRDefault="006F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235E2ED4" w:rsidR="00DC5E72" w:rsidRDefault="006B04A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w:t>
    </w:r>
    <w:r w:rsidR="00357FC9">
      <w:rPr>
        <w:b/>
        <w:sz w:val="28"/>
      </w:rPr>
      <w:t>y</w:t>
    </w:r>
    <w:r w:rsidR="004A4D69">
      <w:rPr>
        <w:b/>
        <w:sz w:val="28"/>
      </w:rPr>
      <w:t xml:space="preserve"> 202</w:t>
    </w:r>
    <w:r w:rsidR="00204A98">
      <w:rPr>
        <w:b/>
        <w:sz w:val="28"/>
      </w:rPr>
      <w:t>3</w:t>
    </w:r>
    <w:r w:rsidR="00DC5E72">
      <w:rPr>
        <w:b/>
        <w:sz w:val="28"/>
      </w:rPr>
      <w:tab/>
      <w:t xml:space="preserve"> IEEE P802.15-</w:t>
    </w:r>
    <w:r w:rsidR="00DA688F">
      <w:rPr>
        <w:b/>
        <w:sz w:val="28"/>
      </w:rPr>
      <w:t>2</w:t>
    </w:r>
    <w:r w:rsidR="00204A98">
      <w:rPr>
        <w:b/>
        <w:sz w:val="28"/>
      </w:rPr>
      <w:t>3</w:t>
    </w:r>
    <w:r w:rsidR="00DA688F">
      <w:rPr>
        <w:b/>
        <w:sz w:val="28"/>
      </w:rPr>
      <w:t>-0</w:t>
    </w:r>
    <w:r w:rsidR="00447A1D">
      <w:rPr>
        <w:b/>
        <w:sz w:val="28"/>
      </w:rPr>
      <w:t>288</w:t>
    </w:r>
    <w:r w:rsidR="00DA688F">
      <w:rPr>
        <w:b/>
        <w:sz w:val="28"/>
      </w:rPr>
      <w:t>-0</w:t>
    </w:r>
    <w:r w:rsidR="00447A1D">
      <w:rPr>
        <w:b/>
        <w:sz w:val="28"/>
      </w:rPr>
      <w:t>0</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5"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90CE1"/>
    <w:multiLevelType w:val="hybridMultilevel"/>
    <w:tmpl w:val="6D9A3B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D0286"/>
    <w:multiLevelType w:val="hybridMultilevel"/>
    <w:tmpl w:val="D06EB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6"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9"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7"/>
  </w:num>
  <w:num w:numId="2" w16cid:durableId="365981786">
    <w:abstractNumId w:val="3"/>
  </w:num>
  <w:num w:numId="3" w16cid:durableId="206184536">
    <w:abstractNumId w:val="14"/>
  </w:num>
  <w:num w:numId="4" w16cid:durableId="1206333878">
    <w:abstractNumId w:val="26"/>
  </w:num>
  <w:num w:numId="5" w16cid:durableId="400366627">
    <w:abstractNumId w:val="12"/>
  </w:num>
  <w:num w:numId="6" w16cid:durableId="670763544">
    <w:abstractNumId w:val="25"/>
  </w:num>
  <w:num w:numId="7" w16cid:durableId="366762465">
    <w:abstractNumId w:val="7"/>
  </w:num>
  <w:num w:numId="8" w16cid:durableId="1073091756">
    <w:abstractNumId w:val="11"/>
  </w:num>
  <w:num w:numId="9" w16cid:durableId="493490337">
    <w:abstractNumId w:val="28"/>
  </w:num>
  <w:num w:numId="10" w16cid:durableId="1634828248">
    <w:abstractNumId w:val="15"/>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3"/>
  </w:num>
  <w:num w:numId="17" w16cid:durableId="1071274472">
    <w:abstractNumId w:val="6"/>
  </w:num>
  <w:num w:numId="18" w16cid:durableId="250743696">
    <w:abstractNumId w:val="29"/>
  </w:num>
  <w:num w:numId="19" w16cid:durableId="1695836869">
    <w:abstractNumId w:val="9"/>
  </w:num>
  <w:num w:numId="20" w16cid:durableId="668756562">
    <w:abstractNumId w:val="23"/>
  </w:num>
  <w:num w:numId="21" w16cid:durableId="1462185049">
    <w:abstractNumId w:val="22"/>
  </w:num>
  <w:num w:numId="22" w16cid:durableId="166873486">
    <w:abstractNumId w:val="16"/>
  </w:num>
  <w:num w:numId="23" w16cid:durableId="419451622">
    <w:abstractNumId w:val="20"/>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9"/>
  </w:num>
  <w:num w:numId="26" w16cid:durableId="1302926087">
    <w:abstractNumId w:val="4"/>
  </w:num>
  <w:num w:numId="27" w16cid:durableId="253824431">
    <w:abstractNumId w:val="17"/>
  </w:num>
  <w:num w:numId="28" w16cid:durableId="1975015527">
    <w:abstractNumId w:val="10"/>
  </w:num>
  <w:num w:numId="29" w16cid:durableId="535241794">
    <w:abstractNumId w:val="18"/>
  </w:num>
  <w:num w:numId="30" w16cid:durableId="1498959051">
    <w:abstractNumId w:val="21"/>
  </w:num>
  <w:num w:numId="31" w16cid:durableId="8506839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02D17"/>
    <w:rsid w:val="00011CA1"/>
    <w:rsid w:val="00017A99"/>
    <w:rsid w:val="000201BA"/>
    <w:rsid w:val="00021004"/>
    <w:rsid w:val="000460FC"/>
    <w:rsid w:val="000529DE"/>
    <w:rsid w:val="0005468E"/>
    <w:rsid w:val="00057A89"/>
    <w:rsid w:val="00071B7E"/>
    <w:rsid w:val="000724A0"/>
    <w:rsid w:val="00073CDC"/>
    <w:rsid w:val="000769C7"/>
    <w:rsid w:val="0009584B"/>
    <w:rsid w:val="000B287F"/>
    <w:rsid w:val="000C30ED"/>
    <w:rsid w:val="000D1CA3"/>
    <w:rsid w:val="000D52E3"/>
    <w:rsid w:val="000D7EC6"/>
    <w:rsid w:val="000E34B6"/>
    <w:rsid w:val="000E3D25"/>
    <w:rsid w:val="000E4900"/>
    <w:rsid w:val="000E5FF5"/>
    <w:rsid w:val="001062DB"/>
    <w:rsid w:val="00107FE7"/>
    <w:rsid w:val="001236C1"/>
    <w:rsid w:val="00124F29"/>
    <w:rsid w:val="00126B26"/>
    <w:rsid w:val="001338DE"/>
    <w:rsid w:val="00137FEB"/>
    <w:rsid w:val="00150146"/>
    <w:rsid w:val="00161F41"/>
    <w:rsid w:val="001624A2"/>
    <w:rsid w:val="00162877"/>
    <w:rsid w:val="00165E8C"/>
    <w:rsid w:val="001707CC"/>
    <w:rsid w:val="001854FA"/>
    <w:rsid w:val="0019192C"/>
    <w:rsid w:val="00194ED9"/>
    <w:rsid w:val="001B7BBC"/>
    <w:rsid w:val="001C31FE"/>
    <w:rsid w:val="001D06F8"/>
    <w:rsid w:val="001D070F"/>
    <w:rsid w:val="001D1331"/>
    <w:rsid w:val="001D2099"/>
    <w:rsid w:val="001F71A0"/>
    <w:rsid w:val="002038F8"/>
    <w:rsid w:val="00204A98"/>
    <w:rsid w:val="00205FD0"/>
    <w:rsid w:val="00210B54"/>
    <w:rsid w:val="002124F2"/>
    <w:rsid w:val="0021678E"/>
    <w:rsid w:val="00225568"/>
    <w:rsid w:val="002310D7"/>
    <w:rsid w:val="002338E2"/>
    <w:rsid w:val="00242C0E"/>
    <w:rsid w:val="00254F18"/>
    <w:rsid w:val="00262196"/>
    <w:rsid w:val="00277AA0"/>
    <w:rsid w:val="002A1E77"/>
    <w:rsid w:val="002A7064"/>
    <w:rsid w:val="002B0988"/>
    <w:rsid w:val="002B779E"/>
    <w:rsid w:val="002C6F76"/>
    <w:rsid w:val="002D7D57"/>
    <w:rsid w:val="00303C80"/>
    <w:rsid w:val="00310115"/>
    <w:rsid w:val="00324E8A"/>
    <w:rsid w:val="00330552"/>
    <w:rsid w:val="0034162E"/>
    <w:rsid w:val="00342EF6"/>
    <w:rsid w:val="00344033"/>
    <w:rsid w:val="0034412D"/>
    <w:rsid w:val="00346B95"/>
    <w:rsid w:val="00353CB0"/>
    <w:rsid w:val="003553C4"/>
    <w:rsid w:val="00357FC9"/>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16AAE"/>
    <w:rsid w:val="00425B96"/>
    <w:rsid w:val="00427494"/>
    <w:rsid w:val="004320C0"/>
    <w:rsid w:val="00432A48"/>
    <w:rsid w:val="00434E5D"/>
    <w:rsid w:val="00436300"/>
    <w:rsid w:val="00436804"/>
    <w:rsid w:val="004374AD"/>
    <w:rsid w:val="004459CA"/>
    <w:rsid w:val="00446538"/>
    <w:rsid w:val="00447A1D"/>
    <w:rsid w:val="00456857"/>
    <w:rsid w:val="00457E15"/>
    <w:rsid w:val="00466A06"/>
    <w:rsid w:val="00467C10"/>
    <w:rsid w:val="004905A8"/>
    <w:rsid w:val="004A0E20"/>
    <w:rsid w:val="004A3068"/>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1D5B"/>
    <w:rsid w:val="00584CEA"/>
    <w:rsid w:val="00593E19"/>
    <w:rsid w:val="005B278E"/>
    <w:rsid w:val="005B6207"/>
    <w:rsid w:val="005C0839"/>
    <w:rsid w:val="005C1B47"/>
    <w:rsid w:val="005C38F2"/>
    <w:rsid w:val="005C4488"/>
    <w:rsid w:val="005C55C0"/>
    <w:rsid w:val="005C5B34"/>
    <w:rsid w:val="005C7D49"/>
    <w:rsid w:val="005D3FAC"/>
    <w:rsid w:val="005F35FF"/>
    <w:rsid w:val="005F3660"/>
    <w:rsid w:val="005F4A4A"/>
    <w:rsid w:val="00600B05"/>
    <w:rsid w:val="0060669E"/>
    <w:rsid w:val="006178F1"/>
    <w:rsid w:val="006238BB"/>
    <w:rsid w:val="00625C46"/>
    <w:rsid w:val="0068106B"/>
    <w:rsid w:val="00685775"/>
    <w:rsid w:val="006874D1"/>
    <w:rsid w:val="00690564"/>
    <w:rsid w:val="00695EC3"/>
    <w:rsid w:val="00697BB8"/>
    <w:rsid w:val="006B04A5"/>
    <w:rsid w:val="006B18B9"/>
    <w:rsid w:val="006C4DE8"/>
    <w:rsid w:val="006D0514"/>
    <w:rsid w:val="006D0F37"/>
    <w:rsid w:val="006D2CD8"/>
    <w:rsid w:val="006E1C73"/>
    <w:rsid w:val="006E1DB8"/>
    <w:rsid w:val="006F174F"/>
    <w:rsid w:val="006F2F46"/>
    <w:rsid w:val="006F45E0"/>
    <w:rsid w:val="00701E6C"/>
    <w:rsid w:val="007044D9"/>
    <w:rsid w:val="007077A8"/>
    <w:rsid w:val="00713D0B"/>
    <w:rsid w:val="007155B6"/>
    <w:rsid w:val="00723D38"/>
    <w:rsid w:val="00732A91"/>
    <w:rsid w:val="00732F16"/>
    <w:rsid w:val="007343C5"/>
    <w:rsid w:val="0073505B"/>
    <w:rsid w:val="00741DCF"/>
    <w:rsid w:val="0074662F"/>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70AD"/>
    <w:rsid w:val="00893B3C"/>
    <w:rsid w:val="008964EC"/>
    <w:rsid w:val="008A5E61"/>
    <w:rsid w:val="008A7A37"/>
    <w:rsid w:val="008B3831"/>
    <w:rsid w:val="008B64D8"/>
    <w:rsid w:val="008B7034"/>
    <w:rsid w:val="008D2848"/>
    <w:rsid w:val="008D6B88"/>
    <w:rsid w:val="008D7EC6"/>
    <w:rsid w:val="008E0B66"/>
    <w:rsid w:val="008F13CC"/>
    <w:rsid w:val="009142B2"/>
    <w:rsid w:val="009149DB"/>
    <w:rsid w:val="009304F7"/>
    <w:rsid w:val="0093086F"/>
    <w:rsid w:val="0095085B"/>
    <w:rsid w:val="0095158D"/>
    <w:rsid w:val="00966907"/>
    <w:rsid w:val="009833B3"/>
    <w:rsid w:val="00983DDA"/>
    <w:rsid w:val="00983E42"/>
    <w:rsid w:val="00984572"/>
    <w:rsid w:val="00990B6C"/>
    <w:rsid w:val="009932C1"/>
    <w:rsid w:val="00997367"/>
    <w:rsid w:val="009A7F34"/>
    <w:rsid w:val="009B5528"/>
    <w:rsid w:val="00A0777A"/>
    <w:rsid w:val="00A23441"/>
    <w:rsid w:val="00A27B81"/>
    <w:rsid w:val="00A513F6"/>
    <w:rsid w:val="00A51F27"/>
    <w:rsid w:val="00A546C3"/>
    <w:rsid w:val="00A61972"/>
    <w:rsid w:val="00A70E99"/>
    <w:rsid w:val="00A87983"/>
    <w:rsid w:val="00A9561E"/>
    <w:rsid w:val="00AA10AB"/>
    <w:rsid w:val="00AB1DD1"/>
    <w:rsid w:val="00AB7BE4"/>
    <w:rsid w:val="00AD3D9D"/>
    <w:rsid w:val="00AD5D85"/>
    <w:rsid w:val="00AE137A"/>
    <w:rsid w:val="00AF249D"/>
    <w:rsid w:val="00AF450E"/>
    <w:rsid w:val="00B0493F"/>
    <w:rsid w:val="00B06BBE"/>
    <w:rsid w:val="00B07570"/>
    <w:rsid w:val="00B157AF"/>
    <w:rsid w:val="00B20755"/>
    <w:rsid w:val="00B23492"/>
    <w:rsid w:val="00B45DC7"/>
    <w:rsid w:val="00B5199A"/>
    <w:rsid w:val="00B5630E"/>
    <w:rsid w:val="00B60D9F"/>
    <w:rsid w:val="00B621C2"/>
    <w:rsid w:val="00B714FD"/>
    <w:rsid w:val="00B818CC"/>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61136"/>
    <w:rsid w:val="00C7098A"/>
    <w:rsid w:val="00C72A9F"/>
    <w:rsid w:val="00C76661"/>
    <w:rsid w:val="00C77F90"/>
    <w:rsid w:val="00C84295"/>
    <w:rsid w:val="00C87DE2"/>
    <w:rsid w:val="00C9488F"/>
    <w:rsid w:val="00C949A0"/>
    <w:rsid w:val="00CA4DFA"/>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16BDE"/>
    <w:rsid w:val="00D26090"/>
    <w:rsid w:val="00D404E2"/>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50811"/>
    <w:rsid w:val="00E644CF"/>
    <w:rsid w:val="00E64937"/>
    <w:rsid w:val="00E8002B"/>
    <w:rsid w:val="00E80AD3"/>
    <w:rsid w:val="00E87696"/>
    <w:rsid w:val="00EA0E3E"/>
    <w:rsid w:val="00EA551D"/>
    <w:rsid w:val="00EB40BF"/>
    <w:rsid w:val="00EB4AE6"/>
    <w:rsid w:val="00EB4EEF"/>
    <w:rsid w:val="00EC6150"/>
    <w:rsid w:val="00EC6D79"/>
    <w:rsid w:val="00ED1964"/>
    <w:rsid w:val="00ED6489"/>
    <w:rsid w:val="00EE7CC8"/>
    <w:rsid w:val="00F273FB"/>
    <w:rsid w:val="00F319C7"/>
    <w:rsid w:val="00F33A47"/>
    <w:rsid w:val="00F51E19"/>
    <w:rsid w:val="00F539E1"/>
    <w:rsid w:val="00F55D0D"/>
    <w:rsid w:val="00F566B2"/>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368</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2462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2</cp:revision>
  <cp:lastPrinted>1900-01-01T06:00:00Z</cp:lastPrinted>
  <dcterms:created xsi:type="dcterms:W3CDTF">2023-05-18T12:44:00Z</dcterms:created>
  <dcterms:modified xsi:type="dcterms:W3CDTF">2023-05-18T12:44:00Z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