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D0B1116" w:rsidR="004E3A07" w:rsidRPr="00AB1DD1" w:rsidRDefault="00D16BDE">
            <w:pPr>
              <w:pStyle w:val="covertext"/>
              <w:rPr>
                <w:b/>
                <w:sz w:val="24"/>
                <w:szCs w:val="22"/>
              </w:rPr>
            </w:pPr>
            <w:r>
              <w:rPr>
                <w:b/>
                <w:sz w:val="24"/>
                <w:szCs w:val="22"/>
              </w:rPr>
              <w:t xml:space="preserve">Agenda for the joint 4ab and 6ma meeting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7C1D40BC" w:rsidR="004E3A07" w:rsidRPr="00AB1DD1" w:rsidRDefault="00D16BDE">
            <w:pPr>
              <w:pStyle w:val="covertext"/>
              <w:rPr>
                <w:sz w:val="24"/>
                <w:szCs w:val="22"/>
              </w:rPr>
            </w:pPr>
            <w:r>
              <w:rPr>
                <w:sz w:val="24"/>
                <w:szCs w:val="22"/>
              </w:rPr>
              <w:t>March</w:t>
            </w:r>
            <w:r w:rsidR="00E32014" w:rsidRPr="00AB1DD1">
              <w:rPr>
                <w:sz w:val="24"/>
                <w:szCs w:val="22"/>
              </w:rPr>
              <w:t xml:space="preserve"> </w:t>
            </w:r>
            <w:r>
              <w:rPr>
                <w:sz w:val="24"/>
                <w:szCs w:val="22"/>
              </w:rPr>
              <w:t>7</w:t>
            </w:r>
            <w:r w:rsidR="000E5FF5">
              <w:rPr>
                <w:sz w:val="24"/>
                <w:szCs w:val="22"/>
              </w:rPr>
              <w:t>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05F8187" w:rsidR="00CB0B01" w:rsidRPr="00B20755" w:rsidRDefault="00D16BDE" w:rsidP="00CB0B01">
            <w:pPr>
              <w:pStyle w:val="covertext"/>
              <w:rPr>
                <w:sz w:val="22"/>
              </w:rPr>
            </w:pPr>
            <w:r>
              <w:rPr>
                <w:sz w:val="22"/>
              </w:rPr>
              <w:t>Agenda joint 4ab and 6ma meeting.</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6AC5D917" w:rsidR="00CB0B01" w:rsidRPr="00B20755" w:rsidRDefault="00D16BDE" w:rsidP="00CB0B01">
            <w:pPr>
              <w:pStyle w:val="covertext"/>
              <w:rPr>
                <w:sz w:val="22"/>
              </w:rPr>
            </w:pPr>
            <w:r>
              <w:rPr>
                <w:sz w:val="22"/>
              </w:rPr>
              <w:t>Material for discussion.</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6FD348A6" w14:textId="77777777" w:rsidR="00E50811" w:rsidRDefault="00E50811" w:rsidP="00E50811">
      <w:pPr>
        <w:jc w:val="center"/>
        <w:rPr>
          <w:b/>
          <w:bCs/>
          <w:color w:val="auto"/>
          <w:sz w:val="28"/>
          <w:szCs w:val="28"/>
        </w:rPr>
      </w:pPr>
    </w:p>
    <w:p w14:paraId="26B1FE79" w14:textId="161D4CC6" w:rsidR="00E50811" w:rsidRDefault="00E50811" w:rsidP="00E50811">
      <w:pPr>
        <w:jc w:val="center"/>
        <w:rPr>
          <w:b/>
          <w:bCs/>
          <w:color w:val="auto"/>
          <w:sz w:val="28"/>
          <w:szCs w:val="28"/>
        </w:rPr>
      </w:pPr>
      <w:r w:rsidRPr="00E50811">
        <w:rPr>
          <w:b/>
          <w:bCs/>
          <w:color w:val="auto"/>
          <w:sz w:val="28"/>
          <w:szCs w:val="28"/>
        </w:rPr>
        <w:t>Agenda:  Status of harmonization between 4ab and 6ma</w:t>
      </w:r>
    </w:p>
    <w:p w14:paraId="7D16F8EE" w14:textId="77777777" w:rsidR="00E50811" w:rsidRPr="00E50811" w:rsidRDefault="00E50811" w:rsidP="00E50811">
      <w:pPr>
        <w:jc w:val="center"/>
        <w:rPr>
          <w:b/>
          <w:bCs/>
          <w:color w:val="auto"/>
          <w:sz w:val="28"/>
          <w:szCs w:val="28"/>
        </w:rPr>
      </w:pPr>
    </w:p>
    <w:p w14:paraId="191F5978" w14:textId="6CE63EAC" w:rsidR="00E50811" w:rsidRDefault="00E50811" w:rsidP="008A7A37">
      <w:pPr>
        <w:jc w:val="both"/>
        <w:rPr>
          <w:color w:val="auto"/>
          <w:sz w:val="22"/>
          <w:szCs w:val="22"/>
        </w:rPr>
      </w:pPr>
    </w:p>
    <w:p w14:paraId="57FF3ED3" w14:textId="4144819A" w:rsidR="00E50811" w:rsidRPr="00E50811" w:rsidRDefault="00E50811" w:rsidP="00E50811">
      <w:pPr>
        <w:pStyle w:val="ListParagraph"/>
        <w:numPr>
          <w:ilvl w:val="0"/>
          <w:numId w:val="30"/>
        </w:numPr>
        <w:jc w:val="both"/>
        <w:rPr>
          <w:color w:val="auto"/>
          <w:sz w:val="24"/>
        </w:rPr>
      </w:pPr>
      <w:r w:rsidRPr="00E50811">
        <w:rPr>
          <w:color w:val="auto"/>
          <w:sz w:val="24"/>
        </w:rPr>
        <w:t>Description of 6ma harmonization proposal with 4ab.</w:t>
      </w:r>
    </w:p>
    <w:p w14:paraId="5DA6002F" w14:textId="4461F626" w:rsidR="00E50811" w:rsidRPr="00E50811" w:rsidRDefault="00E50811" w:rsidP="008A7A37">
      <w:pPr>
        <w:jc w:val="both"/>
        <w:rPr>
          <w:color w:val="auto"/>
          <w:sz w:val="24"/>
          <w:szCs w:val="24"/>
        </w:rPr>
      </w:pPr>
    </w:p>
    <w:p w14:paraId="7D2CD8EE" w14:textId="275B29ED" w:rsidR="00E50811" w:rsidRPr="00E50811" w:rsidRDefault="00E50811" w:rsidP="00E50811">
      <w:pPr>
        <w:pStyle w:val="ListParagraph"/>
        <w:numPr>
          <w:ilvl w:val="0"/>
          <w:numId w:val="30"/>
        </w:numPr>
        <w:jc w:val="both"/>
        <w:rPr>
          <w:color w:val="auto"/>
          <w:sz w:val="24"/>
        </w:rPr>
      </w:pPr>
      <w:r w:rsidRPr="00E50811">
        <w:rPr>
          <w:color w:val="auto"/>
          <w:sz w:val="24"/>
        </w:rPr>
        <w:t xml:space="preserve">Description of 6ma qualitative concept of coexistence in function is QoS and coexistence scenario.  </w:t>
      </w:r>
      <w:r w:rsidRPr="00E50811">
        <w:rPr>
          <w:color w:val="auto"/>
          <w:sz w:val="24"/>
        </w:rPr>
        <w:br/>
      </w:r>
    </w:p>
    <w:p w14:paraId="6F642F74" w14:textId="7094FE0F" w:rsidR="00E50811" w:rsidRPr="00E50811" w:rsidRDefault="00E50811" w:rsidP="00E50811">
      <w:pPr>
        <w:pStyle w:val="ListParagraph"/>
        <w:numPr>
          <w:ilvl w:val="0"/>
          <w:numId w:val="30"/>
        </w:numPr>
        <w:jc w:val="both"/>
        <w:rPr>
          <w:color w:val="auto"/>
          <w:sz w:val="24"/>
        </w:rPr>
      </w:pPr>
      <w:r w:rsidRPr="00E50811">
        <w:rPr>
          <w:color w:val="auto"/>
          <w:sz w:val="24"/>
        </w:rPr>
        <w:t xml:space="preserve">Discussion and proposals. </w:t>
      </w:r>
    </w:p>
    <w:p w14:paraId="0C6A025A" w14:textId="77777777" w:rsidR="00E50811" w:rsidRDefault="00E50811" w:rsidP="008A7A37">
      <w:pPr>
        <w:jc w:val="both"/>
        <w:rPr>
          <w:color w:val="auto"/>
          <w:sz w:val="22"/>
          <w:szCs w:val="22"/>
        </w:rPr>
      </w:pPr>
    </w:p>
    <w:p w14:paraId="0DBEDDF6" w14:textId="452092D7" w:rsidR="000D52E3" w:rsidRDefault="000D52E3" w:rsidP="008A7A37">
      <w:pPr>
        <w:jc w:val="both"/>
        <w:rPr>
          <w:color w:val="auto"/>
          <w:sz w:val="22"/>
          <w:szCs w:val="22"/>
        </w:rPr>
      </w:pPr>
    </w:p>
    <w:p w14:paraId="0DAE1AD3" w14:textId="14939306" w:rsidR="00CA4DFA" w:rsidRDefault="00CA4DFA" w:rsidP="008A7A37">
      <w:pPr>
        <w:jc w:val="both"/>
        <w:rPr>
          <w:color w:val="auto"/>
          <w:sz w:val="22"/>
          <w:szCs w:val="22"/>
        </w:rPr>
      </w:pPr>
      <w:r>
        <w:rPr>
          <w:color w:val="auto"/>
          <w:sz w:val="22"/>
          <w:szCs w:val="22"/>
        </w:rPr>
        <w:t>Meeting notes:</w:t>
      </w:r>
    </w:p>
    <w:p w14:paraId="7C7BFDE1" w14:textId="3BC7A37D" w:rsidR="00CA4DFA" w:rsidRDefault="00CA4DFA" w:rsidP="008A7A37">
      <w:pPr>
        <w:jc w:val="both"/>
        <w:rPr>
          <w:color w:val="auto"/>
          <w:sz w:val="22"/>
          <w:szCs w:val="22"/>
        </w:rPr>
      </w:pPr>
    </w:p>
    <w:p w14:paraId="74D7CAE6" w14:textId="77777777" w:rsidR="00CA4DFA" w:rsidRDefault="00CA4DFA" w:rsidP="008A7A37">
      <w:pPr>
        <w:jc w:val="both"/>
        <w:rPr>
          <w:color w:val="auto"/>
          <w:sz w:val="22"/>
          <w:szCs w:val="22"/>
        </w:rPr>
      </w:pPr>
    </w:p>
    <w:p w14:paraId="1A5A5763" w14:textId="1796FAB9" w:rsidR="00BB41EB" w:rsidRDefault="00E50811" w:rsidP="001707CC">
      <w:pPr>
        <w:jc w:val="both"/>
        <w:rPr>
          <w:color w:val="auto"/>
          <w:sz w:val="22"/>
          <w:szCs w:val="22"/>
        </w:rPr>
      </w:pPr>
      <w:r>
        <w:rPr>
          <w:b/>
          <w:bCs/>
          <w:color w:val="auto"/>
          <w:sz w:val="28"/>
          <w:szCs w:val="28"/>
        </w:rPr>
        <w:t xml:space="preserve"> </w:t>
      </w: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07EE" w14:textId="77777777" w:rsidR="00C61136" w:rsidRDefault="00C61136">
      <w:r>
        <w:separator/>
      </w:r>
    </w:p>
  </w:endnote>
  <w:endnote w:type="continuationSeparator" w:id="0">
    <w:p w14:paraId="1486C96B" w14:textId="77777777" w:rsidR="00C61136" w:rsidRDefault="00C6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FACF" w14:textId="77777777" w:rsidR="00C61136" w:rsidRDefault="00C61136">
      <w:r>
        <w:separator/>
      </w:r>
    </w:p>
  </w:footnote>
  <w:footnote w:type="continuationSeparator" w:id="0">
    <w:p w14:paraId="043A559B" w14:textId="77777777" w:rsidR="00C61136" w:rsidRDefault="00C6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5202914A" w:rsidR="00DC5E72" w:rsidRDefault="006B04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434E5D">
      <w:rPr>
        <w:b/>
        <w:sz w:val="28"/>
      </w:rPr>
      <w:t>115</w:t>
    </w:r>
    <w:r w:rsidR="00DA688F">
      <w:rPr>
        <w:b/>
        <w:sz w:val="28"/>
      </w:rPr>
      <w:t>-0</w:t>
    </w:r>
    <w:r w:rsidR="00204A98">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CE1"/>
    <w:multiLevelType w:val="hybridMultilevel"/>
    <w:tmpl w:val="6D9A3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5"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6"/>
  </w:num>
  <w:num w:numId="2" w16cid:durableId="365981786">
    <w:abstractNumId w:val="3"/>
  </w:num>
  <w:num w:numId="3" w16cid:durableId="206184536">
    <w:abstractNumId w:val="14"/>
  </w:num>
  <w:num w:numId="4" w16cid:durableId="1206333878">
    <w:abstractNumId w:val="25"/>
  </w:num>
  <w:num w:numId="5" w16cid:durableId="400366627">
    <w:abstractNumId w:val="12"/>
  </w:num>
  <w:num w:numId="6" w16cid:durableId="670763544">
    <w:abstractNumId w:val="24"/>
  </w:num>
  <w:num w:numId="7" w16cid:durableId="366762465">
    <w:abstractNumId w:val="7"/>
  </w:num>
  <w:num w:numId="8" w16cid:durableId="1073091756">
    <w:abstractNumId w:val="11"/>
  </w:num>
  <w:num w:numId="9" w16cid:durableId="493490337">
    <w:abstractNumId w:val="27"/>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8"/>
  </w:num>
  <w:num w:numId="19" w16cid:durableId="1695836869">
    <w:abstractNumId w:val="9"/>
  </w:num>
  <w:num w:numId="20" w16cid:durableId="668756562">
    <w:abstractNumId w:val="23"/>
  </w:num>
  <w:num w:numId="21" w16cid:durableId="1462185049">
    <w:abstractNumId w:val="22"/>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 w:numId="30" w16cid:durableId="1498959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02D17"/>
    <w:rsid w:val="00011CA1"/>
    <w:rsid w:val="00017A99"/>
    <w:rsid w:val="000201BA"/>
    <w:rsid w:val="000460FC"/>
    <w:rsid w:val="000529DE"/>
    <w:rsid w:val="0005468E"/>
    <w:rsid w:val="00057A89"/>
    <w:rsid w:val="00071B7E"/>
    <w:rsid w:val="000724A0"/>
    <w:rsid w:val="00073CDC"/>
    <w:rsid w:val="000769C7"/>
    <w:rsid w:val="0009584B"/>
    <w:rsid w:val="000B287F"/>
    <w:rsid w:val="000C30ED"/>
    <w:rsid w:val="000D1CA3"/>
    <w:rsid w:val="000D52E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707CC"/>
    <w:rsid w:val="001854FA"/>
    <w:rsid w:val="0019192C"/>
    <w:rsid w:val="00194ED9"/>
    <w:rsid w:val="001B7BBC"/>
    <w:rsid w:val="001C31FE"/>
    <w:rsid w:val="001D06F8"/>
    <w:rsid w:val="001D070F"/>
    <w:rsid w:val="001D1331"/>
    <w:rsid w:val="001D2099"/>
    <w:rsid w:val="001F71A0"/>
    <w:rsid w:val="00204A98"/>
    <w:rsid w:val="00205FD0"/>
    <w:rsid w:val="00210B54"/>
    <w:rsid w:val="002124F2"/>
    <w:rsid w:val="0021678E"/>
    <w:rsid w:val="00225568"/>
    <w:rsid w:val="002310D7"/>
    <w:rsid w:val="002338E2"/>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4E5D"/>
    <w:rsid w:val="00436300"/>
    <w:rsid w:val="00436804"/>
    <w:rsid w:val="004374AD"/>
    <w:rsid w:val="004459CA"/>
    <w:rsid w:val="00446538"/>
    <w:rsid w:val="00456857"/>
    <w:rsid w:val="00457E15"/>
    <w:rsid w:val="00466A06"/>
    <w:rsid w:val="00467C10"/>
    <w:rsid w:val="004905A8"/>
    <w:rsid w:val="004A0E20"/>
    <w:rsid w:val="004A3068"/>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35FF"/>
    <w:rsid w:val="005F4A4A"/>
    <w:rsid w:val="00600B05"/>
    <w:rsid w:val="0060669E"/>
    <w:rsid w:val="006178F1"/>
    <w:rsid w:val="006238BB"/>
    <w:rsid w:val="00625C46"/>
    <w:rsid w:val="0068106B"/>
    <w:rsid w:val="00685775"/>
    <w:rsid w:val="006874D1"/>
    <w:rsid w:val="00690564"/>
    <w:rsid w:val="00695EC3"/>
    <w:rsid w:val="00697BB8"/>
    <w:rsid w:val="006B04A5"/>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4662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E61"/>
    <w:rsid w:val="008A7A37"/>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E137A"/>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61136"/>
    <w:rsid w:val="00C7098A"/>
    <w:rsid w:val="00C72A9F"/>
    <w:rsid w:val="00C76661"/>
    <w:rsid w:val="00C77F90"/>
    <w:rsid w:val="00C84295"/>
    <w:rsid w:val="00C87DE2"/>
    <w:rsid w:val="00C9488F"/>
    <w:rsid w:val="00C949A0"/>
    <w:rsid w:val="00CA4DFA"/>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6BDE"/>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50811"/>
    <w:rsid w:val="00E644CF"/>
    <w:rsid w:val="00E64937"/>
    <w:rsid w:val="00E8002B"/>
    <w:rsid w:val="00E80AD3"/>
    <w:rsid w:val="00E87696"/>
    <w:rsid w:val="00EA0E3E"/>
    <w:rsid w:val="00EA551D"/>
    <w:rsid w:val="00EB40BF"/>
    <w:rsid w:val="00EB4AE6"/>
    <w:rsid w:val="00EB4EEF"/>
    <w:rsid w:val="00EC6150"/>
    <w:rsid w:val="00EC6D79"/>
    <w:rsid w:val="00ED1964"/>
    <w:rsid w:val="00ED6489"/>
    <w:rsid w:val="00EE7CC8"/>
    <w:rsid w:val="00F273FB"/>
    <w:rsid w:val="00F319C7"/>
    <w:rsid w:val="00F33A47"/>
    <w:rsid w:val="00F51E19"/>
    <w:rsid w:val="00F55D0D"/>
    <w:rsid w:val="00F566B2"/>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183</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2023-03-07T10:21:00Z</dcterms:created>
  <dcterms:modified xsi:type="dcterms:W3CDTF">2023-03-07T10:21:00Z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