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shd w:fill="auto" w:val="clear"/>
          </w:tcPr>
          <w:p>
            <w:pPr>
              <w:pStyle w:val="Covertext"/>
              <w:widowControl w:val="false"/>
              <w:spacing w:before="120" w:after="120"/>
              <w:rPr/>
            </w:pPr>
            <w:r>
              <w:rPr/>
              <w:t>Project</w:t>
            </w:r>
          </w:p>
        </w:tc>
        <w:tc>
          <w:tcPr>
            <w:tcW w:w="8196" w:type="dxa"/>
            <w:gridSpan w:val="2"/>
            <w:tcBorders>
              <w:top w:val="single" w:sz="6" w:space="0" w:color="000000"/>
            </w:tcBorders>
            <w:shd w:fill="auto" w:val="clear"/>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shd w:fill="auto" w:val="clear"/>
          </w:tcPr>
          <w:p>
            <w:pPr>
              <w:pStyle w:val="Covertext"/>
              <w:widowControl w:val="false"/>
              <w:spacing w:before="120" w:after="120"/>
              <w:rPr/>
            </w:pPr>
            <w:r>
              <w:rPr/>
              <w:t>Title</w:t>
            </w:r>
          </w:p>
        </w:tc>
        <w:tc>
          <w:tcPr>
            <w:tcW w:w="8196" w:type="dxa"/>
            <w:gridSpan w:val="2"/>
            <w:tcBorders>
              <w:top w:val="single" w:sz="6" w:space="0" w:color="000000"/>
            </w:tcBorders>
            <w:shd w:fill="auto" w:val="clear"/>
          </w:tcPr>
          <w:p>
            <w:pPr>
              <w:pStyle w:val="Covertext"/>
              <w:widowControl w:val="false"/>
              <w:spacing w:before="120" w:after="120"/>
              <w:rPr/>
            </w:pPr>
            <w:r>
              <w:rPr>
                <w:rFonts w:eastAsia="Times New Roman" w:cs="Times New Roman"/>
                <w:color w:val="auto"/>
                <w:kern w:val="0"/>
                <w:sz w:val="24"/>
                <w:szCs w:val="20"/>
                <w:lang w:val="en-US" w:eastAsia="zh-CN" w:bidi="hi-IN"/>
              </w:rPr>
              <w:t>Changes done between DF01 and DF02</w:t>
            </w:r>
          </w:p>
        </w:tc>
      </w:tr>
      <w:tr>
        <w:trPr/>
        <w:tc>
          <w:tcPr>
            <w:tcW w:w="1254" w:type="dxa"/>
            <w:tcBorders>
              <w:top w:val="single" w:sz="6" w:space="0" w:color="000000"/>
            </w:tcBorders>
            <w:shd w:fill="auto" w:val="clear"/>
          </w:tcPr>
          <w:p>
            <w:pPr>
              <w:pStyle w:val="Covertext"/>
              <w:widowControl w:val="false"/>
              <w:spacing w:before="120" w:after="120"/>
              <w:rPr/>
            </w:pPr>
            <w:r>
              <w:rPr/>
              <w:t>Date Submitted</w:t>
            </w:r>
          </w:p>
        </w:tc>
        <w:tc>
          <w:tcPr>
            <w:tcW w:w="8196" w:type="dxa"/>
            <w:gridSpan w:val="2"/>
            <w:tcBorders>
              <w:top w:val="single" w:sz="6" w:space="0" w:color="000000"/>
            </w:tcBorders>
            <w:shd w:fill="auto" w:val="clear"/>
          </w:tcPr>
          <w:p>
            <w:pPr>
              <w:pStyle w:val="Covertext"/>
              <w:widowControl w:val="false"/>
              <w:spacing w:before="120" w:after="120"/>
              <w:rPr/>
            </w:pPr>
            <w:r>
              <w:rPr/>
              <w:t>05</w:t>
            </w:r>
            <w:r>
              <w:rPr>
                <w:vertAlign w:val="superscript"/>
              </w:rPr>
              <w:t>th</w:t>
            </w:r>
            <w:r>
              <w:rPr/>
              <w:t xml:space="preserve"> March</w:t>
            </w:r>
            <w:r>
              <w:rPr>
                <w:rFonts w:eastAsia="Times New Roman" w:cs="Times New Roman"/>
                <w:color w:val="auto"/>
                <w:kern w:val="0"/>
                <w:sz w:val="24"/>
                <w:szCs w:val="20"/>
                <w:lang w:val="en-US" w:eastAsia="zh-CN" w:bidi="hi-IN"/>
              </w:rPr>
              <w:t xml:space="preserve"> </w:t>
            </w:r>
            <w:r>
              <w:rPr/>
              <w:t>2023</w:t>
            </w:r>
          </w:p>
        </w:tc>
      </w:tr>
      <w:tr>
        <w:trPr/>
        <w:tc>
          <w:tcPr>
            <w:tcW w:w="1254" w:type="dxa"/>
            <w:tcBorders>
              <w:top w:val="single" w:sz="4" w:space="0" w:color="000000"/>
              <w:bottom w:val="single" w:sz="4" w:space="0" w:color="000000"/>
            </w:tcBorders>
            <w:shd w:fill="auto" w:val="clear"/>
          </w:tcPr>
          <w:p>
            <w:pPr>
              <w:pStyle w:val="Covertext"/>
              <w:widowControl w:val="false"/>
              <w:spacing w:before="120" w:after="120"/>
              <w:rPr/>
            </w:pPr>
            <w:r>
              <w:rPr/>
              <w:t>Source</w:t>
            </w:r>
          </w:p>
        </w:tc>
        <w:tc>
          <w:tcPr>
            <w:tcW w:w="4055" w:type="dxa"/>
            <w:tcBorders>
              <w:top w:val="single" w:sz="4" w:space="0" w:color="000000"/>
              <w:bottom w:val="single" w:sz="4" w:space="0" w:color="000000"/>
            </w:tcBorders>
            <w:shd w:fill="auto" w:val="clear"/>
          </w:tcPr>
          <w:p>
            <w:pPr>
              <w:pStyle w:val="Covertext"/>
              <w:widowControl w:val="false"/>
              <w:spacing w:before="120" w:after="120"/>
              <w:rPr/>
            </w:pPr>
            <w:r>
              <w:rPr/>
              <w:t>Tero Kivinen</w:t>
            </w:r>
          </w:p>
        </w:tc>
        <w:tc>
          <w:tcPr>
            <w:tcW w:w="4141" w:type="dxa"/>
            <w:tcBorders>
              <w:top w:val="single" w:sz="4" w:space="0" w:color="000000"/>
              <w:bottom w:val="single" w:sz="4" w:space="0" w:color="000000"/>
            </w:tcBorders>
            <w:shd w:fill="auto" w:val="clear"/>
          </w:tcPr>
          <w:p>
            <w:pPr>
              <w:pStyle w:val="Covertext"/>
              <w:widowControl w:val="false"/>
              <w:spacing w:before="120" w:after="120"/>
              <w:rPr/>
            </w:pPr>
            <w:r>
              <w:rPr/>
              <w:t>E-mail:</w:t>
              <w:tab/>
              <w:t>kivinen@iki.fi</w:t>
            </w:r>
          </w:p>
        </w:tc>
      </w:tr>
      <w:tr>
        <w:trPr/>
        <w:tc>
          <w:tcPr>
            <w:tcW w:w="1254" w:type="dxa"/>
            <w:tcBorders>
              <w:top w:val="single" w:sz="6" w:space="0" w:color="000000"/>
            </w:tcBorders>
            <w:shd w:fill="auto" w:val="clear"/>
          </w:tcPr>
          <w:p>
            <w:pPr>
              <w:pStyle w:val="Covertext"/>
              <w:widowControl w:val="false"/>
              <w:spacing w:before="120" w:after="120"/>
              <w:rPr/>
            </w:pPr>
            <w:r>
              <w:rPr/>
              <w:t>Re:</w:t>
            </w:r>
          </w:p>
        </w:tc>
        <w:tc>
          <w:tcPr>
            <w:tcW w:w="8196" w:type="dxa"/>
            <w:gridSpan w:val="2"/>
            <w:tcBorders>
              <w:top w:val="single" w:sz="6" w:space="0" w:color="000000"/>
            </w:tcBorders>
            <w:shd w:fill="auto" w:val="clear"/>
          </w:tcPr>
          <w:p>
            <w:pPr>
              <w:pStyle w:val="Covertext"/>
              <w:widowControl w:val="false"/>
              <w:spacing w:before="120" w:after="120"/>
              <w:rPr/>
            </w:pPr>
            <w:r>
              <w:rPr>
                <w:rFonts w:eastAsia="Times New Roman" w:cs="Times New Roman"/>
                <w:color w:val="auto"/>
                <w:kern w:val="0"/>
                <w:sz w:val="24"/>
                <w:szCs w:val="20"/>
                <w:lang w:val="en-US" w:eastAsia="zh-CN" w:bidi="hi-IN"/>
              </w:rPr>
              <w:t>March TG4me meeting</w:t>
            </w:r>
          </w:p>
        </w:tc>
      </w:tr>
      <w:tr>
        <w:trPr/>
        <w:tc>
          <w:tcPr>
            <w:tcW w:w="1254" w:type="dxa"/>
            <w:tcBorders>
              <w:top w:val="single" w:sz="6" w:space="0" w:color="000000"/>
            </w:tcBorders>
            <w:shd w:fill="auto" w:val="clear"/>
          </w:tcPr>
          <w:p>
            <w:pPr>
              <w:pStyle w:val="Covertext"/>
              <w:widowControl w:val="false"/>
              <w:spacing w:before="120" w:after="120"/>
              <w:rPr/>
            </w:pPr>
            <w:r>
              <w:rPr/>
              <w:t>Abstract</w:t>
            </w:r>
          </w:p>
        </w:tc>
        <w:tc>
          <w:tcPr>
            <w:tcW w:w="8196" w:type="dxa"/>
            <w:gridSpan w:val="2"/>
            <w:tcBorders>
              <w:top w:val="single" w:sz="6" w:space="0" w:color="000000"/>
            </w:tcBorders>
            <w:shd w:fill="auto" w:val="clear"/>
          </w:tcPr>
          <w:p>
            <w:pPr>
              <w:pStyle w:val="Covertext"/>
              <w:widowControl w:val="false"/>
              <w:spacing w:before="120" w:after="120"/>
              <w:rPr/>
            </w:pPr>
            <w:r>
              <w:rPr>
                <w:rFonts w:eastAsia="Times New Roman" w:cs="Times New Roman"/>
                <w:color w:val="auto"/>
                <w:kern w:val="0"/>
                <w:sz w:val="24"/>
                <w:szCs w:val="20"/>
                <w:lang w:val="en-US" w:eastAsia="zh-CN" w:bidi="hi-IN"/>
              </w:rPr>
              <w:t>Provide list of changes in TG4me draft.</w:t>
            </w:r>
          </w:p>
        </w:tc>
      </w:tr>
      <w:tr>
        <w:trPr/>
        <w:tc>
          <w:tcPr>
            <w:tcW w:w="1254" w:type="dxa"/>
            <w:tcBorders>
              <w:top w:val="single" w:sz="6" w:space="0" w:color="000000"/>
            </w:tcBorders>
            <w:shd w:fill="auto" w:val="clear"/>
          </w:tcPr>
          <w:p>
            <w:pPr>
              <w:pStyle w:val="Covertext"/>
              <w:widowControl w:val="false"/>
              <w:spacing w:before="120" w:after="120"/>
              <w:rPr/>
            </w:pPr>
            <w:r>
              <w:rPr/>
              <w:t>Purpose</w:t>
            </w:r>
          </w:p>
        </w:tc>
        <w:tc>
          <w:tcPr>
            <w:tcW w:w="8196" w:type="dxa"/>
            <w:gridSpan w:val="2"/>
            <w:tcBorders>
              <w:top w:val="single" w:sz="6" w:space="0" w:color="000000"/>
            </w:tcBorders>
            <w:shd w:fill="auto" w:val="clear"/>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TG4me discussion</w:t>
            </w:r>
          </w:p>
        </w:tc>
      </w:tr>
      <w:tr>
        <w:trPr/>
        <w:tc>
          <w:tcPr>
            <w:tcW w:w="1254" w:type="dxa"/>
            <w:tcBorders>
              <w:top w:val="single" w:sz="6" w:space="0" w:color="000000"/>
              <w:bottom w:val="single" w:sz="6" w:space="0" w:color="000000"/>
            </w:tcBorders>
            <w:shd w:fill="auto" w:val="clear"/>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shd w:fill="auto" w:val="clear"/>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shd w:fill="auto" w:val="clear"/>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shd w:fill="auto" w:val="clear"/>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pPr>
      <w:r>
        <w:rPr/>
      </w:r>
      <w:r>
        <w:br w:type="page"/>
      </w:r>
    </w:p>
    <w:p>
      <w:pPr>
        <w:pStyle w:val="IEEEHeading1"/>
        <w:numPr>
          <w:ilvl w:val="0"/>
          <w:numId w:val="1"/>
        </w:numPr>
        <w:rPr/>
      </w:pPr>
      <w:r>
        <w:rPr/>
        <w:t>Issues fixed before</w:t>
      </w:r>
    </w:p>
    <w:p>
      <w:pPr>
        <w:pStyle w:val="TextBody"/>
        <w:rPr/>
      </w:pPr>
      <w:r>
        <w:rPr/>
        <w:t>Clause 3z:</w:t>
      </w:r>
    </w:p>
    <w:p>
      <w:pPr>
        <w:pStyle w:val="TextBody"/>
        <w:ind w:left="408" w:hanging="0"/>
        <w:rPr/>
      </w:pPr>
      <w:r>
        <w:rPr/>
        <w:t>Changed acronym</w:t>
        <w:br/>
        <w:t>RCM</w:t>
        <w:tab/>
        <w:t>ranging control messsage</w:t>
        <w:br/>
        <w:t>vs</w:t>
        <w:tab/>
        <w:t>ranging control method</w:t>
      </w:r>
    </w:p>
    <w:p>
      <w:pPr>
        <w:pStyle w:val="TextBody"/>
        <w:rPr/>
      </w:pPr>
      <w:r>
        <w:rPr/>
        <w:t xml:space="preserve">Clause 5z: </w:t>
      </w:r>
    </w:p>
    <w:p>
      <w:pPr>
        <w:pStyle w:val="TextBody"/>
        <w:ind w:left="408" w:hanging="0"/>
        <w:rPr/>
      </w:pPr>
      <w:r>
        <w:rPr/>
        <w:t>Section 5.7.3, there is missing PPSU in 3rd paragraph.</w:t>
      </w:r>
    </w:p>
    <w:p>
      <w:pPr>
        <w:pStyle w:val="TextBody"/>
        <w:rPr/>
      </w:pPr>
      <w:r>
        <w:rPr/>
        <w:t xml:space="preserve">Clause 6z: </w:t>
      </w:r>
    </w:p>
    <w:p>
      <w:pPr>
        <w:pStyle w:val="TextBody"/>
        <w:ind w:left="408" w:hanging="0"/>
        <w:rPr/>
      </w:pPr>
      <w:r>
        <w:rPr/>
        <w:t>Saved with newer framemaker... Images missing</w:t>
        <w:br/>
        <w:t xml:space="preserve">Editing of the 6.9.5 were wrong. Last paragraph was added, but not underlined, 2nd last paragraph </w:t>
      </w:r>
    </w:p>
    <w:p>
      <w:pPr>
        <w:pStyle w:val="TextBody"/>
        <w:rPr/>
      </w:pPr>
      <w:r>
        <w:rPr/>
        <w:t xml:space="preserve">Clause 8z: </w:t>
      </w:r>
    </w:p>
    <w:p>
      <w:pPr>
        <w:pStyle w:val="TextBody"/>
        <w:ind w:left="408" w:hanging="0"/>
        <w:rPr/>
      </w:pPr>
      <w:r>
        <w:rPr/>
        <w:t>Table 8-28 MLME-RX-ENABLE Status has type changed from Enumeration to Enumerations, but I have no idea why. Ignored that change, but on the other hand StatusDetail has type of List of Enumeration, which I changed to List of Enumerations.</w:t>
      </w:r>
    </w:p>
    <w:p>
      <w:pPr>
        <w:pStyle w:val="TextBody"/>
        <w:ind w:left="408" w:hanging="0"/>
        <w:rPr/>
      </w:pPr>
      <w:r>
        <w:rPr/>
        <w:t>In 8.2.15.2 Table 8-38 will have extra empty line at the end when track changes are done.</w:t>
      </w:r>
    </w:p>
    <w:p>
      <w:pPr>
        <w:pStyle w:val="TextBody"/>
        <w:ind w:left="408" w:hanging="0"/>
        <w:rPr/>
      </w:pPr>
      <w:r>
        <w:rPr/>
        <w:t>Section 8.2.18.4 MLME-BEACON.indication was added as 8.2.18.3 instead of 8.2.18.4. Also added it to the Table 8-1, which was not done in 4z.</w:t>
        <w:br/>
        <w:br/>
        <w:t>Editing instructions for Table 8-71 was wrong for Timestamp description. Edited to match the end result. Same for Table 8-73, 8-89, 8-90. Some text missing underline...</w:t>
        <w:br/>
        <w:br/>
        <w:t>Table 8-92 will have some empty lines for removed rows, after track changes are done.</w:t>
        <w:br/>
        <w:br/>
        <w:t>Section 8.3.8.3 MCPS-RANGING-PROVING.indication has links to 7.5.27 and 7.5.28 but they are wrong, replaced with 7.5.31, and 7.5.32.</w:t>
        <w:br/>
        <w:t>6.9.8.1 has same wrong links.</w:t>
      </w:r>
    </w:p>
    <w:p>
      <w:pPr>
        <w:pStyle w:val="TextBody"/>
        <w:ind w:hanging="0"/>
        <w:rPr/>
      </w:pPr>
      <w:r>
        <w:rPr/>
        <w:t>Clause 23w</w:t>
      </w:r>
    </w:p>
    <w:p>
      <w:pPr>
        <w:pStyle w:val="TextBody"/>
        <w:ind w:left="408" w:hanging="0"/>
        <w:rPr/>
      </w:pPr>
      <w:r>
        <w:rPr/>
        <w:t>In 23.5.2 formula there is Cmin, Cmin + 1, ..., Cmax is the +1 to C(min+1) or (Cmin) + 1</w:t>
      </w:r>
    </w:p>
    <w:p>
      <w:pPr>
        <w:pStyle w:val="TextBody"/>
        <w:ind w:left="0" w:hanging="0"/>
        <w:rPr/>
      </w:pPr>
      <w:r>
        <w:rPr/>
        <w:t>Clause 9y</w:t>
      </w:r>
    </w:p>
    <w:p>
      <w:pPr>
        <w:pStyle w:val="TextBody"/>
        <w:ind w:left="408" w:hanging="0"/>
        <w:rPr/>
      </w:pPr>
      <w:r>
        <w:rPr/>
        <w:t>The Table 9-8a the first column is in italics, removed italics.</w:t>
      </w:r>
    </w:p>
    <w:p>
      <w:pPr>
        <w:pStyle w:val="TextBody"/>
        <w:ind w:left="0" w:hanging="0"/>
        <w:rPr/>
      </w:pPr>
      <w:r>
        <w:rPr/>
        <w:t>Annex Ay</w:t>
      </w:r>
    </w:p>
    <w:p>
      <w:pPr>
        <w:pStyle w:val="TextBody"/>
        <w:ind w:left="408" w:hanging="0"/>
        <w:rPr/>
      </w:pPr>
      <w:r>
        <w:rPr/>
        <w:t>B25 -&gt; B10, added footnote</w:t>
        <w:br/>
        <w:t>B26 -&gt; B18, added footnote</w:t>
        <w:br/>
        <w:t>B27 -&gt; B24, added footnote</w:t>
      </w:r>
    </w:p>
    <w:p>
      <w:pPr>
        <w:pStyle w:val="TextBody"/>
        <w:ind w:left="0" w:hanging="0"/>
        <w:rPr/>
      </w:pPr>
      <w:r>
        <w:rPr/>
        <w:t>Annex By</w:t>
      </w:r>
    </w:p>
    <w:p>
      <w:pPr>
        <w:pStyle w:val="TextBody"/>
        <w:ind w:left="408" w:hanging="0"/>
        <w:rPr/>
      </w:pPr>
      <w:r>
        <w:rPr/>
        <w:t>The framemaker Annex B did not have Inputs: as heading, but had Inputs: text, same for Actions. Is this the latest version of Annex B.</w:t>
      </w:r>
    </w:p>
    <w:p>
      <w:pPr>
        <w:pStyle w:val="TextBody"/>
        <w:ind w:left="0" w:hanging="0"/>
        <w:rPr/>
      </w:pPr>
      <w:r>
        <w:rPr/>
        <w:t>Clause 19aa</w:t>
      </w:r>
    </w:p>
    <w:p>
      <w:pPr>
        <w:pStyle w:val="TextBody"/>
        <w:ind w:left="408" w:hanging="0"/>
        <w:rPr/>
      </w:pPr>
      <w:r>
        <w:rPr/>
        <w:t>Is the Operaring mode #11 channel spacing really 100kHz, not 1000 kHz?</w:t>
      </w:r>
    </w:p>
    <w:p>
      <w:pPr>
        <w:pStyle w:val="TextBody"/>
        <w:ind w:left="0" w:hanging="0"/>
        <w:rPr/>
      </w:pPr>
      <w:r>
        <w:rPr/>
        <w:t>Annex aa</w:t>
      </w:r>
    </w:p>
    <w:p>
      <w:pPr>
        <w:pStyle w:val="TextBody"/>
        <w:ind w:left="408" w:hanging="0"/>
        <w:rPr/>
      </w:pPr>
      <w:r>
        <w:rPr/>
        <w:t>There was no header in it, added "Channel Assignment". Added ARIB Bib reference.</w:t>
      </w:r>
    </w:p>
    <w:p>
      <w:pPr>
        <w:pStyle w:val="IEEEHeading1"/>
        <w:numPr>
          <w:ilvl w:val="0"/>
          <w:numId w:val="1"/>
        </w:numPr>
        <w:rPr/>
      </w:pPr>
      <w:r>
        <w:rPr/>
        <w:t>Issues fixed in DF01 to DF02</w:t>
      </w:r>
    </w:p>
    <w:p>
      <w:pPr>
        <w:pStyle w:val="IEEEheading"/>
        <w:numPr>
          <w:ilvl w:val="1"/>
          <w:numId w:val="1"/>
        </w:numPr>
        <w:rPr/>
      </w:pPr>
      <w:r>
        <w:rPr/>
        <w:t>Issues in PHY PIB attributes</w:t>
      </w:r>
    </w:p>
    <w:p>
      <w:pPr>
        <w:pStyle w:val="TextBody"/>
        <w:rPr/>
      </w:pPr>
      <w:r>
        <w:rPr/>
        <w:t>These are covered in the 15-23-0043-02 document. That file already lists what changes have been done.</w:t>
      </w:r>
    </w:p>
    <w:p>
      <w:pPr>
        <w:pStyle w:val="IEEEheading"/>
        <w:numPr>
          <w:ilvl w:val="1"/>
          <w:numId w:val="1"/>
        </w:numPr>
        <w:rPr/>
      </w:pPr>
      <w:r>
        <w:rPr/>
        <w:t>STS key → STS seed</w:t>
      </w:r>
    </w:p>
    <w:p>
      <w:pPr>
        <w:pStyle w:val="Text"/>
        <w:numPr>
          <w:ilvl w:val="0"/>
          <w:numId w:val="0"/>
        </w:numPr>
        <w:rPr/>
      </w:pPr>
      <w:r>
        <w:rPr/>
        <w:t>Changed STS key to STS seed, as the key is defined in the base standard, and the STS key use did not match that definition. This included renameing the Ranging STS Key and Data IE (RSKD IE) to Ranging STS Seed and Data IE (RSSD IE), and the SKP field in it to SSP field.</w:t>
      </w:r>
    </w:p>
    <w:p>
      <w:pPr>
        <w:pStyle w:val="IEEEheading"/>
        <w:numPr>
          <w:ilvl w:val="1"/>
          <w:numId w:val="1"/>
        </w:numPr>
        <w:rPr/>
      </w:pPr>
      <w:r>
        <w:rPr/>
        <w:t>Security clause 9</w:t>
      </w:r>
    </w:p>
    <w:p>
      <w:pPr>
        <w:pStyle w:val="Text"/>
        <w:numPr>
          <w:ilvl w:val="0"/>
          <w:numId w:val="0"/>
        </w:numPr>
        <w:rPr>
          <w:i w:val="false"/>
          <w:i w:val="false"/>
          <w:iCs w:val="false"/>
        </w:rPr>
      </w:pPr>
      <w:r>
        <w:rPr>
          <w:i w:val="false"/>
          <w:iCs w:val="false"/>
        </w:rPr>
        <w:t xml:space="preserve">Added references to </w:t>
      </w:r>
      <w:r>
        <w:rPr>
          <w:i/>
          <w:iCs/>
        </w:rPr>
        <w:t>secEnhancedBeaconSecurity</w:t>
      </w:r>
      <w:r>
        <w:rPr>
          <w:i w:val="false"/>
          <w:iCs w:val="false"/>
        </w:rPr>
        <w:t>* in 9.2.2, saying those are used when sending enhanced beacons. They were not referenced before.</w:t>
      </w:r>
    </w:p>
    <w:p>
      <w:pPr>
        <w:pStyle w:val="Text"/>
        <w:numPr>
          <w:ilvl w:val="0"/>
          <w:numId w:val="0"/>
        </w:numPr>
        <w:rPr>
          <w:i w:val="false"/>
          <w:i w:val="false"/>
          <w:iCs w:val="false"/>
        </w:rPr>
      </w:pPr>
      <w:r>
        <w:rPr>
          <w:i w:val="false"/>
          <w:iCs w:val="false"/>
        </w:rPr>
        <w:t>In section 9.2.2 step g) changed the “element of secKeyDescriptor” to “element of KeyDescriptor”. This is because the step c) fetches the KeyDescriptor, and this is where the framecounter we need to increment is stored.</w:t>
      </w:r>
    </w:p>
    <w:p>
      <w:pPr>
        <w:pStyle w:val="Text"/>
        <w:numPr>
          <w:ilvl w:val="0"/>
          <w:numId w:val="0"/>
        </w:numPr>
        <w:rPr>
          <w:i w:val="false"/>
          <w:i w:val="false"/>
          <w:iCs w:val="false"/>
        </w:rPr>
      </w:pPr>
      <w:r>
        <w:rPr>
          <w:i w:val="false"/>
          <w:iCs w:val="false"/>
        </w:rPr>
        <w:t xml:space="preserve">Renamed secKeyDescriptor PIB attribute to </w:t>
      </w:r>
      <w:r>
        <w:rPr>
          <w:i/>
          <w:iCs/>
        </w:rPr>
        <w:t>secKeyItem</w:t>
      </w:r>
      <w:r>
        <w:rPr>
          <w:i w:val="false"/>
          <w:iCs w:val="false"/>
        </w:rPr>
        <w:t>, so only structures now have names with *Descriptor prefix. s</w:t>
      </w:r>
      <w:r>
        <w:rPr>
          <w:i/>
          <w:iCs/>
        </w:rPr>
        <w:t>ecKeyItem</w:t>
      </w:r>
      <w:r>
        <w:rPr>
          <w:i w:val="false"/>
          <w:iCs w:val="false"/>
        </w:rPr>
        <w:t xml:space="preserve"> points to secKeyDescriptor structure. Previously as both the structure and the attribute had same name it was not possible to know which one is meant.</w:t>
      </w:r>
    </w:p>
    <w:p>
      <w:pPr>
        <w:pStyle w:val="Text"/>
        <w:numPr>
          <w:ilvl w:val="0"/>
          <w:numId w:val="0"/>
        </w:numPr>
        <w:rPr>
          <w:i w:val="false"/>
          <w:i w:val="false"/>
          <w:iCs w:val="false"/>
        </w:rPr>
      </w:pPr>
      <w:r>
        <w:rPr>
          <w:i w:val="false"/>
          <w:iCs w:val="false"/>
        </w:rPr>
        <w:t xml:space="preserve">In section 9.2.4 step g) 2) clarified that the </w:t>
      </w:r>
      <w:r>
        <w:rPr>
          <w:i/>
          <w:iCs/>
        </w:rPr>
        <w:t xml:space="preserve">secKeyDeviceFrameCounter </w:t>
      </w:r>
      <w:r>
        <w:rPr>
          <w:i w:val="false"/>
          <w:iCs w:val="false"/>
        </w:rPr>
        <w:t xml:space="preserve">is in an secKeyDeviceFrameCounterDescriptor structure matching the addresses. Those descriptors are stored in the </w:t>
      </w:r>
      <w:r>
        <w:rPr>
          <w:i/>
          <w:iCs/>
        </w:rPr>
        <w:t>secKeyDeviceFrameCounterList</w:t>
      </w:r>
      <w:r>
        <w:rPr>
          <w:i w:val="false"/>
          <w:iCs w:val="false"/>
        </w:rPr>
        <w:t>. Also renamed the secKeyDeviceFrameCounter structure to secKeyDeviceFrameCounterDescriptor to match other structures.</w:t>
      </w:r>
    </w:p>
    <w:p>
      <w:pPr>
        <w:pStyle w:val="Text"/>
        <w:numPr>
          <w:ilvl w:val="0"/>
          <w:numId w:val="0"/>
        </w:numPr>
        <w:rPr>
          <w:i w:val="false"/>
          <w:i w:val="false"/>
          <w:iCs w:val="false"/>
        </w:rPr>
      </w:pPr>
      <w:r>
        <w:rPr>
          <w:i w:val="false"/>
          <w:iCs w:val="false"/>
        </w:rPr>
        <w:t>In section 9.2.4 step g) 3) the step returned error if the frame counter was not found. This meant a new device could not send any packets to this device before the next higher layer added the secKeyDeviceFrameCounterDesciptor. I think this is too limited. Changed it so that if device is not found for this key, then use FrameCounterCheck value of zero.</w:t>
      </w:r>
    </w:p>
    <w:p>
      <w:pPr>
        <w:pStyle w:val="Text"/>
        <w:numPr>
          <w:ilvl w:val="0"/>
          <w:numId w:val="0"/>
        </w:numPr>
        <w:rPr>
          <w:i w:val="false"/>
          <w:i w:val="false"/>
          <w:iCs w:val="false"/>
        </w:rPr>
      </w:pPr>
      <w:r>
        <w:rPr>
          <w:i w:val="false"/>
          <w:iCs w:val="false"/>
        </w:rPr>
        <w:t>Also modified step j) to create the secKeyDeviceFrameCounterDescriptor structure if it does not exists.</w:t>
      </w:r>
    </w:p>
    <w:p>
      <w:pPr>
        <w:pStyle w:val="Text"/>
        <w:numPr>
          <w:ilvl w:val="0"/>
          <w:numId w:val="0"/>
        </w:numPr>
        <w:rPr>
          <w:i w:val="false"/>
          <w:i w:val="false"/>
          <w:iCs w:val="false"/>
        </w:rPr>
      </w:pPr>
      <w:r>
        <w:rPr>
          <w:i w:val="false"/>
          <w:iCs w:val="false"/>
        </w:rPr>
        <w:t xml:space="preserve">In section 9.2.6 clarified that the DeviceDescriptors are in the </w:t>
      </w:r>
      <w:r>
        <w:rPr>
          <w:i/>
          <w:iCs/>
        </w:rPr>
        <w:t>secDeviceList</w:t>
      </w:r>
      <w:r>
        <w:rPr>
          <w:i w:val="false"/>
          <w:iCs w:val="false"/>
        </w:rPr>
        <w:t>.</w:t>
      </w:r>
    </w:p>
    <w:p>
      <w:pPr>
        <w:pStyle w:val="Text"/>
        <w:numPr>
          <w:ilvl w:val="0"/>
          <w:numId w:val="0"/>
        </w:numPr>
        <w:rPr>
          <w:i w:val="false"/>
          <w:i w:val="false"/>
          <w:iCs w:val="false"/>
        </w:rPr>
      </w:pPr>
      <w:r>
        <w:rPr>
          <w:i w:val="false"/>
          <w:iCs w:val="false"/>
        </w:rPr>
        <w:t xml:space="preserve">Renamed </w:t>
      </w:r>
      <w:r>
        <w:rPr>
          <w:i/>
          <w:iCs/>
        </w:rPr>
        <w:t>secSecurityLevelTable</w:t>
      </w:r>
      <w:r>
        <w:rPr>
          <w:i w:val="false"/>
          <w:iCs w:val="false"/>
        </w:rPr>
        <w:t xml:space="preserve"> to </w:t>
      </w:r>
      <w:r>
        <w:rPr>
          <w:i/>
          <w:iCs/>
        </w:rPr>
        <w:t>secSecurityLevelList</w:t>
      </w:r>
      <w:r>
        <w:rPr>
          <w:i w:val="false"/>
          <w:iCs w:val="false"/>
        </w:rPr>
        <w:t xml:space="preserve"> to match other similar tables/lists.</w:t>
      </w:r>
    </w:p>
    <w:p>
      <w:pPr>
        <w:pStyle w:val="Text"/>
        <w:numPr>
          <w:ilvl w:val="0"/>
          <w:numId w:val="0"/>
        </w:numPr>
        <w:rPr>
          <w:i w:val="false"/>
          <w:i w:val="false"/>
          <w:iCs w:val="false"/>
        </w:rPr>
      </w:pPr>
      <w:r>
        <w:rPr>
          <w:i w:val="false"/>
          <w:iCs w:val="false"/>
        </w:rPr>
        <w:t xml:space="preserve">In section 9.2.9 fixed a bug where it referenced </w:t>
      </w:r>
      <w:r>
        <w:rPr>
          <w:i/>
          <w:iCs/>
        </w:rPr>
        <w:t>secIeType</w:t>
      </w:r>
      <w:r>
        <w:rPr>
          <w:i w:val="false"/>
          <w:iCs w:val="false"/>
        </w:rPr>
        <w:t xml:space="preserve"> and </w:t>
      </w:r>
      <w:r>
        <w:rPr>
          <w:i/>
          <w:iCs/>
        </w:rPr>
        <w:t>secIeId</w:t>
      </w:r>
      <w:r>
        <w:rPr>
          <w:i w:val="false"/>
          <w:iCs w:val="false"/>
        </w:rPr>
        <w:t xml:space="preserve">, when it should have referenced </w:t>
      </w:r>
      <w:r>
        <w:rPr>
          <w:i/>
          <w:iCs/>
        </w:rPr>
        <w:t>secKeyIeType</w:t>
      </w:r>
      <w:r>
        <w:rPr>
          <w:i w:val="false"/>
          <w:iCs w:val="false"/>
        </w:rPr>
        <w:t xml:space="preserve"> and </w:t>
      </w:r>
      <w:r>
        <w:rPr>
          <w:i/>
          <w:iCs/>
        </w:rPr>
        <w:t>secKeyIeId</w:t>
      </w:r>
      <w:r>
        <w:rPr>
          <w:i w:val="false"/>
          <w:iCs w:val="false"/>
        </w:rPr>
        <w:t xml:space="preserve">. Also clarified that secKeyUsageDescriptor entry is from the </w:t>
      </w:r>
      <w:r>
        <w:rPr>
          <w:i/>
          <w:iCs/>
        </w:rPr>
        <w:t>secKeyUsageList</w:t>
      </w:r>
      <w:r>
        <w:rPr>
          <w:i w:val="false"/>
          <w:iCs w:val="false"/>
        </w:rPr>
        <w:t xml:space="preserve"> of KeyDescriptor, and fixed another typo where </w:t>
      </w:r>
      <w:r>
        <w:rPr>
          <w:i/>
          <w:iCs/>
        </w:rPr>
        <w:t>secKeyIeUsageDescriptorList</w:t>
      </w:r>
      <w:r>
        <w:rPr>
          <w:i w:val="false"/>
          <w:iCs w:val="false"/>
        </w:rPr>
        <w:t xml:space="preserve"> was written as </w:t>
      </w:r>
      <w:r>
        <w:rPr>
          <w:i/>
          <w:iCs/>
        </w:rPr>
        <w:t>secKeyIeUsageList</w:t>
      </w:r>
      <w:r>
        <w:rPr>
          <w:i w:val="false"/>
          <w:iCs w:val="false"/>
        </w:rPr>
        <w:t>.</w:t>
      </w:r>
    </w:p>
    <w:p>
      <w:pPr>
        <w:pStyle w:val="Text"/>
        <w:numPr>
          <w:ilvl w:val="0"/>
          <w:numId w:val="0"/>
        </w:numPr>
        <w:rPr>
          <w:i w:val="false"/>
          <w:i w:val="false"/>
          <w:iCs w:val="false"/>
        </w:rPr>
      </w:pPr>
      <w:r>
        <w:rPr>
          <w:i w:val="false"/>
          <w:iCs w:val="false"/>
        </w:rPr>
        <w:t xml:space="preserve">In section 9.2.11 there was bug where it used </w:t>
      </w:r>
      <w:r>
        <w:rPr>
          <w:i/>
          <w:iCs/>
        </w:rPr>
        <w:t>secFrameType</w:t>
      </w:r>
      <w:r>
        <w:rPr>
          <w:i w:val="false"/>
          <w:iCs w:val="false"/>
        </w:rPr>
        <w:t xml:space="preserve"> instead of </w:t>
      </w:r>
      <w:r>
        <w:rPr>
          <w:i/>
          <w:iCs/>
        </w:rPr>
        <w:t>secKeyUsageFrameType</w:t>
      </w:r>
      <w:r>
        <w:rPr>
          <w:i w:val="false"/>
          <w:iCs w:val="false"/>
        </w:rPr>
        <w:t xml:space="preserve">. </w:t>
      </w:r>
    </w:p>
    <w:p>
      <w:pPr>
        <w:pStyle w:val="Text"/>
        <w:numPr>
          <w:ilvl w:val="0"/>
          <w:numId w:val="0"/>
        </w:numPr>
        <w:rPr>
          <w:i w:val="false"/>
          <w:i w:val="false"/>
          <w:iCs w:val="false"/>
        </w:rPr>
      </w:pPr>
      <w:r>
        <w:rPr>
          <w:i w:val="false"/>
          <w:iCs w:val="false"/>
        </w:rPr>
        <w:t>Split different PIB tables in the section 9.5 to separate subsections.</w:t>
      </w:r>
    </w:p>
    <w:p>
      <w:pPr>
        <w:pStyle w:val="Text"/>
        <w:numPr>
          <w:ilvl w:val="0"/>
          <w:numId w:val="0"/>
        </w:numPr>
        <w:rPr>
          <w:i w:val="false"/>
          <w:i w:val="false"/>
          <w:iCs w:val="false"/>
        </w:rPr>
      </w:pPr>
      <w:r>
        <w:rPr>
          <w:i w:val="false"/>
          <w:iCs w:val="false"/>
        </w:rPr>
        <w:t xml:space="preserve">In section 9.5.2 the footnote was incorrectly added to AES-256-CCM, when it was supposed to be in AES-128-CCM* and AES-128-CCM. </w:t>
      </w:r>
    </w:p>
    <w:p>
      <w:pPr>
        <w:pStyle w:val="IEEEheading"/>
        <w:numPr>
          <w:ilvl w:val="1"/>
          <w:numId w:val="1"/>
        </w:numPr>
        <w:rPr/>
      </w:pPr>
      <w:r>
        <w:rPr/>
        <w:t>PICS</w:t>
      </w:r>
    </w:p>
    <w:p>
      <w:pPr>
        <w:pStyle w:val="Text"/>
        <w:rPr/>
      </w:pPr>
      <w:r>
        <w:rPr/>
        <w:t>Added table listing all different optional groups.</w:t>
      </w:r>
    </w:p>
    <w:p>
      <w:pPr>
        <w:pStyle w:val="Text"/>
        <w:rPr/>
      </w:pPr>
      <w:r>
        <w:rPr/>
        <w:t>Removed FD1 (FFD), FD2 (RFD), FD6 (RFD-TX), and FD7 (RFD-RX). If something was mandatory for FD1, but not others, then it was made optional (FD4 Assignment of short network address, FD5 support of short network address, PLF1 Energy detection, PLF2 Link quality indication, MLF3.1 Transmit beacons, MLF3.2 Receive beacons, MLF8 Association and disassociation, MLF10.2 Active scanning, MLF10.3 Passive scanning, MLF11 control, define, determine and declare superframe structure, MF1 Beacon, MF4.2 Association request, MF4.3 Association response, MF4.4 Disassociation notification, MF4.5 Data request, MF4.6 PAN ID conflict notification, MF4.7 Orphaned device notification, MF4.8 Beacon request, MF4.10 Coordinator realignment, ).</w:t>
      </w:r>
    </w:p>
    <w:p>
      <w:pPr>
        <w:pStyle w:val="Text"/>
        <w:rPr/>
      </w:pPr>
      <w:r>
        <w:rPr/>
        <w:t>In some cases I was not sure what is correct leve, this includes different LRP UWB modes PLF6-PLF8, as they depended on the RF9.1 LPR UWB RFD-RX and RF9.2 LRP UWB RFD-TX which got removed.</w:t>
      </w:r>
    </w:p>
    <w:p>
      <w:pPr>
        <w:pStyle w:val="Text"/>
        <w:rPr/>
      </w:pPr>
      <w:r>
        <w:rPr/>
        <w:t>On the other hand MLF1 Transmission of data, MLF1.1 Purge data, MLF2 reception of data, MLF6 Frame validation, MLF7 Acknowedged frame delivery, MLF10.1 ED scanning, MLF13 Store one transaction were changed to be mandatory.</w:t>
      </w:r>
    </w:p>
    <w:p>
      <w:pPr>
        <w:pStyle w:val="Text"/>
        <w:rPr/>
      </w:pPr>
      <w:r>
        <w:rPr/>
        <w:t xml:space="preserve">In table E.14 MAC frames I added missing commands, i.e. MF4.31 Vendor Specific command, MF4.32 Ranging Verifier command and MF 4.33 Ranging Prover command. </w:t>
      </w:r>
    </w:p>
    <w:p>
      <w:pPr>
        <w:pStyle w:val="Text"/>
        <w:rPr/>
      </w:pPr>
      <w:r>
        <w:rPr/>
        <w:t xml:space="preserve">In table E.15 MAC IEs I added the missing IEs, i.e., MIE4.33 Link Margin, MIE 4.34 RF-GFSK Device Capabilities IE, MIE4.35 Multi-PHY IE, and then all of the missing ranging IEs. </w:t>
      </w:r>
      <w:r>
        <w:rPr>
          <w:highlight w:val="yellow"/>
        </w:rPr>
        <w:t>For those IEs we are missing the status of them.</w:t>
      </w:r>
    </w:p>
    <w:p>
      <w:pPr>
        <w:pStyle w:val="Text"/>
        <w:rPr/>
      </w:pPr>
      <w:r>
        <w:rPr/>
      </w:r>
    </w:p>
    <w:p>
      <w:pPr>
        <w:pStyle w:val="IEEEheading"/>
        <w:numPr>
          <w:ilvl w:val="1"/>
          <w:numId w:val="1"/>
        </w:numPr>
        <w:rPr/>
      </w:pPr>
      <w:r>
        <w:rPr/>
        <w:t>Remove RFD and FFD distinction, and RFD-RX and RFD-TX</w:t>
      </w:r>
    </w:p>
    <w:p>
      <w:pPr>
        <w:pStyle w:val="Text"/>
        <w:numPr>
          <w:ilvl w:val="0"/>
          <w:numId w:val="0"/>
        </w:numPr>
        <w:rPr/>
      </w:pPr>
      <w:r>
        <w:rPr/>
        <w:t>Removed the FFD, RFD, RFD-RX and RFD-TX in acronym list.</w:t>
      </w:r>
    </w:p>
    <w:p>
      <w:pPr>
        <w:pStyle w:val="Text"/>
        <w:numPr>
          <w:ilvl w:val="0"/>
          <w:numId w:val="0"/>
        </w:numPr>
        <w:rPr/>
      </w:pPr>
      <w:r>
        <w:rPr/>
        <w:t>Removed 3</w:t>
      </w:r>
      <w:r>
        <w:rPr>
          <w:vertAlign w:val="superscript"/>
        </w:rPr>
        <w:t>rd</w:t>
      </w:r>
      <w:r>
        <w:rPr/>
        <w:t xml:space="preserve"> paragraph of 5.1 that described about the two different types of devices.</w:t>
      </w:r>
    </w:p>
    <w:p>
      <w:pPr>
        <w:pStyle w:val="Text"/>
        <w:numPr>
          <w:ilvl w:val="0"/>
          <w:numId w:val="0"/>
        </w:numPr>
        <w:rPr/>
      </w:pPr>
      <w:r>
        <w:rPr/>
        <w:t>Removed 1</w:t>
      </w:r>
      <w:r>
        <w:rPr>
          <w:vertAlign w:val="superscript"/>
        </w:rPr>
        <w:t>st</w:t>
      </w:r>
      <w:r>
        <w:rPr/>
        <w:t xml:space="preserve"> paragraph of 6.1 that described the two different types of devices.</w:t>
      </w:r>
    </w:p>
    <w:p>
      <w:pPr>
        <w:pStyle w:val="Text"/>
        <w:numPr>
          <w:ilvl w:val="0"/>
          <w:numId w:val="0"/>
        </w:numPr>
        <w:rPr/>
      </w:pPr>
      <w:r>
        <w:rPr/>
        <w:t>Removed references to FFD and RFD throughout the standard.</w:t>
      </w:r>
    </w:p>
    <w:p>
      <w:pPr>
        <w:pStyle w:val="Text"/>
        <w:numPr>
          <w:ilvl w:val="0"/>
          <w:numId w:val="0"/>
        </w:numPr>
        <w:rPr/>
      </w:pPr>
      <w:r>
        <w:rPr>
          <w:highlight w:val="yellow"/>
        </w:rPr>
        <w:t>In section 6.3.1.1 it is not clear what types of scanning is now mandatory This also affects PICS.</w:t>
      </w:r>
      <w:r>
        <w:rPr/>
        <w:t xml:space="preserve"> </w:t>
      </w:r>
    </w:p>
    <w:p>
      <w:pPr>
        <w:pStyle w:val="Text"/>
        <w:numPr>
          <w:ilvl w:val="0"/>
          <w:numId w:val="0"/>
        </w:numPr>
        <w:rPr/>
      </w:pPr>
      <w:r>
        <w:rPr/>
        <w:t>There were cases where something was optional for RFD-RX and RFD-TX devices, but mandatory for others, I removed those references of those features being optional. In most cases those features will be optional in any case.</w:t>
      </w:r>
    </w:p>
    <w:p>
      <w:pPr>
        <w:pStyle w:val="Text"/>
        <w:numPr>
          <w:ilvl w:val="0"/>
          <w:numId w:val="0"/>
        </w:numPr>
        <w:rPr/>
      </w:pPr>
      <w:r>
        <w:rPr/>
        <w:t>Features that used to be optional for RFD: PAN ID conflict resolution, MAC commands with command ID 0x01-0x08, Association Request (reception), Assocation Response (tranmission), Disassociation Notification, Data Request command (reception), PAN ID Conflict Notification (reception), Orphan Notification (reception), Beacon request command, Coordinator Realignment command (transmission).</w:t>
      </w:r>
    </w:p>
    <w:p>
      <w:pPr>
        <w:pStyle w:val="Text"/>
        <w:numPr>
          <w:ilvl w:val="0"/>
          <w:numId w:val="0"/>
        </w:numPr>
        <w:rPr/>
      </w:pPr>
      <w:r>
        <w:rPr/>
        <w:t>Removed RFD column from the MAC commands table.</w:t>
      </w:r>
    </w:p>
    <w:p>
      <w:pPr>
        <w:pStyle w:val="Text"/>
        <w:numPr>
          <w:ilvl w:val="0"/>
          <w:numId w:val="0"/>
        </w:numPr>
        <w:rPr/>
      </w:pPr>
      <w:r>
        <w:rPr/>
        <w:t>Mandated that Device type should be set to one in Assocation Request command, as we do not have FFDs and RFDs anymore.</w:t>
      </w:r>
    </w:p>
    <w:p>
      <w:pPr>
        <w:pStyle w:val="Text"/>
        <w:numPr>
          <w:ilvl w:val="0"/>
          <w:numId w:val="0"/>
        </w:numPr>
        <w:rPr/>
      </w:pPr>
      <w:r>
        <w:rPr/>
        <w:t>Lots of MLME primitives and MAC PIB attributes are now marked as optional, as anything that was optional for RFDs is now marked optional.</w:t>
      </w:r>
    </w:p>
    <w:p>
      <w:pPr>
        <w:pStyle w:val="Text"/>
        <w:numPr>
          <w:ilvl w:val="0"/>
          <w:numId w:val="0"/>
        </w:numPr>
        <w:rPr/>
      </w:pPr>
      <w:r>
        <w:rPr/>
      </w:r>
    </w:p>
    <w:p>
      <w:pPr>
        <w:pStyle w:val="IEEEheading"/>
        <w:numPr>
          <w:ilvl w:val="1"/>
          <w:numId w:val="1"/>
        </w:numPr>
        <w:rPr/>
      </w:pPr>
      <w:r>
        <w:rPr/>
        <w:t>Coordinator vs device</w:t>
      </w:r>
    </w:p>
    <w:p>
      <w:pPr>
        <w:pStyle w:val="Text"/>
        <w:rPr/>
      </w:pPr>
      <w:r>
        <w:rPr/>
        <w:t>I think we still need the term coordinator, but we should define it to mean a device that sends out beacons, and change every other types of uses of coordinator to device. The PAN coordinator is kept as it is.</w:t>
      </w:r>
    </w:p>
    <w:p>
      <w:pPr>
        <w:pStyle w:val="Text"/>
        <w:rPr/>
      </w:pPr>
      <w:r>
        <w:rPr/>
        <w:t>For example keep 5.7.2.1 where it talks we have “transfer to coordinator in which a device transmits the data”, this should be kept as it is.</w:t>
      </w:r>
    </w:p>
    <w:p>
      <w:pPr>
        <w:pStyle w:val="Text"/>
        <w:rPr/>
      </w:pPr>
      <w:r>
        <w:rPr/>
        <w:t xml:space="preserve">i.e. coordinator </w:t>
      </w:r>
      <w:r>
        <w:rPr>
          <w:lang w:val="fi-FI"/>
        </w:rPr>
        <w:t>can have</w:t>
      </w:r>
      <w:r>
        <w:rPr/>
        <w:t xml:space="preserve"> following roles:</w:t>
      </w:r>
    </w:p>
    <w:p>
      <w:pPr>
        <w:pStyle w:val="Text"/>
        <w:numPr>
          <w:ilvl w:val="0"/>
          <w:numId w:val="2"/>
        </w:numPr>
        <w:rPr/>
      </w:pPr>
      <w:r>
        <w:rPr/>
        <w:t>Sending beacons</w:t>
      </w:r>
    </w:p>
    <w:p>
      <w:pPr>
        <w:pStyle w:val="Text"/>
        <w:numPr>
          <w:ilvl w:val="0"/>
          <w:numId w:val="2"/>
        </w:numPr>
        <w:rPr/>
      </w:pPr>
      <w:r>
        <w:rPr/>
        <w:t>Association / disassociation</w:t>
      </w:r>
    </w:p>
    <w:p>
      <w:pPr>
        <w:pStyle w:val="Text"/>
        <w:numPr>
          <w:ilvl w:val="0"/>
          <w:numId w:val="2"/>
        </w:numPr>
        <w:rPr/>
      </w:pPr>
      <w:r>
        <w:rPr/>
        <w:t>Indirect data transfer</w:t>
      </w:r>
    </w:p>
    <w:p>
      <w:pPr>
        <w:pStyle w:val="Text"/>
        <w:numPr>
          <w:ilvl w:val="0"/>
          <w:numId w:val="2"/>
        </w:numPr>
        <w:rPr/>
      </w:pPr>
      <w:r>
        <w:rPr/>
        <w:t>GTS management</w:t>
      </w:r>
    </w:p>
    <w:p>
      <w:pPr>
        <w:pStyle w:val="Text"/>
        <w:rPr/>
      </w:pPr>
      <w:r>
        <w:rPr>
          <w:lang w:val="fi-FI"/>
        </w:rPr>
        <w:t>PAN coordinator allocates the PAN ID</w:t>
      </w:r>
    </w:p>
    <w:p>
      <w:pPr>
        <w:pStyle w:val="Text"/>
        <w:rPr>
          <w:highlight w:val="yellow"/>
        </w:rPr>
      </w:pPr>
      <w:r>
        <w:rPr>
          <w:highlight w:val="yellow"/>
          <w:lang w:val="fi-FI"/>
        </w:rPr>
        <w:t>This issue is still unresolved.</w:t>
      </w:r>
    </w:p>
    <w:p>
      <w:pPr>
        <w:pStyle w:val="IEEEheading"/>
        <w:numPr>
          <w:ilvl w:val="1"/>
          <w:numId w:val="1"/>
        </w:numPr>
        <w:rPr/>
      </w:pPr>
      <w:r>
        <w:rPr/>
        <w:t>CSMA-CA algorithm</w:t>
      </w:r>
    </w:p>
    <w:p>
      <w:pPr>
        <w:pStyle w:val="Text"/>
        <w:rPr/>
      </w:pPr>
      <w:r>
        <w:rPr>
          <w:lang w:val="fi-FI"/>
        </w:rPr>
        <w:t>Removed following text from 6.2.5.1:</w:t>
      </w:r>
    </w:p>
    <w:p>
      <w:pPr>
        <w:pStyle w:val="Text"/>
        <w:ind w:left="408" w:hanging="0"/>
        <w:rPr/>
      </w:pPr>
      <w:r>
        <w:rPr/>
        <w:t>The CSMA-CA algorithm shall not be used for the transmission of Beacon frames in a beacon-enabled PAN, Imm-Ack frames, Enh-Ack frames, or Data frames transmitted in the CFP.</w:t>
      </w:r>
    </w:p>
    <w:p>
      <w:pPr>
        <w:pStyle w:val="IEEEheading"/>
        <w:numPr>
          <w:ilvl w:val="1"/>
          <w:numId w:val="1"/>
        </w:numPr>
        <w:rPr/>
      </w:pPr>
      <w:r>
        <w:rPr/>
        <w:t>Beacon generation</w:t>
      </w:r>
    </w:p>
    <w:p>
      <w:pPr>
        <w:pStyle w:val="Text"/>
        <w:rPr/>
      </w:pPr>
      <w:r>
        <w:rPr>
          <w:lang w:val="fi-FI"/>
        </w:rPr>
        <w:t>Removed following paragraph in 6.3.4 Beacon generaton:</w:t>
      </w:r>
    </w:p>
    <w:p>
      <w:pPr>
        <w:pStyle w:val="Text"/>
        <w:ind w:left="408" w:hanging="0"/>
        <w:rPr/>
      </w:pPr>
      <w:r>
        <w:rPr/>
        <w:t>A device shall be permitted to transmit Beacon frames only if macShortAddress is not equal to 0xffff.</w:t>
      </w:r>
    </w:p>
    <w:p>
      <w:pPr>
        <w:pStyle w:val="IEEEheading"/>
        <w:numPr>
          <w:ilvl w:val="1"/>
          <w:numId w:val="1"/>
        </w:numPr>
        <w:rPr/>
      </w:pPr>
      <w:r>
        <w:rPr/>
        <w:t>Transmission</w:t>
      </w:r>
    </w:p>
    <w:p>
      <w:pPr>
        <w:pStyle w:val="Text"/>
        <w:rPr/>
      </w:pPr>
      <w:r>
        <w:rPr>
          <w:lang w:val="fi-FI"/>
        </w:rPr>
        <w:t>Changed:</w:t>
      </w:r>
    </w:p>
    <w:p>
      <w:pPr>
        <w:pStyle w:val="Text"/>
        <w:ind w:left="720" w:hanging="0"/>
        <w:rPr/>
      </w:pPr>
      <w:r>
        <w:rPr/>
        <w:t>Each time a Data frame or a MAC comman</w:t>
      </w:r>
      <w:r>
        <w:rPr>
          <w:lang w:val="fi-FI"/>
        </w:rPr>
        <w:t>d</w:t>
      </w:r>
      <w:r>
        <w:rPr/>
        <w:t xml:space="preserve"> is generated, the MAC sublayer shall copy the value of macDsn into the Sequence Number field of the MHR of the outgoing frame and then increment it by one</w:t>
      </w:r>
    </w:p>
    <w:p>
      <w:pPr>
        <w:pStyle w:val="Text"/>
        <w:rPr>
          <w:lang w:val="fi-FI"/>
        </w:rPr>
      </w:pPr>
      <w:r>
        <w:rPr>
          <w:lang w:val="fi-FI"/>
        </w:rPr>
        <w:t>to</w:t>
      </w:r>
    </w:p>
    <w:p>
      <w:pPr>
        <w:pStyle w:val="Text"/>
        <w:ind w:left="720" w:hanging="0"/>
        <w:rPr/>
      </w:pPr>
      <w:r>
        <w:rPr/>
        <w:t>Each time a Data frame or a MAC command frame with Sequence number field is generated, the MAC sublayer shall copy the value of macDsn into the Sequence Number field of the MHR of the outgoing frame and then increment it by one.</w:t>
      </w:r>
    </w:p>
    <w:p>
      <w:pPr>
        <w:pStyle w:val="Text"/>
        <w:ind w:hanging="0"/>
        <w:rPr>
          <w:lang w:val="fi-FI"/>
        </w:rPr>
      </w:pPr>
      <w:r>
        <w:rPr>
          <w:lang w:val="fi-FI"/>
        </w:rPr>
        <w:t>Change:</w:t>
      </w:r>
    </w:p>
    <w:p>
      <w:pPr>
        <w:pStyle w:val="Text"/>
        <w:ind w:left="720" w:hanging="0"/>
        <w:rPr>
          <w:lang w:val="fi-FI"/>
        </w:rPr>
      </w:pPr>
      <w:r>
        <w:rPr>
          <w:lang w:val="fi-FI"/>
        </w:rPr>
        <w:t>The value of macDsn shall be permitted to roll over.</w:t>
      </w:r>
    </w:p>
    <w:p>
      <w:pPr>
        <w:pStyle w:val="Text"/>
        <w:ind w:hanging="0"/>
        <w:rPr>
          <w:lang w:val="fi-FI"/>
        </w:rPr>
      </w:pPr>
      <w:r>
        <w:rPr>
          <w:lang w:val="fi-FI"/>
        </w:rPr>
        <w:t>To:</w:t>
      </w:r>
    </w:p>
    <w:p>
      <w:pPr>
        <w:pStyle w:val="Text"/>
        <w:ind w:left="720" w:hanging="0"/>
        <w:rPr>
          <w:lang w:val="fi-FI"/>
        </w:rPr>
      </w:pPr>
      <w:r>
        <w:rPr>
          <w:lang w:val="fi-FI"/>
        </w:rPr>
        <w:t>The value of macDsn shall roll over upon reaching the maximum value representable in the Sequence Number field.</w:t>
      </w:r>
    </w:p>
    <w:p>
      <w:pPr>
        <w:pStyle w:val="Text"/>
        <w:ind w:hanging="0"/>
        <w:rPr>
          <w:lang w:val="fi-FI"/>
        </w:rPr>
      </w:pPr>
      <w:r>
        <w:rPr>
          <w:lang w:val="fi-FI"/>
        </w:rPr>
        <w:t>Same change for macBsd and macEbsdn fields.</w:t>
      </w:r>
    </w:p>
    <w:p>
      <w:pPr>
        <w:pStyle w:val="Text"/>
        <w:ind w:hanging="0"/>
        <w:rPr>
          <w:lang w:val="fi-FI"/>
        </w:rPr>
      </w:pPr>
      <w:r>
        <w:rPr>
          <w:lang w:val="fi-FI"/>
        </w:rPr>
        <w:t>Removed:</w:t>
      </w:r>
    </w:p>
    <w:p>
      <w:pPr>
        <w:pStyle w:val="Text"/>
        <w:ind w:left="720" w:hanging="0"/>
        <w:rPr>
          <w:lang w:val="fi-FI"/>
        </w:rPr>
      </w:pPr>
      <w:r>
        <w:rPr>
          <w:lang w:val="fi-FI"/>
        </w:rPr>
        <w:t>, and transmissions in a GTS shall not use CSMA-CA</w:t>
      </w:r>
    </w:p>
    <w:p>
      <w:pPr>
        <w:pStyle w:val="IEEEheading"/>
        <w:numPr>
          <w:ilvl w:val="1"/>
          <w:numId w:val="1"/>
        </w:numPr>
        <w:ind w:left="1080" w:hanging="0"/>
        <w:rPr>
          <w:lang w:val="fi-FI"/>
        </w:rPr>
      </w:pPr>
      <w:r>
        <w:rPr>
          <w:lang w:val="fi-FI"/>
        </w:rPr>
        <w:t>Reception and rejection</w:t>
      </w:r>
    </w:p>
    <w:p>
      <w:pPr>
        <w:pStyle w:val="Text"/>
        <w:ind w:hanging="0"/>
        <w:rPr>
          <w:lang w:val="fi-FI"/>
        </w:rPr>
      </w:pPr>
      <w:r>
        <w:rPr>
          <w:lang w:val="fi-FI"/>
        </w:rPr>
        <w:t>Changed:</w:t>
      </w:r>
    </w:p>
    <w:p>
      <w:pPr>
        <w:pStyle w:val="Text"/>
        <w:ind w:left="720" w:hanging="0"/>
        <w:rPr>
          <w:lang w:val="fi-FI"/>
        </w:rPr>
      </w:pPr>
      <w:r>
        <w:rPr>
          <w:lang w:val="fi-FI"/>
        </w:rPr>
        <w:t xml:space="preserve">The MAC sublayer shall, therefore, be able to filter incoming frames and present only the frames that are of interest to the next higher layer. </w:t>
      </w:r>
    </w:p>
    <w:p>
      <w:pPr>
        <w:pStyle w:val="Text"/>
        <w:ind w:hanging="0"/>
        <w:rPr>
          <w:lang w:val="fi-FI"/>
        </w:rPr>
      </w:pPr>
      <w:r>
        <w:rPr>
          <w:lang w:val="fi-FI"/>
        </w:rPr>
        <w:t>To:</w:t>
      </w:r>
    </w:p>
    <w:p>
      <w:pPr>
        <w:pStyle w:val="Text"/>
        <w:ind w:left="720" w:hanging="0"/>
        <w:rPr>
          <w:lang w:val="fi-FI"/>
        </w:rPr>
      </w:pPr>
      <w:r>
        <w:rPr>
          <w:lang w:val="fi-FI"/>
        </w:rPr>
        <w:t>The MAC sublayer will, therefore, be able to filter incoming frames and send only the frames that are of interest to the next higher layer.</w:t>
      </w:r>
    </w:p>
    <w:p>
      <w:pPr>
        <w:pStyle w:val="Text"/>
        <w:ind w:hanging="0"/>
        <w:rPr>
          <w:lang w:val="fi-FI"/>
        </w:rPr>
      </w:pPr>
      <w:r>
        <w:rPr>
          <w:lang w:val="fi-FI"/>
        </w:rPr>
        <w:t>Changed:</w:t>
      </w:r>
    </w:p>
    <w:p>
      <w:pPr>
        <w:pStyle w:val="Text"/>
        <w:ind w:left="720" w:hanging="0"/>
        <w:rPr>
          <w:lang w:val="fi-FI"/>
        </w:rPr>
      </w:pPr>
      <w:r>
        <w:rPr>
          <w:lang w:val="fi-FI"/>
        </w:rPr>
        <w:t>If the frame type indicates that the frame is a Beacon frame, the source PAN ID shall match macPanId unless macPanId is equal to the broadcast PAN ID, in which case the Beacon frame shall be accepted regardless of the source PAN ID.</w:t>
      </w:r>
    </w:p>
    <w:p>
      <w:pPr>
        <w:pStyle w:val="Text"/>
        <w:ind w:hanging="0"/>
        <w:rPr>
          <w:lang w:val="fi-FI"/>
        </w:rPr>
      </w:pPr>
      <w:r>
        <w:rPr>
          <w:lang w:val="fi-FI"/>
        </w:rPr>
        <w:t>To:</w:t>
      </w:r>
    </w:p>
    <w:p>
      <w:pPr>
        <w:pStyle w:val="Text"/>
        <w:ind w:left="720" w:hanging="0"/>
        <w:rPr>
          <w:lang w:val="fi-FI"/>
        </w:rPr>
      </w:pPr>
      <w:r>
        <w:rPr>
          <w:lang w:val="fi-FI"/>
        </w:rPr>
        <w:t>If the frame type indicates that the frame is a Beacon frame and the source PAN ID is present, the source PAN ID shall match macPanId unless macPanId is equal to the broadcast PAN ID, in which case the Beacon frame shall be accepted regardless of the source PAN ID.</w:t>
      </w:r>
    </w:p>
    <w:p>
      <w:pPr>
        <w:pStyle w:val="IEEEheading"/>
        <w:numPr>
          <w:ilvl w:val="1"/>
          <w:numId w:val="1"/>
        </w:numPr>
        <w:rPr/>
      </w:pPr>
      <w:r>
        <w:rPr/>
        <w:t>Retransmissions</w:t>
      </w:r>
    </w:p>
    <w:p>
      <w:pPr>
        <w:pStyle w:val="Text"/>
        <w:rPr>
          <w:lang w:val="fi-FI"/>
        </w:rPr>
      </w:pPr>
      <w:r>
        <w:rPr>
          <w:lang w:val="fi-FI"/>
        </w:rPr>
        <w:t>Changed:</w:t>
      </w:r>
    </w:p>
    <w:p>
      <w:pPr>
        <w:pStyle w:val="Text"/>
        <w:ind w:left="720" w:hanging="0"/>
        <w:rPr>
          <w:lang w:val="fi-FI"/>
        </w:rPr>
      </w:pPr>
      <w:r>
        <w:rPr>
          <w:lang w:val="fi-FI"/>
        </w:rPr>
        <w:t>If an Ack frame is received within the expected time and contains the same DSN as the original transmission, the transmission is considered successful, and no further action regarding retransmission shall be taken by the device.</w:t>
      </w:r>
    </w:p>
    <w:p>
      <w:pPr>
        <w:pStyle w:val="Text"/>
        <w:rPr>
          <w:lang w:val="fi-FI"/>
        </w:rPr>
      </w:pPr>
      <w:r>
        <w:rPr>
          <w:lang w:val="fi-FI"/>
        </w:rPr>
        <w:t>To:</w:t>
      </w:r>
    </w:p>
    <w:p>
      <w:pPr>
        <w:pStyle w:val="Text"/>
        <w:ind w:left="720" w:hanging="0"/>
        <w:rPr>
          <w:lang w:val="fi-FI"/>
        </w:rPr>
      </w:pPr>
      <w:r>
        <w:rPr>
          <w:lang w:val="fi-FI"/>
        </w:rPr>
        <w:t>If an Ack frame is received within the expected time and contains the same DSN, if present, as the original transmission, the transmission is considered successful, and no further action regarding retransmission shall be taken by the device.</w:t>
      </w:r>
    </w:p>
    <w:p>
      <w:pPr>
        <w:pStyle w:val="IEEEheading"/>
        <w:numPr>
          <w:ilvl w:val="1"/>
          <w:numId w:val="1"/>
        </w:numPr>
        <w:rPr/>
      </w:pPr>
      <w:r>
        <w:rPr/>
        <w:t>aCcaTime and phyCcaDuration</w:t>
      </w:r>
    </w:p>
    <w:p>
      <w:pPr>
        <w:pStyle w:val="Text"/>
        <w:rPr>
          <w:lang w:val="fi-FI"/>
        </w:rPr>
      </w:pPr>
      <w:r>
        <w:rPr>
          <w:lang w:val="fi-FI"/>
        </w:rPr>
        <w:t>Remove aCcaTime, and replaced it with phyCcaDuration through out the standard.</w:t>
      </w:r>
    </w:p>
    <w:p>
      <w:pPr>
        <w:pStyle w:val="IEEEheading"/>
        <w:numPr>
          <w:ilvl w:val="1"/>
          <w:numId w:val="1"/>
        </w:numPr>
        <w:rPr/>
      </w:pPr>
      <w:r>
        <w:rPr/>
        <w:t>aUnitBackoffPeriod vs macUnitBackoffPeriod</w:t>
      </w:r>
    </w:p>
    <w:p>
      <w:pPr>
        <w:pStyle w:val="Text"/>
        <w:rPr>
          <w:lang w:val="fi-FI"/>
        </w:rPr>
      </w:pPr>
      <w:r>
        <w:rPr>
          <w:lang w:val="fi-FI"/>
        </w:rPr>
        <w:t>Changed aUnitBackoffPeriod to be macUnitBackoffPeriod with description of</w:t>
      </w:r>
    </w:p>
    <w:p>
      <w:pPr>
        <w:pStyle w:val="Text"/>
        <w:ind w:left="720" w:hanging="0"/>
        <w:rPr>
          <w:lang w:val="fi-FI"/>
        </w:rPr>
      </w:pPr>
      <w:r>
        <w:rPr>
          <w:lang w:val="fi-FI"/>
        </w:rPr>
        <w:t>The number of symbols forming the basic time period used by the CSMA-CA algorithm.</w:t>
      </w:r>
    </w:p>
    <w:p>
      <w:pPr>
        <w:pStyle w:val="Text"/>
        <w:ind w:hanging="0"/>
        <w:rPr>
          <w:lang w:val="fi-FI"/>
        </w:rPr>
      </w:pPr>
      <w:r>
        <w:rPr>
          <w:lang w:val="fi-FI"/>
        </w:rPr>
        <w:t>And with default value of:</w:t>
      </w:r>
    </w:p>
    <w:p>
      <w:pPr>
        <w:pStyle w:val="TextBody"/>
        <w:ind w:left="720" w:hanging="0"/>
        <w:rPr/>
      </w:pPr>
      <w:r>
        <w:rPr>
          <w:i/>
          <w:iCs/>
        </w:rPr>
        <w:t>aTurnaroundTime</w:t>
      </w:r>
      <w:r>
        <w:rPr/>
        <w:t xml:space="preserve"> + </w:t>
      </w:r>
      <w:r>
        <w:rPr>
          <w:i/>
          <w:iCs/>
        </w:rPr>
        <w:t>phyCcaDuration</w:t>
      </w:r>
    </w:p>
    <w:p>
      <w:pPr>
        <w:pStyle w:val="TextBody"/>
        <w:ind w:hanging="0"/>
        <w:rPr>
          <w:i w:val="false"/>
          <w:i w:val="false"/>
          <w:iCs w:val="false"/>
          <w:highlight w:val="yellow"/>
        </w:rPr>
      </w:pPr>
      <w:r>
        <w:rPr>
          <w:i w:val="false"/>
          <w:iCs w:val="false"/>
          <w:highlight w:val="yellow"/>
          <w:lang w:val="fi-FI"/>
        </w:rPr>
        <w:t>Type is integer, but I have no idea what the range should be. I think minimum is around 4 or 8 symbols, but maximum can be 1 ms or similar, thus unknown number of symbols.</w:t>
      </w:r>
    </w:p>
    <w:p>
      <w:pPr>
        <w:pStyle w:val="IEEEheading"/>
        <w:numPr>
          <w:ilvl w:val="1"/>
          <w:numId w:val="1"/>
        </w:numPr>
        <w:rPr/>
      </w:pPr>
      <w:r>
        <w:rPr>
          <w:lang w:val="fi-FI"/>
        </w:rPr>
        <w:t>aM</w:t>
      </w:r>
      <w:r>
        <w:rPr/>
        <w:t>axPhyPacketSize</w:t>
      </w:r>
    </w:p>
    <w:p>
      <w:pPr>
        <w:pStyle w:val="Text"/>
        <w:rPr>
          <w:lang w:val="fi-FI"/>
        </w:rPr>
      </w:pPr>
      <w:r>
        <w:rPr>
          <w:lang w:val="fi-FI"/>
        </w:rPr>
        <w:t xml:space="preserve">This is not constant, so renamed to </w:t>
      </w:r>
      <w:r>
        <w:rPr>
          <w:i/>
          <w:iCs/>
          <w:lang w:val="fi-FI"/>
        </w:rPr>
        <w:t>phyMaxPacketSize</w:t>
      </w:r>
      <w:r>
        <w:rPr>
          <w:i w:val="false"/>
          <w:iCs w:val="false"/>
          <w:lang w:val="fi-FI"/>
        </w:rPr>
        <w:t>, type integer, range 16-4095, description:</w:t>
      </w:r>
    </w:p>
    <w:p>
      <w:pPr>
        <w:pStyle w:val="Text"/>
        <w:ind w:left="0" w:hanging="0"/>
        <w:rPr>
          <w:lang w:val="fi-FI"/>
        </w:rPr>
      </w:pPr>
      <w:r>
        <w:rPr>
          <w:i w:val="false"/>
          <w:iCs w:val="false"/>
          <w:lang w:val="fi-FI"/>
        </w:rPr>
        <w:tab/>
        <w:t>The maximum PSDU size (in octets) the PHY shall be able to receive.</w:t>
      </w:r>
    </w:p>
    <w:p>
      <w:pPr>
        <w:pStyle w:val="Text"/>
        <w:ind w:left="720" w:hanging="0"/>
        <w:rPr>
          <w:lang w:val="fi-FI"/>
        </w:rPr>
      </w:pPr>
      <w:r>
        <w:rPr>
          <w:i w:val="false"/>
          <w:iCs w:val="false"/>
          <w:lang w:val="fi-FI"/>
        </w:rPr>
        <w:t>This is 2047 for the following PHYs: SUN, TVWS, RCC, LECIM FSK, and MSK with a 2000 kb/s data rate. For LECIM DSSS PHY, refer to phyLecimDsssPsduSize. For the HRP UWB PHY, refer to phyHrpUwbPsduSize.</w:t>
      </w:r>
    </w:p>
    <w:p>
      <w:pPr>
        <w:pStyle w:val="Text"/>
        <w:ind w:left="720" w:hanging="0"/>
        <w:rPr>
          <w:lang w:val="fi-FI"/>
        </w:rPr>
      </w:pPr>
      <w:r>
        <w:rPr>
          <w:i w:val="false"/>
          <w:iCs w:val="false"/>
          <w:lang w:val="fi-FI"/>
        </w:rPr>
        <w:t>127 for all other PHYs.</w:t>
      </w:r>
    </w:p>
    <w:p>
      <w:pPr>
        <w:pStyle w:val="IEEEheading"/>
        <w:numPr>
          <w:ilvl w:val="1"/>
          <w:numId w:val="1"/>
        </w:numPr>
        <w:rPr/>
      </w:pPr>
      <w:r>
        <w:rPr/>
        <w:t>Association</w:t>
      </w:r>
    </w:p>
    <w:p>
      <w:pPr>
        <w:pStyle w:val="Text"/>
        <w:rPr>
          <w:lang w:val="fi-FI"/>
        </w:rPr>
      </w:pPr>
      <w:r>
        <w:rPr>
          <w:lang w:val="fi-FI"/>
        </w:rPr>
        <w:t>In 6.4.1 remove following sentence from Table 6-4 describing short address of 0xffff:</w:t>
      </w:r>
    </w:p>
    <w:p>
      <w:pPr>
        <w:pStyle w:val="Text"/>
        <w:ind w:left="408" w:hanging="0"/>
        <w:rPr>
          <w:lang w:val="fi-FI"/>
        </w:rPr>
      </w:pPr>
      <w:r>
        <w:rPr>
          <w:lang w:val="fi-FI"/>
        </w:rPr>
        <w:t xml:space="preserve">The device is not associated and, therefore, shall not perform any Data frame communication. </w:t>
      </w:r>
    </w:p>
    <w:p>
      <w:pPr>
        <w:pStyle w:val="Text"/>
        <w:ind w:hanging="0"/>
        <w:rPr>
          <w:lang w:val="fi-FI"/>
        </w:rPr>
      </w:pPr>
      <w:r>
        <w:rPr>
          <w:lang w:val="fi-FI"/>
        </w:rPr>
        <w:t>Changed ”next higher layer shall attempt” to ”next higher layer will attempt”.</w:t>
      </w:r>
    </w:p>
    <w:p>
      <w:pPr>
        <w:pStyle w:val="Text"/>
        <w:ind w:hanging="0"/>
        <w:rPr>
          <w:lang w:val="fi-FI"/>
        </w:rPr>
      </w:pPr>
      <w:r>
        <w:rPr>
          <w:lang w:val="fi-FI"/>
        </w:rPr>
        <w:t>Changed ”next higher layer shall request” to ”next higher layer will request”.</w:t>
      </w:r>
    </w:p>
    <w:p>
      <w:pPr>
        <w:pStyle w:val="Text"/>
        <w:ind w:hanging="0"/>
        <w:rPr>
          <w:lang w:val="fi-FI"/>
        </w:rPr>
      </w:pPr>
      <w:r>
        <w:rPr>
          <w:lang w:val="fi-FI"/>
        </w:rPr>
        <w:t>Changed ”next higher layer shall try to associate… and shall not attempt” to ”next higher layer tries to associate … and will not attempt”</w:t>
      </w:r>
    </w:p>
    <w:p>
      <w:pPr>
        <w:pStyle w:val="IEEEheading"/>
        <w:numPr>
          <w:ilvl w:val="1"/>
          <w:numId w:val="1"/>
        </w:numPr>
        <w:rPr/>
      </w:pPr>
      <w:r>
        <w:rPr/>
        <w:t>ChannelPage</w:t>
      </w:r>
    </w:p>
    <w:p>
      <w:pPr>
        <w:pStyle w:val="Text"/>
        <w:rPr>
          <w:lang w:val="fi-FI"/>
        </w:rPr>
      </w:pPr>
      <w:r>
        <w:rPr>
          <w:lang w:val="fi-FI"/>
        </w:rPr>
        <w:t>Created a table listing all channel pages, and removed them from the section 10.</w:t>
      </w:r>
    </w:p>
    <w:tbl>
      <w:tblPr>
        <w:tblW w:w="8380" w:type="dxa"/>
        <w:jc w:val="center"/>
        <w:tblInd w:w="0" w:type="dxa"/>
        <w:tblCellMar>
          <w:top w:w="120" w:type="dxa"/>
          <w:left w:w="120" w:type="dxa"/>
          <w:bottom w:w="60" w:type="dxa"/>
          <w:right w:w="120" w:type="dxa"/>
        </w:tblCellMar>
      </w:tblPr>
      <w:tblGrid>
        <w:gridCol w:w="900"/>
        <w:gridCol w:w="2318"/>
        <w:gridCol w:w="2080"/>
        <w:gridCol w:w="3081"/>
      </w:tblGrid>
      <w:tr>
        <w:trPr/>
        <w:tc>
          <w:tcPr>
            <w:tcW w:w="8379" w:type="dxa"/>
            <w:gridSpan w:val="4"/>
            <w:tcBorders/>
            <w:shd w:fill="auto" w:val="clear"/>
            <w:vAlign w:val="center"/>
          </w:tcPr>
          <w:p>
            <w:pPr>
              <w:pStyle w:val="TableTitle"/>
              <w:tabs>
                <w:tab w:val="clear" w:pos="720"/>
              </w:tabs>
              <w:suppressAutoHyphens w:val="false"/>
              <w:spacing w:lineRule="atLeast" w:line="240" w:before="0" w:after="0"/>
              <w:rPr/>
            </w:pPr>
            <w:r>
              <w:rPr>
                <w:rFonts w:ascii="Arial" w:hAnsi="Arial"/>
                <w:caps w:val="false"/>
                <w:smallCaps w:val="false"/>
                <w:w w:val="100"/>
                <w:sz w:val="20"/>
              </w:rPr>
              <w:t>List of Channel pages</w:t>
            </w:r>
          </w:p>
        </w:tc>
      </w:tr>
      <w:tr>
        <w:trPr/>
        <w:tc>
          <w:tcPr>
            <w:tcW w:w="900" w:type="dxa"/>
            <w:tcBorders>
              <w:top w:val="single" w:sz="10" w:space="0" w:color="000000"/>
              <w:left w:val="single" w:sz="10" w:space="0" w:color="000000"/>
              <w:bottom w:val="single" w:sz="10" w:space="0" w:color="000000"/>
              <w:right w:val="single" w:sz="2" w:space="0" w:color="000000"/>
            </w:tcBorders>
            <w:shd w:fill="auto" w:val="clear"/>
            <w:tcMar>
              <w:top w:w="160" w:type="dxa"/>
              <w:bottom w:w="100" w:type="dxa"/>
            </w:tcMar>
            <w:vAlign w:val="center"/>
          </w:tcPr>
          <w:p>
            <w:pPr>
              <w:pStyle w:val="CellHeading"/>
              <w:tabs>
                <w:tab w:val="clear" w:pos="720"/>
              </w:tabs>
              <w:spacing w:lineRule="atLeast" w:line="200"/>
              <w:ind w:left="0" w:right="0" w:hanging="0"/>
              <w:rPr>
                <w:b w:val="false"/>
                <w:b w:val="false"/>
              </w:rPr>
            </w:pPr>
            <w:r>
              <w:rPr>
                <w:b/>
                <w:caps w:val="false"/>
                <w:smallCaps w:val="false"/>
                <w:w w:val="100"/>
                <w:sz w:val="16"/>
                <w:szCs w:val="16"/>
              </w:rPr>
              <w:t>Channel Page</w:t>
            </w:r>
          </w:p>
        </w:tc>
        <w:tc>
          <w:tcPr>
            <w:tcW w:w="2318" w:type="dxa"/>
            <w:tcBorders>
              <w:top w:val="single" w:sz="10" w:space="0" w:color="000000"/>
              <w:left w:val="single" w:sz="2" w:space="0" w:color="000000"/>
              <w:bottom w:val="single" w:sz="10" w:space="0" w:color="000000"/>
              <w:right w:val="single" w:sz="2" w:space="0" w:color="000000"/>
            </w:tcBorders>
            <w:shd w:fill="auto" w:val="clear"/>
            <w:tcMar>
              <w:top w:w="160" w:type="dxa"/>
              <w:bottom w:w="100" w:type="dxa"/>
            </w:tcMar>
            <w:vAlign w:val="center"/>
          </w:tcPr>
          <w:p>
            <w:pPr>
              <w:pStyle w:val="CellHeading"/>
              <w:tabs>
                <w:tab w:val="clear" w:pos="720"/>
              </w:tabs>
              <w:spacing w:lineRule="atLeast" w:line="200"/>
              <w:ind w:left="0" w:right="0" w:hanging="0"/>
              <w:rPr>
                <w:b w:val="false"/>
                <w:b w:val="false"/>
              </w:rPr>
            </w:pPr>
            <w:r>
              <w:rPr>
                <w:b/>
                <w:caps w:val="false"/>
                <w:smallCaps w:val="false"/>
                <w:w w:val="100"/>
                <w:sz w:val="16"/>
                <w:szCs w:val="16"/>
              </w:rPr>
              <w:t>PHY</w:t>
            </w:r>
          </w:p>
        </w:tc>
        <w:tc>
          <w:tcPr>
            <w:tcW w:w="2080" w:type="dxa"/>
            <w:tcBorders>
              <w:top w:val="single" w:sz="10" w:space="0" w:color="000000"/>
              <w:left w:val="single" w:sz="2" w:space="0" w:color="000000"/>
              <w:bottom w:val="single" w:sz="10" w:space="0" w:color="000000"/>
              <w:right w:val="single" w:sz="2" w:space="0" w:color="000000"/>
            </w:tcBorders>
            <w:shd w:fill="auto" w:val="clear"/>
            <w:tcMar>
              <w:top w:w="160" w:type="dxa"/>
              <w:bottom w:w="100" w:type="dxa"/>
            </w:tcMar>
            <w:vAlign w:val="center"/>
          </w:tcPr>
          <w:p>
            <w:pPr>
              <w:pStyle w:val="CellHeading"/>
              <w:tabs>
                <w:tab w:val="clear" w:pos="720"/>
              </w:tabs>
              <w:spacing w:lineRule="atLeast" w:line="200"/>
              <w:ind w:left="0" w:right="0" w:hanging="0"/>
              <w:rPr>
                <w:b w:val="false"/>
                <w:b w:val="false"/>
              </w:rPr>
            </w:pPr>
            <w:r>
              <w:rPr>
                <w:b/>
                <w:caps w:val="false"/>
                <w:smallCaps w:val="false"/>
                <w:w w:val="100"/>
                <w:sz w:val="16"/>
                <w:szCs w:val="16"/>
              </w:rPr>
              <w:t>Band</w:t>
            </w:r>
          </w:p>
        </w:tc>
        <w:tc>
          <w:tcPr>
            <w:tcW w:w="3081" w:type="dxa"/>
            <w:tcBorders>
              <w:top w:val="single" w:sz="10" w:space="0" w:color="000000"/>
              <w:left w:val="single" w:sz="2" w:space="0" w:color="000000"/>
              <w:bottom w:val="single" w:sz="10" w:space="0" w:color="000000"/>
              <w:right w:val="single" w:sz="10" w:space="0" w:color="000000"/>
            </w:tcBorders>
            <w:shd w:fill="auto" w:val="clear"/>
            <w:tcMar>
              <w:top w:w="160" w:type="dxa"/>
              <w:bottom w:w="100" w:type="dxa"/>
            </w:tcMar>
            <w:vAlign w:val="center"/>
          </w:tcPr>
          <w:p>
            <w:pPr>
              <w:pStyle w:val="CellHeading"/>
              <w:tabs>
                <w:tab w:val="clear" w:pos="720"/>
              </w:tabs>
              <w:spacing w:lineRule="atLeast" w:line="200"/>
              <w:ind w:left="0" w:right="0" w:hanging="0"/>
              <w:rPr>
                <w:b w:val="false"/>
                <w:b w:val="false"/>
              </w:rPr>
            </w:pPr>
            <w:r>
              <w:rPr>
                <w:b/>
                <w:caps w:val="false"/>
                <w:smallCaps w:val="false"/>
                <w:w w:val="100"/>
                <w:sz w:val="16"/>
                <w:szCs w:val="16"/>
              </w:rPr>
              <w:t>Description</w:t>
            </w:r>
          </w:p>
        </w:tc>
      </w:tr>
      <w:tr>
        <w:trPr/>
        <w:tc>
          <w:tcPr>
            <w:tcW w:w="900" w:type="dxa"/>
            <w:vMerge w:val="restart"/>
            <w:tcBorders>
              <w:left w:val="single" w:sz="10"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t>0</w:t>
            </w:r>
          </w:p>
        </w:tc>
        <w:tc>
          <w:tcPr>
            <w:tcW w:w="2318"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BPSK</w:t>
            </w:r>
          </w:p>
        </w:tc>
        <w:tc>
          <w:tcPr>
            <w:tcW w:w="2080"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868 MHz, 915 MHz</w:t>
            </w:r>
          </w:p>
        </w:tc>
        <w:tc>
          <w:tcPr>
            <w:tcW w:w="3081" w:type="dxa"/>
            <w:vMerge w:val="restart"/>
            <w:tcBorders>
              <w:left w:val="single" w:sz="2" w:space="0" w:color="000000"/>
              <w:bottom w:val="single" w:sz="2" w:space="0" w:color="000000"/>
              <w:right w:val="single" w:sz="10"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p>
            <w:pPr>
              <w:pStyle w:val="Text"/>
              <w:keepNext w:val="false"/>
              <w:widowControl w:val="false"/>
              <w:suppressAutoHyphens w:val="false"/>
              <w:spacing w:lineRule="auto" w:line="240" w:before="120" w:after="120"/>
              <w:rPr>
                <w:b w:val="false"/>
                <w:b w:val="false"/>
              </w:rPr>
            </w:pPr>
            <w:r>
              <w:rPr>
                <w:sz w:val="18"/>
                <w:szCs w:val="18"/>
              </w:rPr>
              <w:t>Channels defined in IEEE Std 802.15-4-2003.</w:t>
            </w:r>
          </w:p>
        </w:tc>
      </w:tr>
      <w:tr>
        <w:trPr/>
        <w:tc>
          <w:tcPr>
            <w:tcW w:w="900" w:type="dxa"/>
            <w:vMerge w:val="continue"/>
            <w:tcBorders>
              <w:left w:val="single" w:sz="10" w:space="0" w:color="000000"/>
              <w:bottom w:val="single" w:sz="2" w:space="0" w:color="000000"/>
              <w:right w:val="single" w:sz="2" w:space="0" w:color="000000"/>
            </w:tcBorders>
            <w:shd w:fill="auto" w:val="clear"/>
          </w:tcPr>
          <w:p>
            <w:pPr>
              <w:pStyle w:val="HeadingRunIn"/>
              <w:keepNext w:val="false"/>
              <w:widowControl w:val="false"/>
              <w:suppressAutoHyphens w:val="false"/>
              <w:spacing w:lineRule="auto" w:line="240" w:before="0" w:after="0"/>
              <w:rPr>
                <w:rFonts w:ascii="Symbol" w:hAnsi="Symbol"/>
                <w:b w:val="false"/>
                <w:b w:val="false"/>
                <w:sz w:val="18"/>
                <w:szCs w:val="18"/>
              </w:rPr>
            </w:pPr>
            <w:r>
              <w:rPr>
                <w:rFonts w:ascii="Symbol" w:hAnsi="Symbol"/>
                <w:b w:val="false"/>
                <w:sz w:val="18"/>
                <w:szCs w:val="18"/>
              </w:rPr>
            </w:r>
          </w:p>
        </w:tc>
        <w:tc>
          <w:tcPr>
            <w:tcW w:w="2318"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O-QPSK</w:t>
            </w:r>
          </w:p>
        </w:tc>
        <w:tc>
          <w:tcPr>
            <w:tcW w:w="2080"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2450 MHz</w:t>
            </w:r>
          </w:p>
        </w:tc>
        <w:tc>
          <w:tcPr>
            <w:tcW w:w="3081" w:type="dxa"/>
            <w:vMerge w:val="continue"/>
            <w:tcBorders>
              <w:top w:val="single" w:sz="10" w:space="0" w:color="000000"/>
              <w:left w:val="single" w:sz="2" w:space="0" w:color="000000"/>
              <w:bottom w:val="single" w:sz="2" w:space="0" w:color="000000"/>
              <w:right w:val="single" w:sz="10" w:space="0" w:color="000000"/>
            </w:tcBorders>
            <w:shd w:fill="auto" w:val="clear"/>
          </w:tcPr>
          <w:p>
            <w:pPr>
              <w:pStyle w:val="Body"/>
              <w:keepNext w:val="false"/>
              <w:widowControl w:val="false"/>
              <w:suppressAutoHyphens w:val="false"/>
              <w:spacing w:lineRule="auto" w:line="240" w:before="0" w:after="0"/>
              <w:rPr>
                <w:rFonts w:ascii="Symbol" w:hAnsi="Symbol"/>
                <w:b w:val="false"/>
                <w:b w:val="false"/>
                <w:sz w:val="18"/>
                <w:szCs w:val="18"/>
              </w:rPr>
            </w:pPr>
            <w:r>
              <w:rPr>
                <w:rFonts w:ascii="Symbol" w:hAnsi="Symbol"/>
                <w:b w:val="false"/>
                <w:sz w:val="18"/>
                <w:szCs w:val="18"/>
              </w:rPr>
            </w:r>
          </w:p>
        </w:tc>
      </w:tr>
      <w:tr>
        <w:trPr/>
        <w:tc>
          <w:tcPr>
            <w:tcW w:w="900" w:type="dxa"/>
            <w:tcBorders>
              <w:left w:val="single" w:sz="10"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2</w:t>
            </w:r>
          </w:p>
        </w:tc>
        <w:tc>
          <w:tcPr>
            <w:tcW w:w="2318"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O-QPSK</w:t>
            </w:r>
          </w:p>
        </w:tc>
        <w:tc>
          <w:tcPr>
            <w:tcW w:w="2080"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868 MHz, 915 MHz</w:t>
            </w:r>
          </w:p>
        </w:tc>
        <w:tc>
          <w:tcPr>
            <w:tcW w:w="3081" w:type="dxa"/>
            <w:tcBorders>
              <w:left w:val="single" w:sz="2" w:space="0" w:color="000000"/>
              <w:bottom w:val="single" w:sz="2" w:space="0" w:color="000000"/>
              <w:right w:val="single" w:sz="10"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r>
      <w:tr>
        <w:trPr/>
        <w:tc>
          <w:tcPr>
            <w:tcW w:w="900" w:type="dxa"/>
            <w:tcBorders>
              <w:left w:val="single" w:sz="10"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3</w:t>
            </w:r>
          </w:p>
        </w:tc>
        <w:tc>
          <w:tcPr>
            <w:tcW w:w="2318"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CSS</w:t>
            </w:r>
          </w:p>
        </w:tc>
        <w:tc>
          <w:tcPr>
            <w:tcW w:w="2080"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2450 MHz</w:t>
            </w:r>
          </w:p>
        </w:tc>
        <w:tc>
          <w:tcPr>
            <w:tcW w:w="3081" w:type="dxa"/>
            <w:tcBorders>
              <w:left w:val="single" w:sz="2" w:space="0" w:color="000000"/>
              <w:bottom w:val="single" w:sz="2" w:space="0" w:color="000000"/>
              <w:right w:val="single" w:sz="10"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r>
      <w:tr>
        <w:trPr/>
        <w:tc>
          <w:tcPr>
            <w:tcW w:w="900" w:type="dxa"/>
            <w:tcBorders>
              <w:left w:val="single" w:sz="10"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4</w:t>
            </w:r>
          </w:p>
        </w:tc>
        <w:tc>
          <w:tcPr>
            <w:tcW w:w="2318"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UWB</w:t>
            </w:r>
          </w:p>
        </w:tc>
        <w:tc>
          <w:tcPr>
            <w:tcW w:w="2080"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c>
          <w:tcPr>
            <w:tcW w:w="3081" w:type="dxa"/>
            <w:tcBorders>
              <w:left w:val="single" w:sz="2" w:space="0" w:color="000000"/>
              <w:bottom w:val="single" w:sz="2" w:space="0" w:color="000000"/>
              <w:right w:val="single" w:sz="10"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r>
      <w:tr>
        <w:trPr/>
        <w:tc>
          <w:tcPr>
            <w:tcW w:w="900" w:type="dxa"/>
            <w:tcBorders>
              <w:left w:val="single" w:sz="10"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5</w:t>
            </w:r>
          </w:p>
        </w:tc>
        <w:tc>
          <w:tcPr>
            <w:tcW w:w="2318"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O-QPSK</w:t>
            </w:r>
          </w:p>
        </w:tc>
        <w:tc>
          <w:tcPr>
            <w:tcW w:w="2080"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780 MHz</w:t>
            </w:r>
          </w:p>
        </w:tc>
        <w:tc>
          <w:tcPr>
            <w:tcW w:w="3081" w:type="dxa"/>
            <w:tcBorders>
              <w:left w:val="single" w:sz="2" w:space="0" w:color="000000"/>
              <w:bottom w:val="single" w:sz="2" w:space="0" w:color="000000"/>
              <w:right w:val="single" w:sz="10"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r>
      <w:tr>
        <w:trPr/>
        <w:tc>
          <w:tcPr>
            <w:tcW w:w="900" w:type="dxa"/>
            <w:tcBorders>
              <w:left w:val="single" w:sz="10"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7</w:t>
            </w:r>
          </w:p>
        </w:tc>
        <w:tc>
          <w:tcPr>
            <w:tcW w:w="2318"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MSK</w:t>
            </w:r>
          </w:p>
        </w:tc>
        <w:tc>
          <w:tcPr>
            <w:tcW w:w="2080"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433 MHz, 2450 MHz</w:t>
            </w:r>
          </w:p>
        </w:tc>
        <w:tc>
          <w:tcPr>
            <w:tcW w:w="3081" w:type="dxa"/>
            <w:tcBorders>
              <w:left w:val="single" w:sz="2" w:space="0" w:color="000000"/>
              <w:bottom w:val="single" w:sz="2" w:space="0" w:color="000000"/>
              <w:right w:val="single" w:sz="10"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r>
      <w:tr>
        <w:trPr/>
        <w:tc>
          <w:tcPr>
            <w:tcW w:w="900" w:type="dxa"/>
            <w:tcBorders>
              <w:left w:val="single" w:sz="10"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8</w:t>
            </w:r>
          </w:p>
        </w:tc>
        <w:tc>
          <w:tcPr>
            <w:tcW w:w="2318"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LRP UWB</w:t>
            </w:r>
          </w:p>
        </w:tc>
        <w:tc>
          <w:tcPr>
            <w:tcW w:w="2080"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c>
          <w:tcPr>
            <w:tcW w:w="3081" w:type="dxa"/>
            <w:tcBorders>
              <w:left w:val="single" w:sz="2" w:space="0" w:color="000000"/>
              <w:bottom w:val="single" w:sz="2" w:space="0" w:color="000000"/>
              <w:right w:val="single" w:sz="10"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r>
      <w:tr>
        <w:trPr/>
        <w:tc>
          <w:tcPr>
            <w:tcW w:w="900" w:type="dxa"/>
            <w:tcBorders>
              <w:left w:val="single" w:sz="10"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9</w:t>
            </w:r>
          </w:p>
        </w:tc>
        <w:tc>
          <w:tcPr>
            <w:tcW w:w="2318"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pPr>
            <w:r>
              <w:rPr>
                <w:sz w:val="18"/>
                <w:szCs w:val="18"/>
              </w:rPr>
              <w:t>SUN PHYs</w:t>
            </w:r>
            <w:r>
              <w:rPr>
                <w:b w:val="false"/>
                <w:sz w:val="18"/>
                <w:szCs w:val="18"/>
              </w:rPr>
              <w:t xml:space="preserve">, </w:t>
            </w:r>
            <w:r>
              <w:rPr>
                <w:b w:val="false"/>
                <w:sz w:val="18"/>
                <w:szCs w:val="18"/>
              </w:rPr>
              <w:t>TVWS PHYs</w:t>
            </w:r>
          </w:p>
        </w:tc>
        <w:tc>
          <w:tcPr>
            <w:tcW w:w="2080"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c>
          <w:tcPr>
            <w:tcW w:w="3081" w:type="dxa"/>
            <w:tcBorders>
              <w:left w:val="single" w:sz="2" w:space="0" w:color="000000"/>
              <w:bottom w:val="single" w:sz="2" w:space="0" w:color="000000"/>
              <w:right w:val="single" w:sz="10"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r>
      <w:tr>
        <w:trPr/>
        <w:tc>
          <w:tcPr>
            <w:tcW w:w="900" w:type="dxa"/>
            <w:tcBorders>
              <w:left w:val="single" w:sz="10"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10</w:t>
            </w:r>
          </w:p>
        </w:tc>
        <w:tc>
          <w:tcPr>
            <w:tcW w:w="2318"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SUN FSK Generic PHY</w:t>
            </w:r>
          </w:p>
        </w:tc>
        <w:tc>
          <w:tcPr>
            <w:tcW w:w="2080"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c>
          <w:tcPr>
            <w:tcW w:w="3081" w:type="dxa"/>
            <w:tcBorders>
              <w:left w:val="single" w:sz="2" w:space="0" w:color="000000"/>
              <w:bottom w:val="single" w:sz="2" w:space="0" w:color="000000"/>
              <w:right w:val="single" w:sz="10"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r>
      <w:tr>
        <w:trPr/>
        <w:tc>
          <w:tcPr>
            <w:tcW w:w="900" w:type="dxa"/>
            <w:tcBorders>
              <w:left w:val="single" w:sz="10"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11</w:t>
            </w:r>
          </w:p>
        </w:tc>
        <w:tc>
          <w:tcPr>
            <w:tcW w:w="2318"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O-QPSK</w:t>
            </w:r>
          </w:p>
        </w:tc>
        <w:tc>
          <w:tcPr>
            <w:tcW w:w="2080"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2380 MHz</w:t>
            </w:r>
          </w:p>
        </w:tc>
        <w:tc>
          <w:tcPr>
            <w:tcW w:w="3081" w:type="dxa"/>
            <w:tcBorders>
              <w:left w:val="single" w:sz="2" w:space="0" w:color="000000"/>
              <w:bottom w:val="single" w:sz="2" w:space="0" w:color="000000"/>
              <w:right w:val="single" w:sz="10"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r>
      <w:tr>
        <w:trPr/>
        <w:tc>
          <w:tcPr>
            <w:tcW w:w="900" w:type="dxa"/>
            <w:tcBorders>
              <w:left w:val="single" w:sz="10"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12</w:t>
            </w:r>
          </w:p>
        </w:tc>
        <w:tc>
          <w:tcPr>
            <w:tcW w:w="2318"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LECIM PHY</w:t>
            </w:r>
          </w:p>
        </w:tc>
        <w:tc>
          <w:tcPr>
            <w:tcW w:w="2080" w:type="dxa"/>
            <w:tcBorders>
              <w:left w:val="single" w:sz="2" w:space="0" w:color="000000"/>
              <w:bottom w:val="single" w:sz="2" w:space="0" w:color="000000"/>
              <w:right w:val="single" w:sz="2"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c>
          <w:tcPr>
            <w:tcW w:w="3081" w:type="dxa"/>
            <w:tcBorders>
              <w:left w:val="single" w:sz="2" w:space="0" w:color="000000"/>
              <w:bottom w:val="single" w:sz="2" w:space="0" w:color="000000"/>
              <w:right w:val="single" w:sz="10"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r>
      <w:tr>
        <w:trPr/>
        <w:tc>
          <w:tcPr>
            <w:tcW w:w="900" w:type="dxa"/>
            <w:tcBorders>
              <w:left w:val="single" w:sz="10" w:space="0" w:color="000000"/>
              <w:bottom w:val="single" w:sz="10"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13</w:t>
            </w:r>
          </w:p>
        </w:tc>
        <w:tc>
          <w:tcPr>
            <w:tcW w:w="2318" w:type="dxa"/>
            <w:tcBorders>
              <w:left w:val="single" w:sz="2" w:space="0" w:color="000000"/>
              <w:bottom w:val="single" w:sz="10" w:space="0" w:color="000000"/>
              <w:right w:val="single" w:sz="2" w:space="0" w:color="000000"/>
            </w:tcBorders>
            <w:shd w:fill="auto" w:val="clear"/>
          </w:tcPr>
          <w:p>
            <w:pPr>
              <w:pStyle w:val="Text"/>
              <w:keepNext w:val="false"/>
              <w:widowControl w:val="false"/>
              <w:suppressAutoHyphens w:val="false"/>
              <w:spacing w:lineRule="auto" w:line="240" w:before="120" w:after="120"/>
              <w:rPr>
                <w:b w:val="false"/>
                <w:b w:val="false"/>
              </w:rPr>
            </w:pPr>
            <w:r>
              <w:rPr>
                <w:sz w:val="18"/>
                <w:szCs w:val="18"/>
              </w:rPr>
              <w:t>RCC PHY</w:t>
            </w:r>
          </w:p>
        </w:tc>
        <w:tc>
          <w:tcPr>
            <w:tcW w:w="2080" w:type="dxa"/>
            <w:tcBorders>
              <w:left w:val="single" w:sz="2" w:space="0" w:color="000000"/>
              <w:bottom w:val="single" w:sz="10" w:space="0" w:color="000000"/>
              <w:right w:val="single" w:sz="2"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c>
          <w:tcPr>
            <w:tcW w:w="3081" w:type="dxa"/>
            <w:tcBorders>
              <w:left w:val="single" w:sz="2" w:space="0" w:color="000000"/>
              <w:bottom w:val="single" w:sz="10" w:space="0" w:color="000000"/>
              <w:right w:val="single" w:sz="10" w:space="0" w:color="000000"/>
            </w:tcBorders>
            <w:shd w:fill="auto" w:val="clear"/>
          </w:tcPr>
          <w:p>
            <w:pPr>
              <w:pStyle w:val="Text"/>
              <w:keepNext w:val="false"/>
              <w:widowControl w:val="false"/>
              <w:suppressAutoHyphens w:val="false"/>
              <w:spacing w:lineRule="auto" w:line="240" w:before="120" w:after="120"/>
              <w:rPr>
                <w:sz w:val="18"/>
                <w:szCs w:val="18"/>
              </w:rPr>
            </w:pPr>
            <w:r>
              <w:rPr>
                <w:sz w:val="18"/>
                <w:szCs w:val="18"/>
              </w:rPr>
            </w:r>
          </w:p>
        </w:tc>
      </w:tr>
    </w:tbl>
    <w:p>
      <w:pPr>
        <w:pStyle w:val="HeadingRunIn"/>
        <w:spacing w:before="0" w:after="0"/>
        <w:rPr>
          <w:b w:val="false"/>
          <w:b w:val="false"/>
          <w:sz w:val="20"/>
        </w:rPr>
      </w:pPr>
      <w:r>
        <w:rPr>
          <w:b w:val="false"/>
          <w:sz w:val="20"/>
        </w:rPr>
      </w:r>
    </w:p>
    <w:p>
      <w:pPr>
        <w:pStyle w:val="Normal"/>
        <w:rPr>
          <w:lang w:val="fi-FI"/>
        </w:rPr>
      </w:pPr>
      <w:r>
        <w:rPr>
          <w:lang w:val="fi-FI"/>
        </w:rPr>
      </w:r>
    </w:p>
    <w:p>
      <w:pPr>
        <w:pStyle w:val="Text"/>
        <w:rPr>
          <w:lang w:val="fi-FI"/>
        </w:rPr>
      </w:pPr>
      <w:r>
        <w:rPr>
          <w:lang w:val="fi-FI"/>
        </w:rPr>
      </w:r>
    </w:p>
    <w:p>
      <w:pPr>
        <w:pStyle w:val="IEEEheading"/>
        <w:numPr>
          <w:ilvl w:val="1"/>
          <w:numId w:val="1"/>
        </w:numPr>
        <w:rPr/>
      </w:pPr>
      <w:r>
        <w:rPr/>
        <w:t>Open issues</w:t>
      </w:r>
    </w:p>
    <w:p>
      <w:pPr>
        <w:pStyle w:val="Text"/>
        <w:rPr>
          <w:highlight w:val="yellow"/>
        </w:rPr>
      </w:pPr>
      <w:r>
        <w:rPr>
          <w:highlight w:val="yellow"/>
        </w:rPr>
        <w:t>Table 10-7 refers to ASK, should it be TASK?</w:t>
      </w:r>
    </w:p>
    <w:p>
      <w:pPr>
        <w:pStyle w:val="Text"/>
        <w:rPr/>
      </w:pPr>
      <w:r>
        <w:rPr>
          <w:highlight w:val="yellow"/>
        </w:rPr>
        <w:t>Section 10 list of phys do not include RS-GFSK or TASK.</w:t>
      </w:r>
    </w:p>
    <w:p>
      <w:pPr>
        <w:pStyle w:val="Text"/>
        <w:rPr>
          <w:highlight w:val="yellow"/>
          <w:lang w:val="fi-FI"/>
        </w:rPr>
      </w:pPr>
      <w:bookmarkStart w:id="0" w:name="RTF37333733383a205461626c65"/>
      <w:bookmarkEnd w:id="0"/>
      <w:r>
        <w:rPr>
          <w:highlight w:val="yellow"/>
          <w:lang w:val="fi-FI"/>
        </w:rPr>
        <w:t>GFSK PHY on 920 Mhz band does not have channel page.</w:t>
      </w:r>
    </w:p>
    <w:p>
      <w:pPr>
        <w:pStyle w:val="Text"/>
        <w:rPr>
          <w:highlight w:val="yellow"/>
          <w:lang w:val="fi-FI"/>
        </w:rPr>
      </w:pPr>
      <w:r>
        <w:rPr>
          <w:highlight w:val="yellow"/>
          <w:lang w:val="fi-FI"/>
        </w:rPr>
        <w:t>CMB PHYs do not have channel page.</w:t>
      </w:r>
    </w:p>
    <w:p>
      <w:pPr>
        <w:pStyle w:val="Text"/>
        <w:rPr>
          <w:highlight w:val="yellow"/>
          <w:lang w:val="fi-FI"/>
        </w:rPr>
      </w:pPr>
      <w:r>
        <w:rPr>
          <w:highlight w:val="yellow"/>
          <w:lang w:val="fi-FI"/>
        </w:rPr>
        <w:t>TASK PHY does not have channel page.</w:t>
      </w:r>
    </w:p>
    <w:p>
      <w:pPr>
        <w:pStyle w:val="Text"/>
        <w:spacing w:before="120" w:after="120"/>
        <w:rPr/>
      </w:pPr>
      <w:r>
        <w:rPr>
          <w:highlight w:val="yellow"/>
          <w:lang w:val="fi-FI"/>
        </w:rPr>
        <w:t xml:space="preserve">RS-GFSK does not have channel page. </w:t>
      </w:r>
    </w:p>
    <w:sectPr>
      <w:headerReference w:type="default" r:id="rId2"/>
      <w:footerReference w:type="default" r:id="rId3"/>
      <w:type w:val="nextPage"/>
      <w:pgSz w:w="12240" w:h="15840"/>
      <w:pgMar w:left="1440" w:right="1440" w:header="1296" w:top="1800" w:footer="1296" w:bottom="18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 w:name="Symbo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PAGE </w:instrText>
    </w:r>
    <w:r>
      <w:rPr/>
      <w:fldChar w:fldCharType="separate"/>
    </w:r>
    <w:r>
      <w:rPr/>
      <w:t>9</w:t>
    </w:r>
    <w:r>
      <w:rPr/>
      <w:fldChar w:fldCharType="end"/>
    </w:r>
    <w:r>
      <w:rPr/>
      <w:tab/>
      <w:t xml:space="preserve">Tero Kivinen (Self) </w:t>
    </w:r>
    <w:r>
      <w:rPr/>
      <w:fldChar w:fldCharType="begin"/>
    </w:r>
    <w:r>
      <w:rPr/>
      <w:instrText>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6" w:space="0" w:color="000000"/>
      </w:pBdr>
      <w:tabs>
        <w:tab w:val="clear" w:pos="4320"/>
        <w:tab w:val="clear" w:pos="8640"/>
        <w:tab w:val="right" w:pos="9270" w:leader="none"/>
      </w:tabs>
      <w:spacing w:before="0" w:after="360"/>
      <w:jc w:val="both"/>
      <w:rPr/>
    </w:pPr>
    <w:r>
      <w:rPr>
        <w:b/>
        <w:sz w:val="28"/>
      </w:rPr>
      <w:fldChar w:fldCharType="begin"/>
    </w:r>
    <w:r>
      <w:rPr>
        <w:sz w:val="28"/>
        <w:b/>
      </w:rPr>
      <w:instrText> DATE \@"MMM\ yyyy" </w:instrText>
    </w:r>
    <w:r>
      <w:rPr>
        <w:sz w:val="28"/>
        <w:b/>
      </w:rPr>
      <w:fldChar w:fldCharType="separate"/>
    </w:r>
    <w:r>
      <w:rPr>
        <w:sz w:val="28"/>
        <w:b/>
      </w:rPr>
      <w:t>Mar 2023</w:t>
    </w:r>
    <w:r>
      <w:rPr>
        <w:sz w:val="28"/>
        <w:b/>
      </w:rPr>
      <w:fldChar w:fldCharType="end"/>
    </w:r>
    <w:r>
      <w:rPr>
        <w:b/>
        <w:sz w:val="28"/>
      </w:rPr>
      <w:tab/>
      <w:t xml:space="preserve"> IEEE P802.15 - 15-23-0112-0</w:t>
    </w:r>
    <w:r>
      <w:rPr>
        <w:b/>
        <w:sz w:val="28"/>
      </w:rPr>
      <w:t>1</w:t>
    </w:r>
    <w:r>
      <w:rPr>
        <w:b/>
        <w:sz w:val="28"/>
      </w:rPr>
      <w:t>-</w:t>
    </w:r>
    <w:r>
      <w:rPr>
        <w:rFonts w:eastAsia="Times New Roman" w:cs="Times New Roman"/>
        <w:b/>
        <w:color w:val="auto"/>
        <w:kern w:val="0"/>
        <w:sz w:val="28"/>
        <w:szCs w:val="20"/>
        <w:lang w:val="en-US" w:eastAsia="zh-CN" w:bidi="hi-IN"/>
      </w:rPr>
      <w:t>04me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space"/>
      <w:lvlText w:val=" %1 "/>
      <w:lvlJc w:val="left"/>
      <w:pPr>
        <w:ind w:left="720" w:hanging="720"/>
      </w:pPr>
    </w:lvl>
    <w:lvl w:ilvl="1">
      <w:start w:val="1"/>
      <w:numFmt w:val="decimal"/>
      <w:suff w:val="space"/>
      <w:lvlText w:val=" %1.%2 "/>
      <w:lvlJc w:val="left"/>
      <w:pPr>
        <w:ind w:left="1080" w:hanging="1080"/>
      </w:pPr>
    </w:lvl>
    <w:lvl w:ilvl="2">
      <w:start w:val="1"/>
      <w:numFmt w:val="decimal"/>
      <w:suff w:val="space"/>
      <w:lvlText w:val=" %1.%2.%3 "/>
      <w:lvlJc w:val="left"/>
      <w:pPr>
        <w:ind w:left="1440" w:hanging="1440"/>
      </w:pPr>
    </w:lvl>
    <w:lvl w:ilvl="3">
      <w:start w:val="1"/>
      <w:numFmt w:val="decimal"/>
      <w:suff w:val="space"/>
      <w:lvlText w:val=" %1.%2.%3.%4 "/>
      <w:lvlJc w:val="left"/>
      <w:pPr>
        <w:ind w:left="1800" w:hanging="1800"/>
      </w:pPr>
    </w:lvl>
    <w:lvl w:ilvl="4">
      <w:start w:val="1"/>
      <w:numFmt w:val="decimal"/>
      <w:suff w:val="space"/>
      <w:lvlText w:val=" %1.%2.%3.%4.%5 "/>
      <w:lvlJc w:val="left"/>
      <w:pPr>
        <w:ind w:left="2160" w:hanging="2160"/>
      </w:pPr>
    </w:lvl>
    <w:lvl w:ilvl="5">
      <w:start w:val="1"/>
      <w:numFmt w:val="decimal"/>
      <w:suff w:val="space"/>
      <w:lvlText w:val=" %2.%3.%4.%5.%6 "/>
      <w:lvlJc w:val="left"/>
      <w:pPr>
        <w:ind w:left="2520" w:hanging="2520"/>
      </w:pPr>
    </w:lvl>
    <w:lvl w:ilvl="6">
      <w:start w:val="1"/>
      <w:numFmt w:val="decimal"/>
      <w:suff w:val="space"/>
      <w:lvlText w:val=" %3.%4.%5.%6.%7 "/>
      <w:lvlJc w:val="left"/>
      <w:pPr>
        <w:ind w:left="2880" w:hanging="2880"/>
      </w:pPr>
    </w:lvl>
    <w:lvl w:ilvl="7">
      <w:start w:val="1"/>
      <w:numFmt w:val="decimal"/>
      <w:suff w:val="space"/>
      <w:lvlText w:val=" %4.%5.%6.%7.%8 "/>
      <w:lvlJc w:val="left"/>
      <w:pPr>
        <w:ind w:left="3240" w:hanging="3240"/>
      </w:pPr>
    </w:lvl>
    <w:lvl w:ilvl="8">
      <w:start w:val="1"/>
      <w:numFmt w:val="decimal"/>
      <w:suff w:val="space"/>
      <w:lvlText w:val=" %5.%6.%7.%8.%9 "/>
      <w:lvlJc w:val="left"/>
      <w:pPr>
        <w:ind w:left="3600" w:hanging="360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70"/>
  <w:defaultTabStop w:val="720"/>
  <w:compat>
    <w:doNotExpandShiftReturn/>
  </w:compat>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 w:val="20"/>
        <w:szCs w:val="24"/>
        <w:lang w:val="en-US" w:eastAsia="zh-CN" w:bidi="hi-IN"/>
      </w:rPr>
    </w:rPrDefault>
    <w:pPrDefault>
      <w:pPr/>
    </w:pPrDefault>
  </w:docDefaults>
  <w:style w:type="paragraph" w:styleId="Normal">
    <w:name w:val="Normal"/>
    <w:qFormat/>
    <w:pPr>
      <w:widowControl w:val="false"/>
      <w:suppressAutoHyphens w:val="true"/>
      <w:overflowPunct w:val="tru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720"/>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Internet Link"/>
    <w:basedOn w:val="DefaultParagraphFont"/>
    <w:rPr>
      <w:color w:val="0000FF"/>
      <w:u w:val="single"/>
    </w:rPr>
  </w:style>
  <w:style w:type="character" w:styleId="NumberingSymbols">
    <w:name w:val="Numbering Symbols"/>
    <w:qFormat/>
    <w:rPr/>
  </w:style>
  <w:style w:type="character" w:styleId="EquationVariables">
    <w:name w:val="EquationVariables"/>
    <w:qFormat/>
    <w:rPr>
      <w:b w:val="false"/>
      <w:i/>
    </w:rPr>
  </w:style>
  <w:style w:type="character" w:styleId="FootnoteCharacters">
    <w:name w:val="Footnote Characters"/>
    <w:qFormat/>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720"/>
        <w:tab w:val="center" w:pos="4320" w:leader="none"/>
        <w:tab w:val="right" w:pos="8640" w:leader="none"/>
      </w:tabs>
    </w:pPr>
    <w:rPr/>
  </w:style>
  <w:style w:type="paragraph" w:styleId="Header">
    <w:name w:val="Header"/>
    <w:basedOn w:val="Normal"/>
    <w:pPr>
      <w:tabs>
        <w:tab w:val="clear" w:pos="720"/>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i w:val="false"/>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Text"/>
    <w:qFormat/>
    <w:pPr/>
    <w:rPr/>
  </w:style>
  <w:style w:type="paragraph" w:styleId="IEEEHeading1">
    <w:name w:val="IEEE Heading 1"/>
    <w:basedOn w:val="IEEEheading"/>
    <w:qFormat/>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paragraph" w:styleId="HeadingRunIn">
    <w:name w:val="HeadingRunIn"/>
    <w:qFormat/>
    <w:pPr>
      <w:keepNext w:val="true"/>
      <w:widowControl/>
      <w:suppressAutoHyphens w:val="false"/>
      <w:bidi w:val="0"/>
      <w:spacing w:lineRule="atLeast" w:line="280" w:before="120" w:after="0"/>
      <w:jc w:val="left"/>
      <w:textAlignment w:val="auto"/>
    </w:pPr>
    <w:rPr>
      <w:rFonts w:ascii="Times New Roman" w:hAnsi="Times New Roman" w:eastAsia="Marlett" w:cs="Arial"/>
      <w:b/>
      <w:i w:val="false"/>
      <w:strike w:val="false"/>
      <w:dstrike w:val="false"/>
      <w:color w:val="000000"/>
      <w:spacing w:val="0"/>
      <w:w w:val="100"/>
      <w:kern w:val="0"/>
      <w:sz w:val="24"/>
      <w:szCs w:val="24"/>
      <w:u w:val="none"/>
      <w:em w:val="none"/>
      <w:lang w:val="en-US" w:eastAsia="zh-CN" w:bidi="hi-IN"/>
    </w:rPr>
  </w:style>
  <w:style w:type="paragraph" w:styleId="Body">
    <w:name w:val="Body"/>
    <w:qFormat/>
    <w:pPr>
      <w:widowControl/>
      <w:suppressAutoHyphens w:val="false"/>
      <w:bidi w:val="0"/>
      <w:spacing w:lineRule="atLeast" w:line="280" w:before="0" w:after="0"/>
      <w:jc w:val="left"/>
      <w:textAlignment w:val="auto"/>
    </w:pPr>
    <w:rPr>
      <w:rFonts w:ascii="Times New Roman" w:hAnsi="Times New Roman" w:eastAsia="Marlett" w:cs="Arial"/>
      <w:b w:val="false"/>
      <w:i w:val="false"/>
      <w:strike w:val="false"/>
      <w:dstrike w:val="false"/>
      <w:color w:val="000000"/>
      <w:spacing w:val="0"/>
      <w:w w:val="100"/>
      <w:kern w:val="0"/>
      <w:sz w:val="24"/>
      <w:szCs w:val="24"/>
      <w:u w:val="none"/>
      <w:em w:val="none"/>
      <w:lang w:val="en-US" w:eastAsia="zh-CN" w:bidi="hi-IN"/>
    </w:rPr>
  </w:style>
  <w:style w:type="paragraph" w:styleId="Bulleted">
    <w:name w:val="Bulleted"/>
    <w:qFormat/>
    <w:pPr>
      <w:widowControl/>
      <w:tabs>
        <w:tab w:val="clear" w:pos="720"/>
        <w:tab w:val="left" w:pos="360" w:leader="none"/>
      </w:tabs>
      <w:suppressAutoHyphens w:val="false"/>
      <w:bidi w:val="0"/>
      <w:spacing w:lineRule="atLeast" w:line="280" w:before="0" w:after="0"/>
      <w:ind w:left="360" w:hanging="360"/>
      <w:jc w:val="left"/>
      <w:textAlignment w:val="auto"/>
    </w:pPr>
    <w:rPr>
      <w:rFonts w:ascii="Times New Roman" w:hAnsi="Times New Roman" w:eastAsia="Marlett" w:cs="Arial"/>
      <w:b w:val="false"/>
      <w:i w:val="false"/>
      <w:strike w:val="false"/>
      <w:dstrike w:val="false"/>
      <w:color w:val="000000"/>
      <w:spacing w:val="0"/>
      <w:w w:val="100"/>
      <w:kern w:val="0"/>
      <w:sz w:val="24"/>
      <w:szCs w:val="24"/>
      <w:u w:val="none"/>
      <w:em w:val="none"/>
      <w:lang w:val="en-US" w:eastAsia="zh-CN" w:bidi="hi-IN"/>
    </w:rPr>
  </w:style>
  <w:style w:type="paragraph" w:styleId="CellBody">
    <w:name w:val="CellBody"/>
    <w:qFormat/>
    <w:pPr>
      <w:widowControl/>
      <w:suppressAutoHyphens w:val="false"/>
      <w:bidi w:val="0"/>
      <w:spacing w:lineRule="atLeast" w:line="280" w:before="0" w:after="0"/>
      <w:jc w:val="left"/>
      <w:textAlignment w:val="auto"/>
    </w:pPr>
    <w:rPr>
      <w:rFonts w:ascii="Times New Roman" w:hAnsi="Times New Roman" w:eastAsia="Marlett" w:cs="Arial"/>
      <w:b w:val="false"/>
      <w:i w:val="false"/>
      <w:strike w:val="false"/>
      <w:dstrike w:val="false"/>
      <w:color w:val="000000"/>
      <w:spacing w:val="0"/>
      <w:w w:val="100"/>
      <w:kern w:val="0"/>
      <w:sz w:val="24"/>
      <w:szCs w:val="24"/>
      <w:u w:val="none"/>
      <w:em w:val="none"/>
      <w:lang w:val="en-US" w:eastAsia="zh-CN" w:bidi="hi-IN"/>
    </w:rPr>
  </w:style>
  <w:style w:type="paragraph" w:styleId="CellHeading">
    <w:name w:val="CellHeading"/>
    <w:qFormat/>
    <w:pPr>
      <w:widowControl/>
      <w:suppressAutoHyphens w:val="true"/>
      <w:bidi w:val="0"/>
      <w:spacing w:lineRule="atLeast" w:line="280" w:before="0" w:after="0"/>
      <w:jc w:val="center"/>
      <w:textAlignment w:val="auto"/>
    </w:pPr>
    <w:rPr>
      <w:rFonts w:ascii="Times New Roman" w:hAnsi="Times New Roman" w:eastAsia="Marlett" w:cs="Arial"/>
      <w:b w:val="false"/>
      <w:i w:val="false"/>
      <w:strike w:val="false"/>
      <w:dstrike w:val="false"/>
      <w:color w:val="000000"/>
      <w:spacing w:val="0"/>
      <w:w w:val="100"/>
      <w:kern w:val="0"/>
      <w:sz w:val="24"/>
      <w:szCs w:val="24"/>
      <w:u w:val="none"/>
      <w:em w:val="none"/>
      <w:lang w:val="en-US" w:eastAsia="zh-CN" w:bidi="hi-IN"/>
    </w:rPr>
  </w:style>
  <w:style w:type="paragraph" w:styleId="Indented">
    <w:name w:val="Indented"/>
    <w:qFormat/>
    <w:pPr>
      <w:widowControl/>
      <w:tabs>
        <w:tab w:val="clear" w:pos="720"/>
        <w:tab w:val="left" w:pos="360" w:leader="none"/>
      </w:tabs>
      <w:suppressAutoHyphens w:val="false"/>
      <w:bidi w:val="0"/>
      <w:spacing w:lineRule="atLeast" w:line="280" w:before="0" w:after="0"/>
      <w:ind w:left="360" w:hanging="0"/>
      <w:jc w:val="left"/>
      <w:textAlignment w:val="auto"/>
    </w:pPr>
    <w:rPr>
      <w:rFonts w:ascii="Times New Roman" w:hAnsi="Times New Roman" w:eastAsia="Marlett" w:cs="Arial"/>
      <w:b w:val="false"/>
      <w:i w:val="false"/>
      <w:strike w:val="false"/>
      <w:dstrike w:val="false"/>
      <w:color w:val="000000"/>
      <w:spacing w:val="0"/>
      <w:w w:val="100"/>
      <w:kern w:val="0"/>
      <w:sz w:val="24"/>
      <w:szCs w:val="24"/>
      <w:u w:val="none"/>
      <w:em w:val="none"/>
      <w:lang w:val="en-US" w:eastAsia="zh-CN" w:bidi="hi-IN"/>
    </w:rPr>
  </w:style>
  <w:style w:type="paragraph" w:styleId="Numbered">
    <w:name w:val="Numbered"/>
    <w:qFormat/>
    <w:pPr>
      <w:widowControl/>
      <w:tabs>
        <w:tab w:val="clear" w:pos="720"/>
        <w:tab w:val="left" w:pos="360" w:leader="none"/>
      </w:tabs>
      <w:suppressAutoHyphens w:val="false"/>
      <w:bidi w:val="0"/>
      <w:spacing w:lineRule="atLeast" w:line="280" w:before="0" w:after="0"/>
      <w:ind w:left="360" w:hanging="360"/>
      <w:jc w:val="left"/>
      <w:textAlignment w:val="auto"/>
    </w:pPr>
    <w:rPr>
      <w:rFonts w:ascii="Times New Roman" w:hAnsi="Times New Roman" w:eastAsia="Marlett" w:cs="Arial"/>
      <w:b w:val="false"/>
      <w:i w:val="false"/>
      <w:strike w:val="false"/>
      <w:dstrike w:val="false"/>
      <w:color w:val="000000"/>
      <w:spacing w:val="0"/>
      <w:w w:val="100"/>
      <w:kern w:val="0"/>
      <w:sz w:val="24"/>
      <w:szCs w:val="24"/>
      <w:u w:val="none"/>
      <w:em w:val="none"/>
      <w:lang w:val="en-US" w:eastAsia="zh-CN" w:bidi="hi-IN"/>
    </w:rPr>
  </w:style>
  <w:style w:type="paragraph" w:styleId="Numbered1">
    <w:name w:val="Numbered1"/>
    <w:qFormat/>
    <w:pPr>
      <w:widowControl/>
      <w:tabs>
        <w:tab w:val="clear" w:pos="720"/>
        <w:tab w:val="left" w:pos="360" w:leader="none"/>
      </w:tabs>
      <w:suppressAutoHyphens w:val="false"/>
      <w:bidi w:val="0"/>
      <w:spacing w:lineRule="atLeast" w:line="280" w:before="0" w:after="0"/>
      <w:ind w:left="360" w:hanging="360"/>
      <w:jc w:val="left"/>
      <w:textAlignment w:val="auto"/>
    </w:pPr>
    <w:rPr>
      <w:rFonts w:ascii="Times New Roman" w:hAnsi="Times New Roman" w:eastAsia="Marlett" w:cs="Arial"/>
      <w:b w:val="false"/>
      <w:i w:val="false"/>
      <w:strike w:val="false"/>
      <w:dstrike w:val="false"/>
      <w:color w:val="000000"/>
      <w:spacing w:val="0"/>
      <w:w w:val="100"/>
      <w:kern w:val="0"/>
      <w:sz w:val="24"/>
      <w:szCs w:val="24"/>
      <w:u w:val="none"/>
      <w:em w:val="none"/>
      <w:lang w:val="en-US" w:eastAsia="zh-CN" w:bidi="hi-IN"/>
    </w:rPr>
  </w:style>
  <w:style w:type="paragraph" w:styleId="TableFootnote">
    <w:name w:val="TableFootnote"/>
    <w:qFormat/>
    <w:pPr>
      <w:widowControl/>
      <w:tabs>
        <w:tab w:val="clear" w:pos="720"/>
        <w:tab w:val="left" w:pos="600" w:leader="none"/>
      </w:tabs>
      <w:suppressAutoHyphens w:val="false"/>
      <w:bidi w:val="0"/>
      <w:spacing w:lineRule="atLeast" w:line="240" w:before="0" w:after="0"/>
      <w:ind w:left="600" w:right="360" w:hanging="240"/>
      <w:jc w:val="left"/>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TableTitle">
    <w:name w:val="TableTitle"/>
    <w:qFormat/>
    <w:pPr>
      <w:widowControl/>
      <w:suppressAutoHyphens w:val="true"/>
      <w:bidi w:val="0"/>
      <w:spacing w:lineRule="atLeast" w:line="280" w:before="0" w:after="0"/>
      <w:jc w:val="center"/>
      <w:textAlignment w:val="auto"/>
    </w:pPr>
    <w:rPr>
      <w:rFonts w:ascii="Times New Roman" w:hAnsi="Times New Roman" w:eastAsia="Marlett" w:cs="Arial"/>
      <w:b/>
      <w:i w:val="false"/>
      <w:strike w:val="false"/>
      <w:dstrike w:val="false"/>
      <w:color w:val="000000"/>
      <w:spacing w:val="0"/>
      <w:w w:val="100"/>
      <w:kern w:val="0"/>
      <w:sz w:val="24"/>
      <w:szCs w:val="24"/>
      <w:u w:val="none"/>
      <w:em w:val="none"/>
      <w:lang w:val="en-US" w:eastAsia="zh-CN" w:bidi="hi-IN"/>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12115</TotalTime>
  <Application>LibreOffice/6.2.3.2$Windows_X86_64 LibreOffice_project/aecc05fe267cc68dde00352a451aa867b3b546ac</Application>
  <Pages>9</Pages>
  <Words>2194</Words>
  <Characters>11398</Characters>
  <CharactersWithSpaces>13434</CharactersWithSpaces>
  <Paragraphs>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
  <dcterms:modified xsi:type="dcterms:W3CDTF">2023-03-06T02:41:04Z</dcterms:modified>
  <cp:revision>163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Info 1">
    <vt:lpwstr/>
  </property>
  <property fmtid="{D5CDD505-2E9C-101B-9397-08002B2CF9AE}" pid="5" name="Info 2">
    <vt:lpwstr/>
  </property>
  <property fmtid="{D5CDD505-2E9C-101B-9397-08002B2CF9AE}" pid="6" name="Info 3">
    <vt:lpwstr/>
  </property>
  <property fmtid="{D5CDD505-2E9C-101B-9397-08002B2CF9AE}" pid="7" name="Info 4">
    <vt:lpwstr/>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