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1858FB30" w:rsidR="004E3A07" w:rsidRPr="00AB1DD1" w:rsidRDefault="000D52E3">
            <w:pPr>
              <w:pStyle w:val="covertext"/>
              <w:rPr>
                <w:b/>
                <w:sz w:val="24"/>
                <w:szCs w:val="22"/>
              </w:rPr>
            </w:pPr>
            <w:r>
              <w:rPr>
                <w:b/>
                <w:sz w:val="24"/>
                <w:szCs w:val="22"/>
              </w:rPr>
              <w:t>Remaining items to address for the UWB PHY</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06A60B40" w:rsidR="004E3A07" w:rsidRPr="00AB1DD1" w:rsidRDefault="00204A98">
            <w:pPr>
              <w:pStyle w:val="covertext"/>
              <w:rPr>
                <w:sz w:val="24"/>
                <w:szCs w:val="22"/>
              </w:rPr>
            </w:pPr>
            <w:r>
              <w:rPr>
                <w:sz w:val="24"/>
                <w:szCs w:val="22"/>
              </w:rPr>
              <w:t>February</w:t>
            </w:r>
            <w:r w:rsidR="00E32014" w:rsidRPr="00AB1DD1">
              <w:rPr>
                <w:sz w:val="24"/>
                <w:szCs w:val="22"/>
              </w:rPr>
              <w:t xml:space="preserve"> </w:t>
            </w:r>
            <w:r>
              <w:rPr>
                <w:sz w:val="24"/>
                <w:szCs w:val="22"/>
              </w:rPr>
              <w:t>20</w:t>
            </w:r>
            <w:r w:rsidR="000E5FF5">
              <w:rPr>
                <w:sz w:val="24"/>
                <w:szCs w:val="22"/>
              </w:rPr>
              <w:t>th</w:t>
            </w:r>
            <w:r w:rsidR="00FC54A1" w:rsidRPr="00AB1DD1">
              <w:rPr>
                <w:sz w:val="24"/>
                <w:szCs w:val="22"/>
              </w:rPr>
              <w:t>,</w:t>
            </w:r>
            <w:r w:rsidR="00E32014" w:rsidRPr="00AB1DD1">
              <w:rPr>
                <w:sz w:val="24"/>
                <w:szCs w:val="22"/>
              </w:rPr>
              <w:t xml:space="preserve"> 202</w:t>
            </w:r>
            <w:r>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24163CB8" w:rsidR="00CB0B01" w:rsidRPr="00B20755" w:rsidRDefault="00B45DC7" w:rsidP="00CB0B01">
            <w:pPr>
              <w:pStyle w:val="covertext"/>
              <w:rPr>
                <w:sz w:val="22"/>
              </w:rPr>
            </w:pPr>
            <w:r>
              <w:rPr>
                <w:sz w:val="22"/>
              </w:rPr>
              <w:t>Call for Proposals</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2C4EE281" w:rsidR="00CB0B01" w:rsidRPr="00B20755" w:rsidRDefault="00B45DC7" w:rsidP="00CB0B01">
            <w:pPr>
              <w:pStyle w:val="covertext"/>
              <w:rPr>
                <w:sz w:val="22"/>
              </w:rPr>
            </w:pPr>
            <w:r>
              <w:rPr>
                <w:sz w:val="22"/>
              </w:rPr>
              <w:t>A</w:t>
            </w:r>
            <w:r w:rsidRPr="0036503B">
              <w:t xml:space="preserve">nnounce Call for Proposals </w:t>
            </w:r>
            <w:r w:rsidR="003D50BC">
              <w:t>to develop the IEEE 802.15.6ma standard specification</w:t>
            </w:r>
            <w:r w:rsidRPr="0036503B">
              <w:t>.</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 xml:space="preserve">It </w:t>
            </w:r>
            <w:proofErr w:type="gramStart"/>
            <w:r w:rsidRPr="00B20755">
              <w:rPr>
                <w:sz w:val="22"/>
              </w:rPr>
              <w:t>is offered</w:t>
            </w:r>
            <w:proofErr w:type="gramEnd"/>
            <w:r w:rsidRPr="00B20755">
              <w:rPr>
                <w:sz w:val="22"/>
              </w:rP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 xml:space="preserve">The contributor acknowledges and accepts that this contribution becomes the property of IEEE and may </w:t>
            </w:r>
            <w:proofErr w:type="gramStart"/>
            <w:r w:rsidRPr="00B20755">
              <w:rPr>
                <w:sz w:val="22"/>
              </w:rPr>
              <w:t>be made</w:t>
            </w:r>
            <w:proofErr w:type="gramEnd"/>
            <w:r w:rsidRPr="00B20755">
              <w:rPr>
                <w:sz w:val="22"/>
              </w:rPr>
              <w:t xml:space="preserv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669058F7" w14:textId="5841676A" w:rsidR="008A7A37" w:rsidRDefault="000D52E3" w:rsidP="008A7A37">
      <w:pPr>
        <w:jc w:val="both"/>
        <w:rPr>
          <w:color w:val="auto"/>
          <w:sz w:val="22"/>
          <w:szCs w:val="22"/>
        </w:rPr>
      </w:pPr>
      <w:r>
        <w:rPr>
          <w:color w:val="auto"/>
          <w:sz w:val="22"/>
          <w:szCs w:val="22"/>
        </w:rPr>
        <w:lastRenderedPageBreak/>
        <w:t xml:space="preserve">The </w:t>
      </w:r>
      <w:r w:rsidR="008A7A37" w:rsidRPr="008A7A37">
        <w:rPr>
          <w:color w:val="auto"/>
          <w:sz w:val="22"/>
          <w:szCs w:val="22"/>
        </w:rPr>
        <w:t>remaining items to address</w:t>
      </w:r>
      <w:r>
        <w:rPr>
          <w:color w:val="auto"/>
          <w:sz w:val="22"/>
          <w:szCs w:val="22"/>
        </w:rPr>
        <w:t xml:space="preserve"> for the </w:t>
      </w:r>
      <w:r w:rsidRPr="008A7A37">
        <w:rPr>
          <w:color w:val="auto"/>
          <w:sz w:val="22"/>
          <w:szCs w:val="22"/>
        </w:rPr>
        <w:t>15.6ma revision UWB PHY</w:t>
      </w:r>
      <w:r>
        <w:rPr>
          <w:color w:val="auto"/>
          <w:sz w:val="22"/>
          <w:szCs w:val="22"/>
        </w:rPr>
        <w:t xml:space="preserve"> are as follows:</w:t>
      </w:r>
    </w:p>
    <w:p w14:paraId="602924F3" w14:textId="257B5725" w:rsidR="006637D9" w:rsidRDefault="006637D9" w:rsidP="008A7A37">
      <w:pPr>
        <w:jc w:val="both"/>
        <w:rPr>
          <w:color w:val="auto"/>
          <w:sz w:val="22"/>
          <w:szCs w:val="22"/>
        </w:rPr>
      </w:pPr>
    </w:p>
    <w:p w14:paraId="0DBEDDF6" w14:textId="7C9A3132" w:rsidR="000D52E3" w:rsidRDefault="000D52E3" w:rsidP="008A7A37">
      <w:pPr>
        <w:jc w:val="both"/>
        <w:rPr>
          <w:color w:val="auto"/>
          <w:sz w:val="22"/>
          <w:szCs w:val="22"/>
        </w:rPr>
      </w:pPr>
    </w:p>
    <w:p w14:paraId="425E467F" w14:textId="77777777" w:rsidR="000D52E3" w:rsidRPr="008A7A37" w:rsidRDefault="000D52E3" w:rsidP="008A7A37">
      <w:pPr>
        <w:jc w:val="both"/>
        <w:rPr>
          <w:color w:val="auto"/>
          <w:sz w:val="22"/>
          <w:szCs w:val="22"/>
        </w:rPr>
      </w:pPr>
    </w:p>
    <w:p w14:paraId="007A347B" w14:textId="1621F69A" w:rsidR="00763E31" w:rsidRPr="000D52E3" w:rsidRDefault="000D52E3" w:rsidP="008A7A37">
      <w:pPr>
        <w:jc w:val="both"/>
        <w:rPr>
          <w:b/>
          <w:bCs/>
          <w:color w:val="auto"/>
          <w:sz w:val="28"/>
          <w:szCs w:val="28"/>
        </w:rPr>
      </w:pPr>
      <w:r>
        <w:rPr>
          <w:b/>
          <w:bCs/>
          <w:color w:val="auto"/>
          <w:sz w:val="28"/>
          <w:szCs w:val="28"/>
        </w:rPr>
        <w:t xml:space="preserve">1. </w:t>
      </w:r>
      <w:r w:rsidR="008A7A37" w:rsidRPr="000D52E3">
        <w:rPr>
          <w:b/>
          <w:bCs/>
          <w:color w:val="auto"/>
          <w:sz w:val="28"/>
          <w:szCs w:val="28"/>
        </w:rPr>
        <w:t>Harmonization (4ab) of PSDU construction</w:t>
      </w:r>
    </w:p>
    <w:p w14:paraId="5ABE1E31" w14:textId="4A99211E" w:rsidR="00BB41EB" w:rsidRDefault="00BB41EB" w:rsidP="006F2F46">
      <w:pPr>
        <w:jc w:val="both"/>
        <w:rPr>
          <w:color w:val="auto"/>
          <w:sz w:val="22"/>
          <w:szCs w:val="22"/>
        </w:rPr>
      </w:pPr>
    </w:p>
    <w:tbl>
      <w:tblPr>
        <w:tblStyle w:val="TableGrid"/>
        <w:tblW w:w="0" w:type="auto"/>
        <w:tblLook w:val="04A0" w:firstRow="1" w:lastRow="0" w:firstColumn="1" w:lastColumn="0" w:noHBand="0" w:noVBand="1"/>
      </w:tblPr>
      <w:tblGrid>
        <w:gridCol w:w="1615"/>
        <w:gridCol w:w="7735"/>
      </w:tblGrid>
      <w:tr w:rsidR="000D52E3" w14:paraId="1303AFDC" w14:textId="77777777" w:rsidTr="004724B2">
        <w:tc>
          <w:tcPr>
            <w:tcW w:w="1615" w:type="dxa"/>
          </w:tcPr>
          <w:p w14:paraId="6784262E" w14:textId="77777777" w:rsidR="000D52E3" w:rsidRDefault="000D52E3" w:rsidP="004724B2">
            <w:r>
              <w:t>15.6</w:t>
            </w:r>
          </w:p>
        </w:tc>
        <w:tc>
          <w:tcPr>
            <w:tcW w:w="7735" w:type="dxa"/>
          </w:tcPr>
          <w:p w14:paraId="53B99E88" w14:textId="77777777" w:rsidR="000D52E3" w:rsidRDefault="000D52E3" w:rsidP="004724B2">
            <w:r>
              <w:t xml:space="preserve">Scrambler + FEC + Interleaver + UWB symbol-modulation </w:t>
            </w:r>
          </w:p>
        </w:tc>
      </w:tr>
      <w:tr w:rsidR="000D52E3" w14:paraId="6946B15E" w14:textId="77777777" w:rsidTr="004724B2">
        <w:tc>
          <w:tcPr>
            <w:tcW w:w="1615" w:type="dxa"/>
          </w:tcPr>
          <w:p w14:paraId="0F7E4658" w14:textId="77777777" w:rsidR="000D52E3" w:rsidRDefault="000D52E3" w:rsidP="004724B2"/>
        </w:tc>
        <w:tc>
          <w:tcPr>
            <w:tcW w:w="7735" w:type="dxa"/>
          </w:tcPr>
          <w:p w14:paraId="7A5D5304" w14:textId="77777777" w:rsidR="000D52E3" w:rsidRDefault="000D52E3" w:rsidP="004724B2"/>
        </w:tc>
      </w:tr>
      <w:tr w:rsidR="000D52E3" w14:paraId="2300BF69" w14:textId="77777777" w:rsidTr="004724B2">
        <w:tc>
          <w:tcPr>
            <w:tcW w:w="1615" w:type="dxa"/>
          </w:tcPr>
          <w:p w14:paraId="580F5929" w14:textId="77777777" w:rsidR="000D52E3" w:rsidRDefault="000D52E3" w:rsidP="004724B2">
            <w:r>
              <w:t>15.6ma</w:t>
            </w:r>
          </w:p>
        </w:tc>
        <w:tc>
          <w:tcPr>
            <w:tcW w:w="7735" w:type="dxa"/>
          </w:tcPr>
          <w:p w14:paraId="5FDC56F4" w14:textId="77777777" w:rsidR="000D52E3" w:rsidRDefault="000D52E3" w:rsidP="004724B2">
            <w:r>
              <w:t xml:space="preserve">Scrambler + </w:t>
            </w:r>
            <w:r w:rsidRPr="00444AC7">
              <w:rPr>
                <w:b/>
                <w:bCs/>
              </w:rPr>
              <w:t>FEC</w:t>
            </w:r>
            <w:r>
              <w:t xml:space="preserve"> + Interleaver + </w:t>
            </w:r>
            <w:r w:rsidRPr="000D52E3">
              <w:rPr>
                <w:i/>
                <w:iCs/>
              </w:rPr>
              <w:t>External FEC</w:t>
            </w:r>
            <w:r>
              <w:t xml:space="preserve"> + </w:t>
            </w:r>
            <w:r w:rsidRPr="00444AC7">
              <w:rPr>
                <w:b/>
                <w:bCs/>
              </w:rPr>
              <w:t>UWB symbol-modulation</w:t>
            </w:r>
            <w:r>
              <w:t xml:space="preserve"> </w:t>
            </w:r>
          </w:p>
        </w:tc>
      </w:tr>
      <w:tr w:rsidR="000D52E3" w14:paraId="1B697C20" w14:textId="77777777" w:rsidTr="004724B2">
        <w:tc>
          <w:tcPr>
            <w:tcW w:w="1615" w:type="dxa"/>
          </w:tcPr>
          <w:p w14:paraId="6EBBE0C7" w14:textId="77777777" w:rsidR="000D52E3" w:rsidRDefault="000D52E3" w:rsidP="004724B2">
            <w:r>
              <w:t>15.6ma</w:t>
            </w:r>
          </w:p>
        </w:tc>
        <w:tc>
          <w:tcPr>
            <w:tcW w:w="7735" w:type="dxa"/>
          </w:tcPr>
          <w:p w14:paraId="38AB36FE" w14:textId="77777777" w:rsidR="000D52E3" w:rsidRDefault="000D52E3" w:rsidP="004724B2">
            <w:r>
              <w:t xml:space="preserve">Scrambler + HARQ + </w:t>
            </w:r>
            <w:r w:rsidRPr="00444AC7">
              <w:rPr>
                <w:b/>
                <w:bCs/>
              </w:rPr>
              <w:t>UWB symbol-modulation</w:t>
            </w:r>
          </w:p>
        </w:tc>
      </w:tr>
    </w:tbl>
    <w:p w14:paraId="77CEA622" w14:textId="736C18B9" w:rsidR="000D52E3" w:rsidRDefault="000D52E3" w:rsidP="000D52E3">
      <w:pPr>
        <w:spacing w:before="40"/>
        <w:rPr>
          <w:sz w:val="18"/>
          <w:szCs w:val="18"/>
        </w:rPr>
      </w:pPr>
      <w:r w:rsidRPr="000D52E3">
        <w:rPr>
          <w:b/>
          <w:bCs/>
          <w:sz w:val="18"/>
          <w:szCs w:val="18"/>
        </w:rPr>
        <w:t>Bold:</w:t>
      </w:r>
      <w:r w:rsidRPr="000D52E3">
        <w:rPr>
          <w:sz w:val="18"/>
          <w:szCs w:val="18"/>
        </w:rPr>
        <w:t xml:space="preserve"> compatible with 4ab.</w:t>
      </w:r>
    </w:p>
    <w:p w14:paraId="14FD6859" w14:textId="1FD02361" w:rsidR="00A227B7" w:rsidRDefault="00A227B7" w:rsidP="000D52E3">
      <w:pPr>
        <w:spacing w:before="40"/>
        <w:rPr>
          <w:sz w:val="18"/>
          <w:szCs w:val="18"/>
        </w:rPr>
      </w:pPr>
    </w:p>
    <w:p w14:paraId="0EEA0C38" w14:textId="79BB4F01" w:rsidR="00181537" w:rsidRDefault="00181537" w:rsidP="000D52E3">
      <w:pPr>
        <w:spacing w:before="40"/>
        <w:rPr>
          <w:sz w:val="18"/>
          <w:szCs w:val="18"/>
        </w:rPr>
      </w:pPr>
      <w:r w:rsidRPr="00181537">
        <w:rPr>
          <w:b/>
          <w:bCs/>
          <w:sz w:val="18"/>
          <w:szCs w:val="18"/>
        </w:rPr>
        <w:t>4ab agreement:</w:t>
      </w:r>
      <w:r>
        <w:rPr>
          <w:sz w:val="18"/>
          <w:szCs w:val="18"/>
        </w:rPr>
        <w:t xml:space="preserve"> PSDU data rates: </w:t>
      </w:r>
      <w:r w:rsidRPr="00181537">
        <w:rPr>
          <w:sz w:val="18"/>
          <w:szCs w:val="18"/>
        </w:rPr>
        <w:t xml:space="preserve">1.95 Mb/s, 7.8 Mb/s, 31.2 Mb/s, </w:t>
      </w:r>
      <w:r w:rsidRPr="00C23F39">
        <w:rPr>
          <w:b/>
          <w:bCs/>
          <w:sz w:val="18"/>
          <w:szCs w:val="18"/>
        </w:rPr>
        <w:t>62.4 Mb/s</w:t>
      </w:r>
      <w:r w:rsidRPr="00181537">
        <w:rPr>
          <w:sz w:val="18"/>
          <w:szCs w:val="18"/>
        </w:rPr>
        <w:t xml:space="preserve"> and </w:t>
      </w:r>
      <w:r w:rsidRPr="00C23F39">
        <w:rPr>
          <w:b/>
          <w:bCs/>
          <w:sz w:val="18"/>
          <w:szCs w:val="18"/>
        </w:rPr>
        <w:t>124.8 Mb/s</w:t>
      </w:r>
      <w:r>
        <w:rPr>
          <w:sz w:val="18"/>
          <w:szCs w:val="18"/>
        </w:rPr>
        <w:t>.</w:t>
      </w:r>
    </w:p>
    <w:p w14:paraId="21D2C63C" w14:textId="77777777" w:rsidR="00C23F39" w:rsidRPr="000D52E3" w:rsidRDefault="00C23F39" w:rsidP="000D52E3">
      <w:pPr>
        <w:spacing w:before="40"/>
        <w:rPr>
          <w:sz w:val="18"/>
          <w:szCs w:val="18"/>
        </w:rPr>
      </w:pPr>
    </w:p>
    <w:p w14:paraId="143C94CE" w14:textId="77777777" w:rsidR="00C23F39" w:rsidRDefault="00A227B7" w:rsidP="000D52E3">
      <w:r w:rsidRPr="00A227B7">
        <w:rPr>
          <w:b/>
          <w:bCs/>
        </w:rPr>
        <w:t>4ab agreement</w:t>
      </w:r>
      <w:r w:rsidR="00181537">
        <w:rPr>
          <w:b/>
          <w:bCs/>
        </w:rPr>
        <w:t xml:space="preserve"> FEC</w:t>
      </w:r>
      <w:r w:rsidRPr="00A227B7">
        <w:rPr>
          <w:b/>
          <w:bCs/>
        </w:rPr>
        <w:t>:</w:t>
      </w:r>
      <w:r>
        <w:t xml:space="preserve"> </w:t>
      </w:r>
    </w:p>
    <w:p w14:paraId="7AD48813" w14:textId="77777777" w:rsidR="00C23F39" w:rsidRDefault="00181537" w:rsidP="000D52E3">
      <w:r>
        <w:t>Mode-A:</w:t>
      </w:r>
      <w:r w:rsidR="00A227B7">
        <w:t xml:space="preserve"> PSDU data rate &gt; 7.8 Mb/s use either </w:t>
      </w:r>
      <w:r w:rsidR="00A227B7" w:rsidRPr="00C23F39">
        <w:rPr>
          <w:b/>
          <w:bCs/>
        </w:rPr>
        <w:t>BCC</w:t>
      </w:r>
      <w:r w:rsidR="00A227B7">
        <w:t xml:space="preserve"> or LDPC.</w:t>
      </w:r>
      <w:r>
        <w:t xml:space="preserve"> </w:t>
      </w:r>
    </w:p>
    <w:p w14:paraId="1C077248" w14:textId="77777777" w:rsidR="00C23F39" w:rsidRDefault="00181537" w:rsidP="000D52E3">
      <w:r>
        <w:t xml:space="preserve">Mode-B: PSDU data rate =1.95 Mb/s use </w:t>
      </w:r>
      <w:r w:rsidRPr="00C23F39">
        <w:rPr>
          <w:b/>
          <w:bCs/>
        </w:rPr>
        <w:t>BCC</w:t>
      </w:r>
      <w:r>
        <w:t xml:space="preserve"> only and data rate &gt; 1.95 Mb/s use either BCC or LDPC. </w:t>
      </w:r>
    </w:p>
    <w:p w14:paraId="0C9D4F6E" w14:textId="179AC8C4" w:rsidR="000D52E3" w:rsidRDefault="00181537" w:rsidP="000D52E3">
      <w:r>
        <w:t xml:space="preserve">Mode-C: PSDU data rate ≥1.95 Mb/s use either </w:t>
      </w:r>
      <w:r w:rsidRPr="00C23F39">
        <w:rPr>
          <w:b/>
          <w:bCs/>
        </w:rPr>
        <w:t>BCC</w:t>
      </w:r>
      <w:r>
        <w:t xml:space="preserve"> or LDPC.</w:t>
      </w:r>
    </w:p>
    <w:p w14:paraId="2814B86F" w14:textId="3DF43AC3" w:rsidR="00C16172" w:rsidRDefault="00C16172" w:rsidP="000D52E3"/>
    <w:p w14:paraId="5D7F2CC5" w14:textId="2B86252D" w:rsidR="00C16172" w:rsidRDefault="00C16172" w:rsidP="000D52E3">
      <w:pPr>
        <w:rPr>
          <w:sz w:val="18"/>
          <w:szCs w:val="18"/>
        </w:rPr>
      </w:pPr>
      <w:r w:rsidRPr="00C16172">
        <w:rPr>
          <w:b/>
          <w:bCs/>
        </w:rPr>
        <w:t>6ma adopted:</w:t>
      </w:r>
      <w:r>
        <w:t xml:space="preserve"> UWB symbol-modulation, R=</w:t>
      </w:r>
      <w:r w:rsidRPr="00C23F39">
        <w:rPr>
          <w:b/>
          <w:bCs/>
          <w:sz w:val="18"/>
          <w:szCs w:val="18"/>
        </w:rPr>
        <w:t>62.4 Mb/s</w:t>
      </w:r>
      <w:r w:rsidRPr="00181537">
        <w:rPr>
          <w:sz w:val="18"/>
          <w:szCs w:val="18"/>
        </w:rPr>
        <w:t xml:space="preserve"> and </w:t>
      </w:r>
      <w:r w:rsidRPr="00C23F39">
        <w:rPr>
          <w:b/>
          <w:bCs/>
          <w:sz w:val="18"/>
          <w:szCs w:val="18"/>
        </w:rPr>
        <w:t>124.8 Mb/s</w:t>
      </w:r>
      <w:r>
        <w:rPr>
          <w:sz w:val="18"/>
          <w:szCs w:val="18"/>
        </w:rPr>
        <w:t xml:space="preserve">, BCC and optionally LDPC. </w:t>
      </w:r>
    </w:p>
    <w:p w14:paraId="544D0849" w14:textId="2A43C9AA" w:rsidR="00C16172" w:rsidRDefault="00C16172" w:rsidP="000D52E3">
      <w:pPr>
        <w:rPr>
          <w:sz w:val="18"/>
          <w:szCs w:val="18"/>
        </w:rPr>
      </w:pPr>
    </w:p>
    <w:p w14:paraId="059C3CE1" w14:textId="07D3E530" w:rsidR="00C16172" w:rsidRDefault="00C16172" w:rsidP="000D52E3">
      <w:r w:rsidRPr="00C16172">
        <w:rPr>
          <w:b/>
          <w:bCs/>
          <w:sz w:val="18"/>
          <w:szCs w:val="18"/>
        </w:rPr>
        <w:t>Observation:</w:t>
      </w:r>
      <w:r>
        <w:rPr>
          <w:sz w:val="18"/>
          <w:szCs w:val="18"/>
        </w:rPr>
        <w:t xml:space="preserve"> same radio interface for coexistence level 0. </w:t>
      </w:r>
    </w:p>
    <w:p w14:paraId="78A1D049" w14:textId="77777777" w:rsidR="00A227B7" w:rsidRDefault="00A227B7" w:rsidP="000D52E3"/>
    <w:p w14:paraId="7C6DF581" w14:textId="7F99D281" w:rsidR="000D52E3" w:rsidRDefault="0074662F" w:rsidP="000D52E3">
      <w:r>
        <w:rPr>
          <w:b/>
          <w:bCs/>
        </w:rPr>
        <w:t>TBD</w:t>
      </w:r>
      <w:r w:rsidR="000D52E3" w:rsidRPr="00002D17">
        <w:rPr>
          <w:b/>
          <w:bCs/>
        </w:rPr>
        <w:t>:</w:t>
      </w:r>
      <w:r w:rsidR="000D52E3">
        <w:t xml:space="preserve"> External FEC</w:t>
      </w:r>
      <w:r>
        <w:t>.</w:t>
      </w:r>
      <w:r w:rsidR="000D52E3">
        <w:t xml:space="preserve"> </w:t>
      </w:r>
      <w:r>
        <w:t>Check:</w:t>
      </w:r>
      <w:r w:rsidR="000D52E3">
        <w:t xml:space="preserve"> Interleaver.</w:t>
      </w:r>
      <w:r w:rsidR="00C16172">
        <w:t xml:space="preserve"> Complementary data rates. </w:t>
      </w:r>
    </w:p>
    <w:p w14:paraId="6E3AF4FE" w14:textId="77777777" w:rsidR="000D52E3" w:rsidRDefault="000D52E3" w:rsidP="000D52E3"/>
    <w:p w14:paraId="4DC86BB9" w14:textId="77777777" w:rsidR="000D52E3" w:rsidRDefault="000D52E3" w:rsidP="000D52E3"/>
    <w:p w14:paraId="1CD97E56" w14:textId="54F9EDB6" w:rsidR="000D52E3" w:rsidRPr="00002D17" w:rsidRDefault="00002D17" w:rsidP="000D52E3">
      <w:pPr>
        <w:rPr>
          <w:b/>
          <w:bCs/>
          <w:sz w:val="28"/>
          <w:szCs w:val="28"/>
        </w:rPr>
      </w:pPr>
      <w:r>
        <w:rPr>
          <w:b/>
          <w:bCs/>
          <w:sz w:val="28"/>
          <w:szCs w:val="28"/>
        </w:rPr>
        <w:t xml:space="preserve">2. </w:t>
      </w:r>
      <w:r w:rsidR="000D52E3" w:rsidRPr="00002D17">
        <w:rPr>
          <w:b/>
          <w:bCs/>
          <w:sz w:val="28"/>
          <w:szCs w:val="28"/>
        </w:rPr>
        <w:t>Harmonization (4ab) of SHR</w:t>
      </w:r>
    </w:p>
    <w:p w14:paraId="3D3F086E" w14:textId="77777777" w:rsidR="00002D17" w:rsidRDefault="00002D17" w:rsidP="000D52E3"/>
    <w:tbl>
      <w:tblPr>
        <w:tblStyle w:val="TableGrid"/>
        <w:tblW w:w="0" w:type="auto"/>
        <w:tblLook w:val="04A0" w:firstRow="1" w:lastRow="0" w:firstColumn="1" w:lastColumn="0" w:noHBand="0" w:noVBand="1"/>
      </w:tblPr>
      <w:tblGrid>
        <w:gridCol w:w="1615"/>
        <w:gridCol w:w="4680"/>
      </w:tblGrid>
      <w:tr w:rsidR="000D52E3" w14:paraId="5342E49E" w14:textId="77777777" w:rsidTr="00002D17">
        <w:tc>
          <w:tcPr>
            <w:tcW w:w="1615" w:type="dxa"/>
          </w:tcPr>
          <w:p w14:paraId="51473702" w14:textId="77777777" w:rsidR="000D52E3" w:rsidRDefault="000D52E3" w:rsidP="004724B2">
            <w:r>
              <w:t>15.6</w:t>
            </w:r>
          </w:p>
        </w:tc>
        <w:tc>
          <w:tcPr>
            <w:tcW w:w="4680" w:type="dxa"/>
          </w:tcPr>
          <w:p w14:paraId="341636D9" w14:textId="77777777" w:rsidR="000D52E3" w:rsidRDefault="000D52E3" w:rsidP="004724B2">
            <w:r>
              <w:t>Preamble sequences (Kasami) + SFD</w:t>
            </w:r>
          </w:p>
        </w:tc>
      </w:tr>
      <w:tr w:rsidR="000D52E3" w14:paraId="7AF5F9DE" w14:textId="77777777" w:rsidTr="00002D17">
        <w:tc>
          <w:tcPr>
            <w:tcW w:w="1615" w:type="dxa"/>
          </w:tcPr>
          <w:p w14:paraId="48496DAB" w14:textId="77777777" w:rsidR="000D52E3" w:rsidRDefault="000D52E3" w:rsidP="004724B2"/>
        </w:tc>
        <w:tc>
          <w:tcPr>
            <w:tcW w:w="4680" w:type="dxa"/>
          </w:tcPr>
          <w:p w14:paraId="44012505" w14:textId="77777777" w:rsidR="000D52E3" w:rsidRDefault="000D52E3" w:rsidP="004724B2"/>
        </w:tc>
      </w:tr>
      <w:tr w:rsidR="000D52E3" w14:paraId="3B064334" w14:textId="77777777" w:rsidTr="00002D17">
        <w:tc>
          <w:tcPr>
            <w:tcW w:w="1615" w:type="dxa"/>
          </w:tcPr>
          <w:p w14:paraId="497FBDAC" w14:textId="77777777" w:rsidR="000D52E3" w:rsidRDefault="000D52E3" w:rsidP="004724B2">
            <w:r>
              <w:t>15.6ma</w:t>
            </w:r>
          </w:p>
        </w:tc>
        <w:tc>
          <w:tcPr>
            <w:tcW w:w="4680" w:type="dxa"/>
          </w:tcPr>
          <w:p w14:paraId="449C4B6C" w14:textId="77777777" w:rsidR="000D52E3" w:rsidRDefault="000D52E3" w:rsidP="004724B2">
            <w:r>
              <w:t xml:space="preserve"> ? </w:t>
            </w:r>
          </w:p>
        </w:tc>
      </w:tr>
    </w:tbl>
    <w:p w14:paraId="07A6DF52" w14:textId="77777777" w:rsidR="00C23F39" w:rsidRDefault="00C23F39" w:rsidP="000D52E3"/>
    <w:p w14:paraId="7A4CFAFA" w14:textId="05A83D4E" w:rsidR="000D52E3" w:rsidRPr="00C23F39" w:rsidRDefault="00C23F39" w:rsidP="000D52E3">
      <w:pPr>
        <w:rPr>
          <w:b/>
          <w:bCs/>
        </w:rPr>
      </w:pPr>
      <w:r w:rsidRPr="00C23F39">
        <w:rPr>
          <w:b/>
          <w:bCs/>
        </w:rPr>
        <w:t>Especially important for awareness of 4ab transmissions.</w:t>
      </w:r>
    </w:p>
    <w:p w14:paraId="1A1C3F3C" w14:textId="77777777" w:rsidR="00C23F39" w:rsidRDefault="00C23F39" w:rsidP="000D52E3"/>
    <w:p w14:paraId="73B5FD4F" w14:textId="0E8C6863" w:rsidR="002446E3" w:rsidRDefault="002446E3" w:rsidP="002446E3">
      <w:r>
        <w:t>4ab discussions:</w:t>
      </w:r>
      <w:r w:rsidR="00C7130A">
        <w:t xml:space="preserve"> 4z Ipatov</w:t>
      </w:r>
      <w:r w:rsidR="00560633">
        <w:t xml:space="preserve">. New </w:t>
      </w:r>
      <w:r w:rsidR="00436952">
        <w:t xml:space="preserve">preambles: </w:t>
      </w:r>
      <w:r w:rsidR="00496E3C">
        <w:t>extend</w:t>
      </w:r>
      <w:r w:rsidR="00A227B7">
        <w:t>ed</w:t>
      </w:r>
      <w:r w:rsidR="00496E3C">
        <w:t xml:space="preserve"> Ipatov, </w:t>
      </w:r>
      <w:r w:rsidR="00436952">
        <w:t xml:space="preserve">m-sequence, CZC. </w:t>
      </w:r>
    </w:p>
    <w:p w14:paraId="5A11F940" w14:textId="77777777" w:rsidR="00A227B7" w:rsidRDefault="00A227B7" w:rsidP="002446E3"/>
    <w:p w14:paraId="2FE3C888" w14:textId="38152278" w:rsidR="00A030EC" w:rsidRDefault="00A030EC" w:rsidP="002446E3">
      <w:r w:rsidRPr="00A227B7">
        <w:rPr>
          <w:b/>
          <w:bCs/>
        </w:rPr>
        <w:t>4ab agreement:</w:t>
      </w:r>
      <w:r>
        <w:t xml:space="preserve"> Ipatov 91 (communications)</w:t>
      </w:r>
      <w:r w:rsidR="00C23F39">
        <w:t xml:space="preserve"> and</w:t>
      </w:r>
      <w:r w:rsidR="0085051A">
        <w:t xml:space="preserve"> PSR (preamble symbol repetition) or SYNC length. </w:t>
      </w:r>
    </w:p>
    <w:p w14:paraId="49E866A1" w14:textId="77777777" w:rsidR="002446E3" w:rsidRDefault="002446E3" w:rsidP="000D52E3">
      <w:pPr>
        <w:rPr>
          <w:b/>
          <w:bCs/>
        </w:rPr>
      </w:pPr>
    </w:p>
    <w:p w14:paraId="17D5AE7D" w14:textId="31BE1750" w:rsidR="00002D17" w:rsidRDefault="0074662F" w:rsidP="000D52E3">
      <w:r>
        <w:rPr>
          <w:b/>
          <w:bCs/>
        </w:rPr>
        <w:t>TBD</w:t>
      </w:r>
      <w:r w:rsidR="00002D17" w:rsidRPr="00002D17">
        <w:rPr>
          <w:b/>
          <w:bCs/>
        </w:rPr>
        <w:t>:</w:t>
      </w:r>
      <w:r w:rsidR="00002D17">
        <w:t xml:space="preserve"> </w:t>
      </w:r>
      <w:r w:rsidR="00C23F39">
        <w:t>performance of Ipatov vs Kasami</w:t>
      </w:r>
      <w:r w:rsidR="00C16172">
        <w:t xml:space="preserve">. Collaboration from 4ab. </w:t>
      </w:r>
    </w:p>
    <w:p w14:paraId="649118E0" w14:textId="77777777" w:rsidR="00C16172" w:rsidRDefault="00C16172" w:rsidP="000D52E3"/>
    <w:p w14:paraId="3BC05878" w14:textId="4C9E6B7B" w:rsidR="00002D17" w:rsidRDefault="00C16172" w:rsidP="000D52E3">
      <w:r>
        <w:rPr>
          <w:b/>
          <w:bCs/>
        </w:rPr>
        <w:t>Maybe</w:t>
      </w:r>
      <w:r w:rsidR="00874EA9" w:rsidRPr="00874EA9">
        <w:rPr>
          <w:b/>
          <w:bCs/>
        </w:rPr>
        <w:t>:</w:t>
      </w:r>
      <w:r w:rsidR="00874EA9">
        <w:t xml:space="preserve"> </w:t>
      </w:r>
      <w:r>
        <w:t>define o</w:t>
      </w:r>
      <w:r w:rsidR="00874EA9">
        <w:t xml:space="preserve">ne set of sequences for 4ab and another set of sequences for 6ma? </w:t>
      </w:r>
    </w:p>
    <w:p w14:paraId="49DC9254" w14:textId="77777777" w:rsidR="00C73CB4" w:rsidRDefault="00C73CB4" w:rsidP="000D52E3"/>
    <w:p w14:paraId="12C8405C" w14:textId="4A26E513" w:rsidR="005A1CCC" w:rsidRDefault="005A1CCC" w:rsidP="000D52E3">
      <w:r w:rsidRPr="005A1CCC">
        <w:rPr>
          <w:b/>
          <w:bCs/>
        </w:rPr>
        <w:t>Observation:</w:t>
      </w:r>
      <w:r>
        <w:t xml:space="preserve"> </w:t>
      </w:r>
      <w:r w:rsidRPr="005A1CCC">
        <w:t>The intention of using the 4ab preamble sequences is for awareness of 4ab transmission as CCA</w:t>
      </w:r>
      <w:r>
        <w:t xml:space="preserve"> with only energy detection</w:t>
      </w:r>
      <w:r w:rsidRPr="005A1CCC">
        <w:t xml:space="preserve"> is unreliable.</w:t>
      </w:r>
      <w:r>
        <w:t xml:space="preserve"> </w:t>
      </w:r>
      <w:r w:rsidRPr="005A1CCC">
        <w:t>There is no intention of decoding 4ab information.</w:t>
      </w:r>
    </w:p>
    <w:p w14:paraId="0B69DE8C" w14:textId="778B523C" w:rsidR="00C16172" w:rsidRDefault="00C16172" w:rsidP="000D52E3"/>
    <w:p w14:paraId="36DEBC89" w14:textId="19F3AD9C" w:rsidR="00C16172" w:rsidRDefault="00C16172" w:rsidP="000D52E3"/>
    <w:p w14:paraId="34580B58" w14:textId="30B8085C" w:rsidR="00C16172" w:rsidRDefault="00C16172" w:rsidP="000D52E3"/>
    <w:p w14:paraId="1F257FA6" w14:textId="7C9ECF0E" w:rsidR="00C16172" w:rsidRDefault="00C16172" w:rsidP="000D52E3"/>
    <w:p w14:paraId="737A3E6C" w14:textId="33B9BCA2" w:rsidR="00C16172" w:rsidRDefault="00C16172" w:rsidP="000D52E3"/>
    <w:p w14:paraId="0AE31686" w14:textId="77777777" w:rsidR="005A1CCC" w:rsidRDefault="005A1CCC" w:rsidP="000D52E3"/>
    <w:p w14:paraId="32EB8881" w14:textId="7911DB38" w:rsidR="00002D17" w:rsidRPr="00002D17" w:rsidRDefault="00002D17" w:rsidP="000D52E3">
      <w:pPr>
        <w:rPr>
          <w:b/>
          <w:bCs/>
          <w:sz w:val="28"/>
          <w:szCs w:val="28"/>
        </w:rPr>
      </w:pPr>
      <w:r w:rsidRPr="00002D17">
        <w:rPr>
          <w:b/>
          <w:bCs/>
          <w:sz w:val="28"/>
          <w:szCs w:val="28"/>
        </w:rPr>
        <w:lastRenderedPageBreak/>
        <w:t>3. PHR</w:t>
      </w:r>
    </w:p>
    <w:p w14:paraId="764547E5" w14:textId="4094C752" w:rsidR="000D52E3" w:rsidRDefault="000D52E3" w:rsidP="000D52E3"/>
    <w:tbl>
      <w:tblPr>
        <w:tblStyle w:val="TableGrid"/>
        <w:tblW w:w="0" w:type="auto"/>
        <w:tblLook w:val="04A0" w:firstRow="1" w:lastRow="0" w:firstColumn="1" w:lastColumn="0" w:noHBand="0" w:noVBand="1"/>
      </w:tblPr>
      <w:tblGrid>
        <w:gridCol w:w="1615"/>
        <w:gridCol w:w="4680"/>
      </w:tblGrid>
      <w:tr w:rsidR="000D52E3" w14:paraId="690072AA" w14:textId="77777777" w:rsidTr="00002D17">
        <w:tc>
          <w:tcPr>
            <w:tcW w:w="1615" w:type="dxa"/>
          </w:tcPr>
          <w:p w14:paraId="4DE0221A" w14:textId="77777777" w:rsidR="000D52E3" w:rsidRDefault="000D52E3" w:rsidP="004724B2">
            <w:r>
              <w:t>15.6</w:t>
            </w:r>
          </w:p>
        </w:tc>
        <w:tc>
          <w:tcPr>
            <w:tcW w:w="4680" w:type="dxa"/>
          </w:tcPr>
          <w:p w14:paraId="2A891BE9" w14:textId="77777777" w:rsidR="000D52E3" w:rsidRDefault="000D52E3" w:rsidP="004724B2">
            <w:r>
              <w:t>PHR frame + HCS + FEC (Shortened BCH parity bits)</w:t>
            </w:r>
          </w:p>
        </w:tc>
      </w:tr>
      <w:tr w:rsidR="000D52E3" w14:paraId="110BC437" w14:textId="77777777" w:rsidTr="00002D17">
        <w:tc>
          <w:tcPr>
            <w:tcW w:w="1615" w:type="dxa"/>
          </w:tcPr>
          <w:p w14:paraId="513BC65D" w14:textId="77777777" w:rsidR="000D52E3" w:rsidRDefault="000D52E3" w:rsidP="004724B2"/>
        </w:tc>
        <w:tc>
          <w:tcPr>
            <w:tcW w:w="4680" w:type="dxa"/>
          </w:tcPr>
          <w:p w14:paraId="7D35B91F" w14:textId="77777777" w:rsidR="000D52E3" w:rsidRDefault="000D52E3" w:rsidP="004724B2"/>
        </w:tc>
      </w:tr>
      <w:tr w:rsidR="000D52E3" w14:paraId="1B2E3F7D" w14:textId="77777777" w:rsidTr="00002D17">
        <w:tc>
          <w:tcPr>
            <w:tcW w:w="1615" w:type="dxa"/>
          </w:tcPr>
          <w:p w14:paraId="0B731F77" w14:textId="77777777" w:rsidR="000D52E3" w:rsidRDefault="000D52E3" w:rsidP="004724B2">
            <w:r>
              <w:t>15.6ma</w:t>
            </w:r>
          </w:p>
        </w:tc>
        <w:tc>
          <w:tcPr>
            <w:tcW w:w="4680" w:type="dxa"/>
          </w:tcPr>
          <w:p w14:paraId="5A8AD585" w14:textId="77777777" w:rsidR="000D52E3" w:rsidRDefault="000D52E3" w:rsidP="004724B2">
            <w:r>
              <w:t xml:space="preserve"> New PHR frame + HCS + ? </w:t>
            </w:r>
          </w:p>
        </w:tc>
      </w:tr>
    </w:tbl>
    <w:p w14:paraId="58464EAA" w14:textId="00B0894F" w:rsidR="000D52E3" w:rsidRDefault="000D52E3" w:rsidP="000D52E3"/>
    <w:p w14:paraId="4C93B8C8" w14:textId="7BBF7366" w:rsidR="005A1CCC" w:rsidRDefault="0074662F" w:rsidP="000D52E3">
      <w:r w:rsidRPr="0074662F">
        <w:rPr>
          <w:b/>
          <w:bCs/>
        </w:rPr>
        <w:t>TBD:</w:t>
      </w:r>
      <w:r>
        <w:t xml:space="preserve"> </w:t>
      </w:r>
      <w:r w:rsidR="009476F5">
        <w:t xml:space="preserve">evaluation of </w:t>
      </w:r>
      <w:r w:rsidR="009476F5" w:rsidRPr="009476F5">
        <w:rPr>
          <w:b/>
          <w:bCs/>
        </w:rPr>
        <w:t>BCC</w:t>
      </w:r>
      <w:r>
        <w:t>.</w:t>
      </w:r>
      <w:r w:rsidR="005A1CCC">
        <w:t xml:space="preserve"> Check if 6ma can accommodate the PHR1 and PHR2 discussed in 4ab.</w:t>
      </w:r>
    </w:p>
    <w:p w14:paraId="40BB45D7" w14:textId="63383383" w:rsidR="00FA169B" w:rsidRDefault="00FA169B" w:rsidP="000D52E3"/>
    <w:p w14:paraId="7E1D18AE" w14:textId="3D48C139" w:rsidR="00E4630B" w:rsidRDefault="00E4630B" w:rsidP="000D52E3"/>
    <w:p w14:paraId="2B2984D8" w14:textId="5CF42DCD" w:rsidR="00E4630B" w:rsidRDefault="00E4630B" w:rsidP="000D52E3">
      <w:pPr>
        <w:rPr>
          <w:b/>
          <w:bCs/>
          <w:sz w:val="28"/>
          <w:szCs w:val="28"/>
        </w:rPr>
      </w:pPr>
      <w:r w:rsidRPr="00E4630B">
        <w:rPr>
          <w:b/>
          <w:bCs/>
          <w:sz w:val="28"/>
          <w:szCs w:val="28"/>
        </w:rPr>
        <w:t>4. MAC</w:t>
      </w:r>
    </w:p>
    <w:p w14:paraId="1E8E02B1" w14:textId="77777777" w:rsidR="00E4630B" w:rsidRPr="00E4630B" w:rsidRDefault="00E4630B" w:rsidP="000D52E3">
      <w:pPr>
        <w:rPr>
          <w:b/>
          <w:bCs/>
          <w:sz w:val="28"/>
          <w:szCs w:val="28"/>
        </w:rPr>
      </w:pPr>
    </w:p>
    <w:p w14:paraId="5B79D707" w14:textId="25F9021C" w:rsidR="00E4630B" w:rsidRDefault="00E4630B" w:rsidP="000D52E3">
      <w:r>
        <w:t>6ma is working out a simple MAC:</w:t>
      </w:r>
    </w:p>
    <w:p w14:paraId="5CD2B96C" w14:textId="1B20487E" w:rsidR="00DA3A37" w:rsidRDefault="00DA3A37" w:rsidP="000D52E3"/>
    <w:p w14:paraId="4089BE99" w14:textId="35132F60" w:rsidR="00DA3A37" w:rsidRPr="00DA3A37" w:rsidRDefault="00DA3A37" w:rsidP="00DA3A37">
      <w:pPr>
        <w:pStyle w:val="ListParagraph"/>
        <w:numPr>
          <w:ilvl w:val="0"/>
          <w:numId w:val="30"/>
        </w:numPr>
        <w:rPr>
          <w:i/>
          <w:iCs/>
          <w:sz w:val="22"/>
          <w:szCs w:val="20"/>
        </w:rPr>
      </w:pPr>
      <w:r w:rsidRPr="00DA3A37">
        <w:rPr>
          <w:i/>
          <w:iCs/>
          <w:sz w:val="22"/>
          <w:szCs w:val="20"/>
        </w:rPr>
        <w:t>Data channel</w:t>
      </w:r>
    </w:p>
    <w:p w14:paraId="2F7CF518" w14:textId="77777777" w:rsidR="00E4630B" w:rsidRDefault="00E4630B" w:rsidP="000D52E3"/>
    <w:tbl>
      <w:tblPr>
        <w:tblStyle w:val="TableGrid"/>
        <w:tblW w:w="0" w:type="auto"/>
        <w:jc w:val="center"/>
        <w:tblLook w:val="04A0" w:firstRow="1" w:lastRow="0" w:firstColumn="1" w:lastColumn="0" w:noHBand="0" w:noVBand="1"/>
      </w:tblPr>
      <w:tblGrid>
        <w:gridCol w:w="2337"/>
        <w:gridCol w:w="808"/>
        <w:gridCol w:w="900"/>
        <w:gridCol w:w="1080"/>
      </w:tblGrid>
      <w:tr w:rsidR="00E4630B" w14:paraId="122640A0" w14:textId="77777777" w:rsidTr="00E4630B">
        <w:trPr>
          <w:jc w:val="center"/>
        </w:trPr>
        <w:tc>
          <w:tcPr>
            <w:tcW w:w="2337" w:type="dxa"/>
          </w:tcPr>
          <w:p w14:paraId="0CB2ED7B" w14:textId="121D2EBC" w:rsidR="00E4630B" w:rsidRDefault="00E4630B" w:rsidP="00737B7F">
            <w:pPr>
              <w:jc w:val="center"/>
            </w:pPr>
            <w:r>
              <w:t>Network management</w:t>
            </w:r>
          </w:p>
        </w:tc>
        <w:tc>
          <w:tcPr>
            <w:tcW w:w="808" w:type="dxa"/>
          </w:tcPr>
          <w:p w14:paraId="474D3D08" w14:textId="0BAD0429" w:rsidR="00E4630B" w:rsidRDefault="00E4630B" w:rsidP="00737B7F">
            <w:pPr>
              <w:jc w:val="center"/>
            </w:pPr>
            <w:r>
              <w:t>CFP</w:t>
            </w:r>
          </w:p>
        </w:tc>
        <w:tc>
          <w:tcPr>
            <w:tcW w:w="900" w:type="dxa"/>
          </w:tcPr>
          <w:p w14:paraId="792B4254" w14:textId="3A056D7A" w:rsidR="00E4630B" w:rsidRDefault="00E4630B" w:rsidP="00737B7F">
            <w:pPr>
              <w:jc w:val="center"/>
            </w:pPr>
            <w:r>
              <w:t>CAP</w:t>
            </w:r>
          </w:p>
        </w:tc>
        <w:tc>
          <w:tcPr>
            <w:tcW w:w="1080" w:type="dxa"/>
          </w:tcPr>
          <w:p w14:paraId="0B9C9C56" w14:textId="08F84271" w:rsidR="00E4630B" w:rsidRDefault="00E4630B" w:rsidP="00737B7F">
            <w:pPr>
              <w:jc w:val="center"/>
            </w:pPr>
            <w:r>
              <w:t>Inactive</w:t>
            </w:r>
          </w:p>
        </w:tc>
      </w:tr>
    </w:tbl>
    <w:p w14:paraId="325BF0C8" w14:textId="3C0D447A" w:rsidR="00E4630B" w:rsidRDefault="00E4630B" w:rsidP="000D52E3"/>
    <w:p w14:paraId="09C415F1" w14:textId="77777777" w:rsidR="00DA3A37" w:rsidRDefault="00DA3A37" w:rsidP="00DA3A37">
      <w:pPr>
        <w:pStyle w:val="ListParagraph"/>
        <w:ind w:left="720"/>
        <w:rPr>
          <w:sz w:val="22"/>
          <w:szCs w:val="20"/>
        </w:rPr>
      </w:pPr>
    </w:p>
    <w:p w14:paraId="63A9E716" w14:textId="77777777" w:rsidR="00DA3A37" w:rsidRPr="00DA3A37" w:rsidRDefault="00DA3A37" w:rsidP="000D52E3">
      <w:pPr>
        <w:pStyle w:val="ListParagraph"/>
        <w:numPr>
          <w:ilvl w:val="0"/>
          <w:numId w:val="30"/>
        </w:numPr>
        <w:rPr>
          <w:i/>
          <w:iCs/>
          <w:sz w:val="22"/>
          <w:szCs w:val="20"/>
        </w:rPr>
      </w:pPr>
      <w:r w:rsidRPr="00DA3A37">
        <w:rPr>
          <w:i/>
          <w:iCs/>
          <w:sz w:val="22"/>
          <w:szCs w:val="20"/>
        </w:rPr>
        <w:t>Control channel</w:t>
      </w:r>
    </w:p>
    <w:p w14:paraId="4F45134A" w14:textId="03620D6E" w:rsidR="00E4630B" w:rsidRPr="00DA3A37" w:rsidRDefault="00DA3A37" w:rsidP="00DA3A37">
      <w:pPr>
        <w:pStyle w:val="ListParagraph"/>
        <w:ind w:left="720"/>
        <w:rPr>
          <w:sz w:val="18"/>
          <w:szCs w:val="16"/>
        </w:rPr>
      </w:pPr>
      <w:r w:rsidRPr="00DA3A37">
        <w:rPr>
          <w:sz w:val="22"/>
          <w:szCs w:val="20"/>
        </w:rPr>
        <w:t xml:space="preserve">And the use of a Control channel in another frequency band for management of BANs within transmission range. </w:t>
      </w:r>
    </w:p>
    <w:p w14:paraId="45C81437" w14:textId="27BC5813" w:rsidR="00DA3A37" w:rsidRDefault="00DA3A37" w:rsidP="000D52E3"/>
    <w:p w14:paraId="7F8B9F6C" w14:textId="77777777" w:rsidR="00DA3A37" w:rsidRDefault="00DA3A37" w:rsidP="000D52E3"/>
    <w:p w14:paraId="7BF1DE98" w14:textId="5CB4682D" w:rsidR="00E4630B" w:rsidRDefault="00E4630B" w:rsidP="000D52E3">
      <w:r>
        <w:t xml:space="preserve">The MAC does not seem to </w:t>
      </w:r>
      <w:r w:rsidR="00737B7F">
        <w:t>require</w:t>
      </w:r>
      <w:r>
        <w:t xml:space="preserve"> harmonization. </w:t>
      </w:r>
    </w:p>
    <w:p w14:paraId="1F252A66" w14:textId="57118B7F" w:rsidR="00E4630B" w:rsidRDefault="00E4630B" w:rsidP="000D52E3"/>
    <w:p w14:paraId="359DD2FC" w14:textId="4B8A319E" w:rsidR="00E4630B" w:rsidRDefault="00E4630B" w:rsidP="000D52E3">
      <w:r w:rsidRPr="00E4630B">
        <w:rPr>
          <w:b/>
          <w:bCs/>
        </w:rPr>
        <w:t>Observation:</w:t>
      </w:r>
      <w:r>
        <w:t xml:space="preserve"> Upon detection of 4ab transmissions, the MAC may trigger coexistence mechanism, like random back off</w:t>
      </w:r>
      <w:r w:rsidR="00DA3A37">
        <w:t xml:space="preserve">, use of HARQ, change of frequency band, etc. </w:t>
      </w:r>
    </w:p>
    <w:p w14:paraId="2C0D87A6" w14:textId="77777777" w:rsidR="00DA3A37" w:rsidRDefault="00DA3A37" w:rsidP="000D52E3"/>
    <w:p w14:paraId="4B7E4A1A" w14:textId="46ED9D64" w:rsidR="00E4630B" w:rsidRDefault="00E4630B" w:rsidP="000D52E3"/>
    <w:p w14:paraId="24BBDCEC" w14:textId="77777777" w:rsidR="00E4630B" w:rsidRDefault="00E4630B" w:rsidP="000D52E3"/>
    <w:p w14:paraId="09AFECC8" w14:textId="77777777" w:rsidR="009476F5" w:rsidRDefault="009476F5" w:rsidP="000D52E3"/>
    <w:p w14:paraId="459234C3" w14:textId="07D24AC9" w:rsidR="005A1CCC" w:rsidRDefault="005A1CCC">
      <w:r>
        <w:br w:type="page"/>
      </w:r>
    </w:p>
    <w:p w14:paraId="7A484050" w14:textId="77777777" w:rsidR="009476F5" w:rsidRDefault="009476F5" w:rsidP="000D52E3"/>
    <w:p w14:paraId="0F905360" w14:textId="7C915866" w:rsidR="00002D17" w:rsidRPr="00002D17" w:rsidRDefault="00E4630B" w:rsidP="000D52E3">
      <w:pPr>
        <w:rPr>
          <w:b/>
          <w:bCs/>
          <w:sz w:val="28"/>
          <w:szCs w:val="28"/>
        </w:rPr>
      </w:pPr>
      <w:r>
        <w:rPr>
          <w:b/>
          <w:bCs/>
          <w:sz w:val="28"/>
          <w:szCs w:val="28"/>
        </w:rPr>
        <w:t>5</w:t>
      </w:r>
      <w:r w:rsidR="00002D17" w:rsidRPr="00002D17">
        <w:rPr>
          <w:b/>
          <w:bCs/>
          <w:sz w:val="28"/>
          <w:szCs w:val="28"/>
        </w:rPr>
        <w:t>. Potential deprecation</w:t>
      </w:r>
      <w:r w:rsidR="006637D9">
        <w:rPr>
          <w:b/>
          <w:bCs/>
          <w:sz w:val="28"/>
          <w:szCs w:val="28"/>
        </w:rPr>
        <w:t xml:space="preserve"> in 15.6</w:t>
      </w:r>
      <w:r w:rsidR="00D617F6">
        <w:rPr>
          <w:b/>
          <w:bCs/>
          <w:sz w:val="28"/>
          <w:szCs w:val="28"/>
        </w:rPr>
        <w:t>ma</w:t>
      </w:r>
    </w:p>
    <w:p w14:paraId="1C44A8B3" w14:textId="77777777" w:rsidR="000D52E3" w:rsidRDefault="000D52E3" w:rsidP="000D52E3"/>
    <w:p w14:paraId="1108A5CF" w14:textId="42B03140" w:rsidR="000D52E3" w:rsidRDefault="000D52E3" w:rsidP="000D52E3"/>
    <w:tbl>
      <w:tblPr>
        <w:tblStyle w:val="TableGrid"/>
        <w:tblW w:w="0" w:type="auto"/>
        <w:tblLook w:val="04A0" w:firstRow="1" w:lastRow="0" w:firstColumn="1" w:lastColumn="0" w:noHBand="0" w:noVBand="1"/>
      </w:tblPr>
      <w:tblGrid>
        <w:gridCol w:w="3775"/>
        <w:gridCol w:w="5575"/>
      </w:tblGrid>
      <w:tr w:rsidR="000D52E3" w:rsidRPr="002E03E0" w14:paraId="5CB53B2E" w14:textId="77777777" w:rsidTr="004724B2">
        <w:tc>
          <w:tcPr>
            <w:tcW w:w="3775" w:type="dxa"/>
          </w:tcPr>
          <w:p w14:paraId="13CDB451" w14:textId="77777777" w:rsidR="000D52E3" w:rsidRPr="002E03E0" w:rsidRDefault="000D52E3" w:rsidP="004724B2">
            <w:r w:rsidRPr="002E03E0">
              <w:t>Differentially encoded PSK modulation</w:t>
            </w:r>
          </w:p>
        </w:tc>
        <w:tc>
          <w:tcPr>
            <w:tcW w:w="5575" w:type="dxa"/>
          </w:tcPr>
          <w:p w14:paraId="558B5127" w14:textId="77777777" w:rsidR="000D52E3" w:rsidRPr="002E03E0" w:rsidRDefault="000D52E3" w:rsidP="004724B2"/>
        </w:tc>
      </w:tr>
      <w:tr w:rsidR="000D52E3" w:rsidRPr="002E03E0" w14:paraId="24AC32E2" w14:textId="77777777" w:rsidTr="004724B2">
        <w:tc>
          <w:tcPr>
            <w:tcW w:w="3775" w:type="dxa"/>
          </w:tcPr>
          <w:p w14:paraId="2FAC30C6" w14:textId="77777777" w:rsidR="000D52E3" w:rsidRPr="002E03E0" w:rsidRDefault="000D52E3" w:rsidP="004724B2">
            <w:r w:rsidRPr="002E03E0">
              <w:t>Type II HARQ</w:t>
            </w:r>
          </w:p>
        </w:tc>
        <w:tc>
          <w:tcPr>
            <w:tcW w:w="5575" w:type="dxa"/>
          </w:tcPr>
          <w:p w14:paraId="7BD7E655" w14:textId="77777777" w:rsidR="000D52E3" w:rsidRPr="002E03E0" w:rsidRDefault="000D52E3" w:rsidP="004724B2"/>
        </w:tc>
      </w:tr>
      <w:tr w:rsidR="000D52E3" w:rsidRPr="002E03E0" w14:paraId="5D38E9AA" w14:textId="77777777" w:rsidTr="004724B2">
        <w:tc>
          <w:tcPr>
            <w:tcW w:w="3775" w:type="dxa"/>
          </w:tcPr>
          <w:p w14:paraId="7D28C012" w14:textId="73F0F78A" w:rsidR="000D52E3" w:rsidRPr="002E03E0" w:rsidRDefault="000D52E3" w:rsidP="004724B2">
            <w:r w:rsidRPr="002E03E0">
              <w:t>FM-UWB</w:t>
            </w:r>
          </w:p>
        </w:tc>
        <w:tc>
          <w:tcPr>
            <w:tcW w:w="5575" w:type="dxa"/>
          </w:tcPr>
          <w:p w14:paraId="1F5D66AE" w14:textId="77777777" w:rsidR="000D52E3" w:rsidRPr="002E03E0" w:rsidRDefault="000D52E3" w:rsidP="004724B2"/>
        </w:tc>
      </w:tr>
      <w:tr w:rsidR="000D52E3" w:rsidRPr="002E03E0" w14:paraId="36FA9BE3" w14:textId="77777777" w:rsidTr="004724B2">
        <w:tc>
          <w:tcPr>
            <w:tcW w:w="3775" w:type="dxa"/>
          </w:tcPr>
          <w:p w14:paraId="6B691165" w14:textId="77777777" w:rsidR="000D52E3" w:rsidRPr="002E03E0" w:rsidRDefault="000D52E3" w:rsidP="004724B2">
            <w:r w:rsidRPr="002E03E0">
              <w:t>Pulse shapes</w:t>
            </w:r>
          </w:p>
        </w:tc>
        <w:tc>
          <w:tcPr>
            <w:tcW w:w="5575" w:type="dxa"/>
          </w:tcPr>
          <w:p w14:paraId="38CD4C73" w14:textId="6AEA00E5" w:rsidR="000D52E3" w:rsidRPr="002E03E0" w:rsidRDefault="000D52E3" w:rsidP="004724B2">
            <w:r>
              <w:t xml:space="preserve">Only the spectral mask requires specification. </w:t>
            </w:r>
            <w:r w:rsidR="004A3068">
              <w:t>Pulse shapes are implementation dependent.</w:t>
            </w:r>
          </w:p>
        </w:tc>
      </w:tr>
    </w:tbl>
    <w:p w14:paraId="473B3193" w14:textId="77777777" w:rsidR="000D52E3" w:rsidRDefault="000D52E3" w:rsidP="000D52E3"/>
    <w:p w14:paraId="1A5A5763" w14:textId="6E9FC2CF" w:rsidR="00BB41EB" w:rsidRDefault="00BB41EB" w:rsidP="001707CC">
      <w:pPr>
        <w:jc w:val="both"/>
        <w:rPr>
          <w:color w:val="auto"/>
          <w:sz w:val="22"/>
          <w:szCs w:val="22"/>
        </w:rPr>
      </w:pPr>
    </w:p>
    <w:sectPr w:rsidR="00BB41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E6C0" w14:textId="77777777" w:rsidR="006C6B41" w:rsidRDefault="006C6B41">
      <w:r>
        <w:separator/>
      </w:r>
    </w:p>
  </w:endnote>
  <w:endnote w:type="continuationSeparator" w:id="0">
    <w:p w14:paraId="1E2FB6C8" w14:textId="77777777" w:rsidR="006C6B41" w:rsidRDefault="006C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E917" w14:textId="77777777" w:rsidR="006C6B41" w:rsidRDefault="006C6B41">
      <w:r>
        <w:separator/>
      </w:r>
    </w:p>
  </w:footnote>
  <w:footnote w:type="continuationSeparator" w:id="0">
    <w:p w14:paraId="31DD8E48" w14:textId="77777777" w:rsidR="006C6B41" w:rsidRDefault="006C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CE27EF2" w:rsidR="00DC5E72" w:rsidRDefault="00204A9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February</w:t>
    </w:r>
    <w:r w:rsidR="004A4D69">
      <w:rPr>
        <w:b/>
        <w:sz w:val="28"/>
      </w:rPr>
      <w:t xml:space="preserve"> 202</w:t>
    </w:r>
    <w:r>
      <w:rPr>
        <w:b/>
        <w:sz w:val="28"/>
      </w:rPr>
      <w:t>3</w:t>
    </w:r>
    <w:r w:rsidR="00DC5E72">
      <w:rPr>
        <w:b/>
        <w:sz w:val="28"/>
      </w:rPr>
      <w:tab/>
      <w:t xml:space="preserve"> IEEE P802.15-</w:t>
    </w:r>
    <w:r w:rsidR="00DA688F">
      <w:rPr>
        <w:b/>
        <w:sz w:val="28"/>
      </w:rPr>
      <w:t>2</w:t>
    </w:r>
    <w:r>
      <w:rPr>
        <w:b/>
        <w:sz w:val="28"/>
      </w:rPr>
      <w:t>3</w:t>
    </w:r>
    <w:r w:rsidR="00DA688F">
      <w:rPr>
        <w:b/>
        <w:sz w:val="28"/>
      </w:rPr>
      <w:t>-0</w:t>
    </w:r>
    <w:r w:rsidR="00033EF1">
      <w:rPr>
        <w:b/>
        <w:sz w:val="28"/>
      </w:rPr>
      <w:t>102</w:t>
    </w:r>
    <w:r w:rsidR="00DA688F">
      <w:rPr>
        <w:b/>
        <w:sz w:val="28"/>
      </w:rPr>
      <w:t>-0</w:t>
    </w:r>
    <w:r w:rsidR="00735E22">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6"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27D1C"/>
    <w:multiLevelType w:val="hybridMultilevel"/>
    <w:tmpl w:val="CBA89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6"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5"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01850">
    <w:abstractNumId w:val="26"/>
  </w:num>
  <w:num w:numId="2" w16cid:durableId="365981786">
    <w:abstractNumId w:val="3"/>
  </w:num>
  <w:num w:numId="3" w16cid:durableId="206184536">
    <w:abstractNumId w:val="15"/>
  </w:num>
  <w:num w:numId="4" w16cid:durableId="1206333878">
    <w:abstractNumId w:val="25"/>
  </w:num>
  <w:num w:numId="5" w16cid:durableId="400366627">
    <w:abstractNumId w:val="13"/>
  </w:num>
  <w:num w:numId="6" w16cid:durableId="670763544">
    <w:abstractNumId w:val="24"/>
  </w:num>
  <w:num w:numId="7" w16cid:durableId="366762465">
    <w:abstractNumId w:val="7"/>
  </w:num>
  <w:num w:numId="8" w16cid:durableId="1073091756">
    <w:abstractNumId w:val="12"/>
  </w:num>
  <w:num w:numId="9" w16cid:durableId="493490337">
    <w:abstractNumId w:val="27"/>
  </w:num>
  <w:num w:numId="10" w16cid:durableId="1634828248">
    <w:abstractNumId w:val="16"/>
  </w:num>
  <w:num w:numId="11" w16cid:durableId="400519882">
    <w:abstractNumId w:val="8"/>
  </w:num>
  <w:num w:numId="12" w16cid:durableId="740565541">
    <w:abstractNumId w:val="1"/>
  </w:num>
  <w:num w:numId="13" w16cid:durableId="1313680118">
    <w:abstractNumId w:val="0"/>
  </w:num>
  <w:num w:numId="14" w16cid:durableId="1555196240">
    <w:abstractNumId w:val="5"/>
  </w:num>
  <w:num w:numId="15" w16cid:durableId="2129815713">
    <w:abstractNumId w:val="2"/>
  </w:num>
  <w:num w:numId="16" w16cid:durableId="2038654194">
    <w:abstractNumId w:val="14"/>
  </w:num>
  <w:num w:numId="17" w16cid:durableId="1071274472">
    <w:abstractNumId w:val="6"/>
  </w:num>
  <w:num w:numId="18" w16cid:durableId="250743696">
    <w:abstractNumId w:val="28"/>
  </w:num>
  <w:num w:numId="19" w16cid:durableId="1695836869">
    <w:abstractNumId w:val="10"/>
  </w:num>
  <w:num w:numId="20" w16cid:durableId="668756562">
    <w:abstractNumId w:val="23"/>
  </w:num>
  <w:num w:numId="21" w16cid:durableId="1462185049">
    <w:abstractNumId w:val="22"/>
  </w:num>
  <w:num w:numId="22" w16cid:durableId="166873486">
    <w:abstractNumId w:val="17"/>
  </w:num>
  <w:num w:numId="23" w16cid:durableId="419451622">
    <w:abstractNumId w:val="21"/>
  </w:num>
  <w:num w:numId="24" w16cid:durableId="120089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011968">
    <w:abstractNumId w:val="20"/>
  </w:num>
  <w:num w:numId="26" w16cid:durableId="1302926087">
    <w:abstractNumId w:val="4"/>
  </w:num>
  <w:num w:numId="27" w16cid:durableId="253824431">
    <w:abstractNumId w:val="18"/>
  </w:num>
  <w:num w:numId="28" w16cid:durableId="1975015527">
    <w:abstractNumId w:val="11"/>
  </w:num>
  <w:num w:numId="29" w16cid:durableId="535241794">
    <w:abstractNumId w:val="19"/>
  </w:num>
  <w:num w:numId="30" w16cid:durableId="1537310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02D17"/>
    <w:rsid w:val="00011CA1"/>
    <w:rsid w:val="00017A99"/>
    <w:rsid w:val="000201BA"/>
    <w:rsid w:val="00033EF1"/>
    <w:rsid w:val="000460FC"/>
    <w:rsid w:val="000529DE"/>
    <w:rsid w:val="0005468E"/>
    <w:rsid w:val="00057A89"/>
    <w:rsid w:val="00071B7E"/>
    <w:rsid w:val="000724A0"/>
    <w:rsid w:val="00073CDC"/>
    <w:rsid w:val="000769C7"/>
    <w:rsid w:val="0009584B"/>
    <w:rsid w:val="000B287F"/>
    <w:rsid w:val="000C30ED"/>
    <w:rsid w:val="000D1CA3"/>
    <w:rsid w:val="000D52E3"/>
    <w:rsid w:val="000D7EC6"/>
    <w:rsid w:val="000E3D25"/>
    <w:rsid w:val="000E4900"/>
    <w:rsid w:val="000E5FF5"/>
    <w:rsid w:val="001062DB"/>
    <w:rsid w:val="00107FE7"/>
    <w:rsid w:val="001236C1"/>
    <w:rsid w:val="00126B26"/>
    <w:rsid w:val="001338DE"/>
    <w:rsid w:val="00137FEB"/>
    <w:rsid w:val="00150146"/>
    <w:rsid w:val="00161F41"/>
    <w:rsid w:val="001624A2"/>
    <w:rsid w:val="00162877"/>
    <w:rsid w:val="00165E8C"/>
    <w:rsid w:val="001707CC"/>
    <w:rsid w:val="00181537"/>
    <w:rsid w:val="001854FA"/>
    <w:rsid w:val="0019192C"/>
    <w:rsid w:val="00194ED9"/>
    <w:rsid w:val="001B7BBC"/>
    <w:rsid w:val="001C31FE"/>
    <w:rsid w:val="001D06F8"/>
    <w:rsid w:val="001D070F"/>
    <w:rsid w:val="001D1331"/>
    <w:rsid w:val="001D2099"/>
    <w:rsid w:val="001F71A0"/>
    <w:rsid w:val="00204A98"/>
    <w:rsid w:val="00205FD0"/>
    <w:rsid w:val="00210B54"/>
    <w:rsid w:val="002124F2"/>
    <w:rsid w:val="0021678E"/>
    <w:rsid w:val="00225568"/>
    <w:rsid w:val="002310D7"/>
    <w:rsid w:val="002338E2"/>
    <w:rsid w:val="00242C0E"/>
    <w:rsid w:val="002446E3"/>
    <w:rsid w:val="00254F18"/>
    <w:rsid w:val="00262196"/>
    <w:rsid w:val="00277AA0"/>
    <w:rsid w:val="002A1E77"/>
    <w:rsid w:val="002A7064"/>
    <w:rsid w:val="002B0988"/>
    <w:rsid w:val="002B779E"/>
    <w:rsid w:val="002C6F76"/>
    <w:rsid w:val="002D7D57"/>
    <w:rsid w:val="00303C80"/>
    <w:rsid w:val="00310115"/>
    <w:rsid w:val="00324E8A"/>
    <w:rsid w:val="00330552"/>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3F6B8E"/>
    <w:rsid w:val="00400160"/>
    <w:rsid w:val="004037DF"/>
    <w:rsid w:val="00416AAE"/>
    <w:rsid w:val="00425B96"/>
    <w:rsid w:val="00427494"/>
    <w:rsid w:val="004320C0"/>
    <w:rsid w:val="00432A48"/>
    <w:rsid w:val="00436300"/>
    <w:rsid w:val="00436804"/>
    <w:rsid w:val="00436952"/>
    <w:rsid w:val="004374AD"/>
    <w:rsid w:val="004459CA"/>
    <w:rsid w:val="00446538"/>
    <w:rsid w:val="00456857"/>
    <w:rsid w:val="00457E15"/>
    <w:rsid w:val="00466A06"/>
    <w:rsid w:val="00467C10"/>
    <w:rsid w:val="004905A8"/>
    <w:rsid w:val="00496E3C"/>
    <w:rsid w:val="004A0E20"/>
    <w:rsid w:val="004A3068"/>
    <w:rsid w:val="004A4A81"/>
    <w:rsid w:val="004A4D69"/>
    <w:rsid w:val="004B13B1"/>
    <w:rsid w:val="004B5901"/>
    <w:rsid w:val="004B755F"/>
    <w:rsid w:val="004B7634"/>
    <w:rsid w:val="004C05C6"/>
    <w:rsid w:val="004C10CF"/>
    <w:rsid w:val="004C14CE"/>
    <w:rsid w:val="004C57E2"/>
    <w:rsid w:val="004D120B"/>
    <w:rsid w:val="004D3BC7"/>
    <w:rsid w:val="004E3A07"/>
    <w:rsid w:val="004E53A3"/>
    <w:rsid w:val="004F02E9"/>
    <w:rsid w:val="00500489"/>
    <w:rsid w:val="00505502"/>
    <w:rsid w:val="00513A9A"/>
    <w:rsid w:val="00516928"/>
    <w:rsid w:val="00532A18"/>
    <w:rsid w:val="00537A6A"/>
    <w:rsid w:val="00537B64"/>
    <w:rsid w:val="005534B7"/>
    <w:rsid w:val="00560633"/>
    <w:rsid w:val="005713E5"/>
    <w:rsid w:val="00574B30"/>
    <w:rsid w:val="00584CEA"/>
    <w:rsid w:val="00593E19"/>
    <w:rsid w:val="005A1CCC"/>
    <w:rsid w:val="005B278E"/>
    <w:rsid w:val="005B6207"/>
    <w:rsid w:val="005C0839"/>
    <w:rsid w:val="005C1B47"/>
    <w:rsid w:val="005C38F2"/>
    <w:rsid w:val="005C4488"/>
    <w:rsid w:val="005C55C0"/>
    <w:rsid w:val="005C5B34"/>
    <w:rsid w:val="005C7D49"/>
    <w:rsid w:val="005D3FAC"/>
    <w:rsid w:val="005F35FF"/>
    <w:rsid w:val="005F4A4A"/>
    <w:rsid w:val="00600B05"/>
    <w:rsid w:val="0060669E"/>
    <w:rsid w:val="006178F1"/>
    <w:rsid w:val="006238BB"/>
    <w:rsid w:val="00625C46"/>
    <w:rsid w:val="0062703D"/>
    <w:rsid w:val="006637D9"/>
    <w:rsid w:val="0068106B"/>
    <w:rsid w:val="00685775"/>
    <w:rsid w:val="006874D1"/>
    <w:rsid w:val="00690564"/>
    <w:rsid w:val="00695EC3"/>
    <w:rsid w:val="00697BB8"/>
    <w:rsid w:val="006B18B9"/>
    <w:rsid w:val="006C4DE8"/>
    <w:rsid w:val="006C6B41"/>
    <w:rsid w:val="006D0514"/>
    <w:rsid w:val="006D0F37"/>
    <w:rsid w:val="006D2CD8"/>
    <w:rsid w:val="006E1DB8"/>
    <w:rsid w:val="006F2F46"/>
    <w:rsid w:val="006F45E0"/>
    <w:rsid w:val="00701E6C"/>
    <w:rsid w:val="007044D9"/>
    <w:rsid w:val="007077A8"/>
    <w:rsid w:val="00712E0C"/>
    <w:rsid w:val="00713D0B"/>
    <w:rsid w:val="007155B6"/>
    <w:rsid w:val="00732A91"/>
    <w:rsid w:val="00732F16"/>
    <w:rsid w:val="007343C5"/>
    <w:rsid w:val="0073505B"/>
    <w:rsid w:val="00735E22"/>
    <w:rsid w:val="00737B7F"/>
    <w:rsid w:val="00741DCF"/>
    <w:rsid w:val="0074662F"/>
    <w:rsid w:val="00750936"/>
    <w:rsid w:val="00751F41"/>
    <w:rsid w:val="00763CFD"/>
    <w:rsid w:val="00763E31"/>
    <w:rsid w:val="00765E5E"/>
    <w:rsid w:val="00766AE0"/>
    <w:rsid w:val="00792C79"/>
    <w:rsid w:val="00796AF6"/>
    <w:rsid w:val="007A3B71"/>
    <w:rsid w:val="007A3B80"/>
    <w:rsid w:val="007A3D0A"/>
    <w:rsid w:val="007A40A2"/>
    <w:rsid w:val="007B687D"/>
    <w:rsid w:val="007C4CC0"/>
    <w:rsid w:val="007C4E5B"/>
    <w:rsid w:val="007D305F"/>
    <w:rsid w:val="007E2A24"/>
    <w:rsid w:val="007E2A38"/>
    <w:rsid w:val="007E3229"/>
    <w:rsid w:val="007E6EDD"/>
    <w:rsid w:val="007F4EC9"/>
    <w:rsid w:val="00803B8A"/>
    <w:rsid w:val="00805B89"/>
    <w:rsid w:val="00813774"/>
    <w:rsid w:val="00823CF0"/>
    <w:rsid w:val="00845F3D"/>
    <w:rsid w:val="008472A7"/>
    <w:rsid w:val="0085051A"/>
    <w:rsid w:val="00862323"/>
    <w:rsid w:val="00867067"/>
    <w:rsid w:val="0087137B"/>
    <w:rsid w:val="008717EC"/>
    <w:rsid w:val="00874EA9"/>
    <w:rsid w:val="00875DDD"/>
    <w:rsid w:val="0088033E"/>
    <w:rsid w:val="008870AD"/>
    <w:rsid w:val="00893B3C"/>
    <w:rsid w:val="008964EC"/>
    <w:rsid w:val="008A5E61"/>
    <w:rsid w:val="008A7A37"/>
    <w:rsid w:val="008B3831"/>
    <w:rsid w:val="008B64D8"/>
    <w:rsid w:val="008B7034"/>
    <w:rsid w:val="008D2848"/>
    <w:rsid w:val="008D6B88"/>
    <w:rsid w:val="008D7EC6"/>
    <w:rsid w:val="008E0B66"/>
    <w:rsid w:val="008E66B0"/>
    <w:rsid w:val="008F13CC"/>
    <w:rsid w:val="009142B2"/>
    <w:rsid w:val="009149DB"/>
    <w:rsid w:val="009304F7"/>
    <w:rsid w:val="0093086F"/>
    <w:rsid w:val="009476F5"/>
    <w:rsid w:val="0095085B"/>
    <w:rsid w:val="0095158D"/>
    <w:rsid w:val="009833B3"/>
    <w:rsid w:val="00983DDA"/>
    <w:rsid w:val="00983E42"/>
    <w:rsid w:val="00984572"/>
    <w:rsid w:val="00990B6C"/>
    <w:rsid w:val="009932C1"/>
    <w:rsid w:val="00997367"/>
    <w:rsid w:val="009A7F34"/>
    <w:rsid w:val="009B548A"/>
    <w:rsid w:val="009B5528"/>
    <w:rsid w:val="00A030EC"/>
    <w:rsid w:val="00A0777A"/>
    <w:rsid w:val="00A227B7"/>
    <w:rsid w:val="00A23441"/>
    <w:rsid w:val="00A27B81"/>
    <w:rsid w:val="00A513F6"/>
    <w:rsid w:val="00A51F27"/>
    <w:rsid w:val="00A546C3"/>
    <w:rsid w:val="00A60996"/>
    <w:rsid w:val="00A61972"/>
    <w:rsid w:val="00A70E99"/>
    <w:rsid w:val="00A87983"/>
    <w:rsid w:val="00A9561E"/>
    <w:rsid w:val="00AA10AB"/>
    <w:rsid w:val="00AB1DD1"/>
    <w:rsid w:val="00AB7BE4"/>
    <w:rsid w:val="00AD5D85"/>
    <w:rsid w:val="00AF450E"/>
    <w:rsid w:val="00B0493F"/>
    <w:rsid w:val="00B06BBE"/>
    <w:rsid w:val="00B07570"/>
    <w:rsid w:val="00B157AF"/>
    <w:rsid w:val="00B20755"/>
    <w:rsid w:val="00B23492"/>
    <w:rsid w:val="00B45DC7"/>
    <w:rsid w:val="00B5199A"/>
    <w:rsid w:val="00B5630E"/>
    <w:rsid w:val="00B60D9F"/>
    <w:rsid w:val="00B61888"/>
    <w:rsid w:val="00B621C2"/>
    <w:rsid w:val="00B714FD"/>
    <w:rsid w:val="00B818CC"/>
    <w:rsid w:val="00BA7149"/>
    <w:rsid w:val="00BB41EB"/>
    <w:rsid w:val="00BC1994"/>
    <w:rsid w:val="00BC40FC"/>
    <w:rsid w:val="00BC66FC"/>
    <w:rsid w:val="00BE0A7C"/>
    <w:rsid w:val="00BE1AED"/>
    <w:rsid w:val="00BF18AD"/>
    <w:rsid w:val="00BF2555"/>
    <w:rsid w:val="00BF541B"/>
    <w:rsid w:val="00C068C3"/>
    <w:rsid w:val="00C07DC6"/>
    <w:rsid w:val="00C1359A"/>
    <w:rsid w:val="00C16172"/>
    <w:rsid w:val="00C200F0"/>
    <w:rsid w:val="00C20E72"/>
    <w:rsid w:val="00C22701"/>
    <w:rsid w:val="00C23F39"/>
    <w:rsid w:val="00C352E5"/>
    <w:rsid w:val="00C41503"/>
    <w:rsid w:val="00C44AE5"/>
    <w:rsid w:val="00C7098A"/>
    <w:rsid w:val="00C7130A"/>
    <w:rsid w:val="00C72A9F"/>
    <w:rsid w:val="00C73CB4"/>
    <w:rsid w:val="00C76661"/>
    <w:rsid w:val="00C77F90"/>
    <w:rsid w:val="00C84295"/>
    <w:rsid w:val="00C87DE2"/>
    <w:rsid w:val="00C9488F"/>
    <w:rsid w:val="00C949A0"/>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26090"/>
    <w:rsid w:val="00D46138"/>
    <w:rsid w:val="00D56851"/>
    <w:rsid w:val="00D617F6"/>
    <w:rsid w:val="00D670DE"/>
    <w:rsid w:val="00D776CB"/>
    <w:rsid w:val="00D90C21"/>
    <w:rsid w:val="00D91FDB"/>
    <w:rsid w:val="00D93B6C"/>
    <w:rsid w:val="00DA3A37"/>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4630B"/>
    <w:rsid w:val="00E644CF"/>
    <w:rsid w:val="00E64937"/>
    <w:rsid w:val="00E8002B"/>
    <w:rsid w:val="00E80AD3"/>
    <w:rsid w:val="00E87696"/>
    <w:rsid w:val="00E95A26"/>
    <w:rsid w:val="00EA0E3E"/>
    <w:rsid w:val="00EA551D"/>
    <w:rsid w:val="00EB40BF"/>
    <w:rsid w:val="00EB4AE6"/>
    <w:rsid w:val="00EB4EEF"/>
    <w:rsid w:val="00EC6150"/>
    <w:rsid w:val="00EC6D79"/>
    <w:rsid w:val="00ED1964"/>
    <w:rsid w:val="00ED6489"/>
    <w:rsid w:val="00EE7CC8"/>
    <w:rsid w:val="00F273FB"/>
    <w:rsid w:val="00F319C7"/>
    <w:rsid w:val="00F33A47"/>
    <w:rsid w:val="00F51E19"/>
    <w:rsid w:val="00F55D0D"/>
    <w:rsid w:val="00F566B2"/>
    <w:rsid w:val="00F8206B"/>
    <w:rsid w:val="00F90D79"/>
    <w:rsid w:val="00F94C45"/>
    <w:rsid w:val="00F94F57"/>
    <w:rsid w:val="00F95A9F"/>
    <w:rsid w:val="00FA169B"/>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Marco Hernandez</cp:lastModifiedBy>
  <cp:revision>2</cp:revision>
  <cp:lastPrinted>1900-01-01T06:00:00Z</cp:lastPrinted>
  <dcterms:created xsi:type="dcterms:W3CDTF">2023-03-16T13:21:00Z</dcterms:created>
  <dcterms:modified xsi:type="dcterms:W3CDTF">2023-03-16T13:21:00Z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