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2376A02"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proofErr w:type="spellStart"/>
            <w:r w:rsidR="004309C1" w:rsidRPr="004C35AB">
              <w:rPr>
                <w:color w:val="00000A"/>
                <w:kern w:val="1"/>
                <w:lang w:eastAsia="ar-SA"/>
              </w:rPr>
              <w:t>Rojan</w:t>
            </w:r>
            <w:proofErr w:type="spellEnd"/>
            <w:r w:rsidR="004309C1" w:rsidRPr="004C35AB">
              <w:rPr>
                <w:color w:val="00000A"/>
                <w:kern w:val="1"/>
                <w:lang w:eastAsia="ar-SA"/>
              </w:rPr>
              <w:t xml:space="preserve"> </w:t>
            </w:r>
            <w:proofErr w:type="spellStart"/>
            <w:r w:rsidR="004309C1" w:rsidRPr="004C35AB">
              <w:rPr>
                <w:color w:val="00000A"/>
                <w:kern w:val="1"/>
                <w:lang w:eastAsia="ar-SA"/>
              </w:rPr>
              <w:t>Chitrakar</w:t>
            </w:r>
            <w:proofErr w:type="spellEnd"/>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28539D">
              <w:rPr>
                <w:color w:val="00000A"/>
                <w:kern w:val="1"/>
                <w:lang w:eastAsia="ar-SA"/>
              </w:rPr>
              <w:t xml:space="preserve">, </w:t>
            </w:r>
            <w:proofErr w:type="spellStart"/>
            <w:r w:rsidR="0028539D">
              <w:rPr>
                <w:color w:val="00000A"/>
                <w:kern w:val="1"/>
                <w:lang w:eastAsia="ar-SA"/>
              </w:rPr>
              <w:t>Mingyu</w:t>
            </w:r>
            <w:proofErr w:type="spellEnd"/>
            <w:r w:rsidR="0028539D">
              <w:rPr>
                <w:color w:val="00000A"/>
                <w:kern w:val="1"/>
                <w:lang w:eastAsia="ar-SA"/>
              </w:rPr>
              <w:t xml:space="preserve"> Lee</w:t>
            </w:r>
            <w:r w:rsidR="004309C1">
              <w:rPr>
                <w:color w:val="00000A"/>
                <w:kern w:val="1"/>
                <w:lang w:eastAsia="ar-SA"/>
              </w:rPr>
              <w:t xml:space="preserve">, </w:t>
            </w:r>
            <w:proofErr w:type="spellStart"/>
            <w:r w:rsidR="004309C1">
              <w:rPr>
                <w:color w:val="00000A"/>
                <w:kern w:val="1"/>
                <w:lang w:eastAsia="ar-SA"/>
              </w:rPr>
              <w:t>Taeyoung</w:t>
            </w:r>
            <w:proofErr w:type="spellEnd"/>
            <w:r w:rsidR="004309C1">
              <w:rPr>
                <w:color w:val="00000A"/>
                <w:kern w:val="1"/>
                <w:lang w:eastAsia="ar-SA"/>
              </w:rPr>
              <w:t xml:space="preserve"> Ha</w:t>
            </w:r>
            <w:r w:rsidR="0028539D">
              <w:rPr>
                <w:color w:val="00000A"/>
                <w:kern w:val="1"/>
                <w:lang w:eastAsia="ar-SA"/>
              </w:rPr>
              <w:t xml:space="preserve"> (Samsung)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Hyperlink"/>
            <w:rFonts w:eastAsia="MS Mincho"/>
            <w:noProof/>
          </w:rPr>
          <w:t>1.</w:t>
        </w:r>
        <w:r w:rsidR="00BB39AD" w:rsidRPr="000D3D76">
          <w:rPr>
            <w:rStyle w:val="Hyperlink"/>
            <w:rFonts w:ascii="Times New Roman" w:eastAsia="MS Mincho" w:hAnsi="Times New Roman"/>
            <w:noProof/>
          </w:rPr>
          <w:t xml:space="preserve"> Ranging Procedure for One-to-Many SS-TWR using </w:t>
        </w:r>
        <w:r w:rsidR="009D1FE2">
          <w:rPr>
            <w:rStyle w:val="Hyperlink"/>
            <w:rFonts w:ascii="Times New Roman" w:eastAsia="MS Mincho" w:hAnsi="Times New Roman"/>
            <w:noProof/>
          </w:rPr>
          <w:t>Multi-milliseconds Ranging</w:t>
        </w:r>
        <w:r w:rsidR="0078058A">
          <w:rPr>
            <w:rStyle w:val="Hyperlink"/>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Hyperlink"/>
            <w:rFonts w:ascii="Arial Bold" w:hAnsi="Arial Bold"/>
            <w:noProof/>
          </w:rPr>
          <w:t>1.1</w:t>
        </w:r>
        <w:r w:rsidR="00BB39AD" w:rsidRPr="000D3D76">
          <w:rPr>
            <w:rStyle w:val="Hyperlink"/>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Hyperlink"/>
            <w:rFonts w:ascii="Arial Bold" w:hAnsi="Arial Bold"/>
            <w:noProof/>
          </w:rPr>
          <w:t>1.2</w:t>
        </w:r>
        <w:r w:rsidR="00BB39AD" w:rsidRPr="000D3D76">
          <w:rPr>
            <w:rStyle w:val="Hyperlink"/>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Hyperlink"/>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Hyperlink"/>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Hyperlink"/>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Hyperlink"/>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Hyperlink"/>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Heading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Heading2"/>
      </w:pPr>
      <w:bookmarkStart w:id="2" w:name="_Toc124345314"/>
      <w:r w:rsidRPr="007A6B39">
        <w:t>MAC</w:t>
      </w:r>
      <w:bookmarkEnd w:id="2"/>
    </w:p>
    <w:p w14:paraId="0AE2863C" w14:textId="6C8C97C9" w:rsidR="00206E55" w:rsidRPr="00EA2CFB" w:rsidRDefault="00EA2CFB" w:rsidP="00EA2CFB">
      <w:pPr>
        <w:pStyle w:val="Heading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7A58C8C5" w:rsidR="00373E70" w:rsidRDefault="005A3899" w:rsidP="00233B01">
      <w:pPr>
        <w:spacing w:after="200" w:line="276" w:lineRule="auto"/>
      </w:pPr>
      <w:r w:rsidRPr="005A3899">
        <w:rPr>
          <w:noProof/>
        </w:rPr>
        <w:drawing>
          <wp:inline distT="0" distB="0" distL="0" distR="0" wp14:anchorId="3B1B357D" wp14:editId="155E36F2">
            <wp:extent cx="573151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069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CA3D637" w:rsidR="00385B05" w:rsidRPr="005A3899" w:rsidRDefault="005A3899" w:rsidP="00F86D6A">
      <w:pPr>
        <w:pStyle w:val="Figuretitle"/>
        <w:jc w:val="left"/>
        <w:rPr>
          <w:lang w:val="en-US" w:eastAsia="zh-CN"/>
        </w:rPr>
      </w:pPr>
      <w:r w:rsidRPr="005A3899">
        <w:rPr>
          <w:noProof/>
          <w:lang w:val="en-US" w:eastAsia="zh-CN"/>
        </w:rPr>
        <w:drawing>
          <wp:inline distT="0" distB="0" distL="0" distR="0" wp14:anchorId="345E0121" wp14:editId="6FA9F09F">
            <wp:extent cx="5731510" cy="135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5191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6" w:name="_Toc124345318"/>
      <w:r w:rsidRPr="006B6978">
        <w:t>1.2.</w:t>
      </w:r>
      <w:r>
        <w:t>2.2</w:t>
      </w:r>
      <w:r w:rsidRPr="006B6978">
        <w:t xml:space="preserve"> </w:t>
      </w:r>
      <w:r>
        <w:t>Time Efficient Configuration</w:t>
      </w:r>
      <w:bookmarkEnd w:id="6"/>
    </w:p>
    <w:p w14:paraId="39CC35BF" w14:textId="53C673B6"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in one ranging 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3E3E7829" w:rsidR="005770C0" w:rsidRPr="00104032" w:rsidRDefault="00FF5C61" w:rsidP="00F86D6A">
      <w:pPr>
        <w:jc w:val="both"/>
        <w:rPr>
          <w:lang w:eastAsia="x-none"/>
        </w:rPr>
      </w:pPr>
      <w:r>
        <w:rPr>
          <w:lang w:eastAsia="x-none"/>
        </w:rPr>
        <w:t>If response at different times in a ranging 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t>indicate</w:t>
      </w:r>
      <w:r w:rsidR="008A4C12" w:rsidRPr="00461F39">
        <w:rPr>
          <w:lang w:eastAsia="x-none"/>
        </w:rPr>
        <w:t>s</w:t>
      </w:r>
      <w:r w:rsidR="00104032" w:rsidRPr="00BB39AD">
        <w:rPr>
          <w:lang w:eastAsia="x-none"/>
        </w:rPr>
        <w:t xml:space="preserve"> the </w:t>
      </w:r>
      <w:r w:rsidR="00104032" w:rsidRPr="00BB39AD">
        <w:rPr>
          <w:lang w:eastAsia="x-none"/>
        </w:rPr>
        <w:lastRenderedPageBreak/>
        <w:t>transmission order of</w:t>
      </w:r>
      <w:r>
        <w:rPr>
          <w:lang w:eastAsia="x-none"/>
        </w:rPr>
        <w:t xml:space="preserve"> the</w:t>
      </w:r>
      <w:r w:rsidR="00104032" w:rsidRPr="00BB39AD">
        <w:rPr>
          <w:lang w:eastAsia="x-none"/>
        </w:rPr>
        <w:t xml:space="preserve"> responders in the same ranging 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21493C27"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 ranging slot using NBA-UWB</w:t>
      </w:r>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Heading3"/>
      </w:pPr>
      <w:bookmarkStart w:id="7" w:name="_Toc124345319"/>
      <w:r>
        <w:t>1.2.3 Ranging Initiation Message Format</w:t>
      </w:r>
      <w:bookmarkEnd w:id="7"/>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2357" w14:textId="77777777" w:rsidR="00184731" w:rsidRDefault="00184731" w:rsidP="00B72CFD">
      <w:r>
        <w:separator/>
      </w:r>
    </w:p>
  </w:endnote>
  <w:endnote w:type="continuationSeparator" w:id="0">
    <w:p w14:paraId="7962143A" w14:textId="77777777" w:rsidR="00184731" w:rsidRDefault="00184731"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CBD" w14:textId="77777777" w:rsidR="00E44785" w:rsidRDefault="00E4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153" w14:textId="77777777" w:rsidR="00E44785" w:rsidRDefault="00E4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8209" w14:textId="77777777" w:rsidR="00184731" w:rsidRDefault="00184731" w:rsidP="00B72CFD">
      <w:r>
        <w:separator/>
      </w:r>
    </w:p>
  </w:footnote>
  <w:footnote w:type="continuationSeparator" w:id="0">
    <w:p w14:paraId="784C0487" w14:textId="77777777" w:rsidR="00184731" w:rsidRDefault="00184731"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0AC" w14:textId="77777777" w:rsidR="00E44785" w:rsidRDefault="00E44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A1C571A" w:rsidR="00BB39AD" w:rsidRPr="00B72CFD" w:rsidRDefault="00BB39AD" w:rsidP="00B72CFD">
    <w:pPr>
      <w:pStyle w:val="Header"/>
      <w:spacing w:after="240" w:line="220" w:lineRule="exact"/>
      <w:rPr>
        <w:rFonts w:ascii="Times New Roman" w:hAnsi="Times New Roman"/>
      </w:rPr>
    </w:pPr>
    <w:r>
      <w:rPr>
        <w:rFonts w:ascii="Times New Roman" w:eastAsia="Malgun Gothic" w:hAnsi="Times New Roman"/>
        <w:u w:val="single"/>
      </w:rPr>
      <w:t>J</w:t>
    </w:r>
    <w:r w:rsidR="00C92816">
      <w:rPr>
        <w:rFonts w:ascii="Times New Roman" w:eastAsia="Malgun Gothic" w:hAnsi="Times New Roman"/>
        <w:u w:val="single"/>
      </w:rPr>
      <w:t>an</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w:t>
    </w:r>
    <w:r w:rsidR="00C92816">
      <w:rPr>
        <w:rFonts w:ascii="Times New Roman" w:eastAsia="Malgun Gothic" w:hAnsi="Times New Roman"/>
        <w:u w:val="single"/>
      </w:rPr>
      <w:t>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w:t>
    </w:r>
    <w:r w:rsidR="00E44785">
      <w:rPr>
        <w:rFonts w:ascii="Times New Roman" w:eastAsia="Malgun Gothic" w:hAnsi="Times New Roman"/>
        <w:u w:val="single"/>
      </w:rPr>
      <w:t>3</w:t>
    </w:r>
    <w:r w:rsidRPr="00865063">
      <w:rPr>
        <w:rFonts w:ascii="Times New Roman" w:eastAsia="Malgun Gothic" w:hAnsi="Times New Roman"/>
        <w:u w:val="single"/>
      </w:rPr>
      <w:t>-</w:t>
    </w:r>
    <w:r>
      <w:rPr>
        <w:rFonts w:ascii="Times New Roman" w:eastAsia="Malgun Gothic" w:hAnsi="Times New Roman"/>
        <w:u w:val="single"/>
      </w:rPr>
      <w:t>0</w:t>
    </w:r>
    <w:r w:rsidR="00E44785">
      <w:rPr>
        <w:rFonts w:ascii="Times New Roman" w:eastAsia="Malgun Gothic" w:hAnsi="Times New Roman"/>
        <w:u w:val="single"/>
      </w:rPr>
      <w:t>0</w:t>
    </w:r>
    <w:r w:rsidR="00A71E88">
      <w:rPr>
        <w:rFonts w:ascii="Times New Roman" w:eastAsia="Malgun Gothic" w:hAnsi="Times New Roman"/>
        <w:u w:val="single"/>
      </w:rPr>
      <w:t>1</w:t>
    </w:r>
    <w:r w:rsidR="00E44785">
      <w:rPr>
        <w:rFonts w:ascii="Times New Roman" w:eastAsia="Malgun Gothic" w:hAnsi="Times New Roman"/>
        <w:u w:val="single"/>
      </w:rPr>
      <w:t>5</w:t>
    </w:r>
    <w:r w:rsidRPr="00865063">
      <w:rPr>
        <w:rFonts w:ascii="Times New Roman" w:eastAsia="Malgun Gothic" w:hAnsi="Times New Roman"/>
        <w:u w:val="single"/>
      </w:rPr>
      <w:t>-0</w:t>
    </w:r>
    <w:r w:rsidR="00A572F7">
      <w:rPr>
        <w:rFonts w:ascii="Times New Roman" w:eastAsia="Malgun Gothic" w:hAnsi="Times New Roman"/>
        <w:u w:val="single"/>
      </w:rPr>
      <w:t>2</w:t>
    </w:r>
    <w:r w:rsidRPr="00865063">
      <w:rPr>
        <w:rFonts w:ascii="Times New Roman" w:eastAsia="Malgun Gothic" w:hAnsi="Times New Roman"/>
        <w:u w:val="single"/>
      </w:rPr>
      <w:t>-04</w:t>
    </w:r>
    <w:r>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873" w14:textId="77777777" w:rsidR="00E44785" w:rsidRDefault="00E4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538504">
    <w:abstractNumId w:val="24"/>
  </w:num>
  <w:num w:numId="2" w16cid:durableId="380834727">
    <w:abstractNumId w:val="44"/>
  </w:num>
  <w:num w:numId="3" w16cid:durableId="1947492952">
    <w:abstractNumId w:val="17"/>
  </w:num>
  <w:num w:numId="4" w16cid:durableId="1690250624">
    <w:abstractNumId w:val="42"/>
  </w:num>
  <w:num w:numId="5" w16cid:durableId="487675358">
    <w:abstractNumId w:val="30"/>
  </w:num>
  <w:num w:numId="6" w16cid:durableId="1357271402">
    <w:abstractNumId w:val="22"/>
  </w:num>
  <w:num w:numId="7" w16cid:durableId="2041929529">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84725425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901623983">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4226570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31387516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834304605">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572697111">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2007970736">
    <w:abstractNumId w:val="39"/>
  </w:num>
  <w:num w:numId="15" w16cid:durableId="660694151">
    <w:abstractNumId w:val="36"/>
  </w:num>
  <w:num w:numId="16" w16cid:durableId="198666752">
    <w:abstractNumId w:val="18"/>
  </w:num>
  <w:num w:numId="17" w16cid:durableId="918757411">
    <w:abstractNumId w:val="4"/>
  </w:num>
  <w:num w:numId="18" w16cid:durableId="1339885930">
    <w:abstractNumId w:val="25"/>
  </w:num>
  <w:num w:numId="19" w16cid:durableId="1056010631">
    <w:abstractNumId w:val="7"/>
  </w:num>
  <w:num w:numId="20" w16cid:durableId="562104170">
    <w:abstractNumId w:val="29"/>
  </w:num>
  <w:num w:numId="21" w16cid:durableId="1291743993">
    <w:abstractNumId w:val="13"/>
  </w:num>
  <w:num w:numId="22" w16cid:durableId="2042899416">
    <w:abstractNumId w:val="3"/>
  </w:num>
  <w:num w:numId="23" w16cid:durableId="937250128">
    <w:abstractNumId w:val="19"/>
  </w:num>
  <w:num w:numId="24" w16cid:durableId="771170541">
    <w:abstractNumId w:val="20"/>
  </w:num>
  <w:num w:numId="25" w16cid:durableId="1605579330">
    <w:abstractNumId w:val="15"/>
  </w:num>
  <w:num w:numId="26" w16cid:durableId="160658753">
    <w:abstractNumId w:val="43"/>
  </w:num>
  <w:num w:numId="27" w16cid:durableId="311833550">
    <w:abstractNumId w:val="12"/>
  </w:num>
  <w:num w:numId="28" w16cid:durableId="2136100823">
    <w:abstractNumId w:val="35"/>
  </w:num>
  <w:num w:numId="29" w16cid:durableId="830802079">
    <w:abstractNumId w:val="27"/>
  </w:num>
  <w:num w:numId="30" w16cid:durableId="603390651">
    <w:abstractNumId w:val="34"/>
  </w:num>
  <w:num w:numId="31" w16cid:durableId="1669946071">
    <w:abstractNumId w:val="0"/>
  </w:num>
  <w:num w:numId="32" w16cid:durableId="2139953896">
    <w:abstractNumId w:val="24"/>
  </w:num>
  <w:num w:numId="33" w16cid:durableId="507066193">
    <w:abstractNumId w:val="11"/>
  </w:num>
  <w:num w:numId="34" w16cid:durableId="170531854">
    <w:abstractNumId w:val="41"/>
  </w:num>
  <w:num w:numId="35" w16cid:durableId="1591885172">
    <w:abstractNumId w:val="10"/>
  </w:num>
  <w:num w:numId="36" w16cid:durableId="1873613310">
    <w:abstractNumId w:val="24"/>
  </w:num>
  <w:num w:numId="37" w16cid:durableId="1737051502">
    <w:abstractNumId w:val="37"/>
  </w:num>
  <w:num w:numId="38" w16cid:durableId="1588880426">
    <w:abstractNumId w:val="1"/>
  </w:num>
  <w:num w:numId="39" w16cid:durableId="1519856921">
    <w:abstractNumId w:val="26"/>
  </w:num>
  <w:num w:numId="40" w16cid:durableId="617295153">
    <w:abstractNumId w:val="21"/>
  </w:num>
  <w:num w:numId="41" w16cid:durableId="360277192">
    <w:abstractNumId w:val="28"/>
  </w:num>
  <w:num w:numId="42" w16cid:durableId="904993456">
    <w:abstractNumId w:val="31"/>
  </w:num>
  <w:num w:numId="43" w16cid:durableId="1184242299">
    <w:abstractNumId w:val="16"/>
  </w:num>
  <w:num w:numId="44" w16cid:durableId="1494953300">
    <w:abstractNumId w:val="45"/>
  </w:num>
  <w:num w:numId="45" w16cid:durableId="16586726">
    <w:abstractNumId w:val="33"/>
  </w:num>
  <w:num w:numId="46" w16cid:durableId="903678776">
    <w:abstractNumId w:val="23"/>
  </w:num>
  <w:num w:numId="47" w16cid:durableId="445152495">
    <w:abstractNumId w:val="9"/>
  </w:num>
  <w:num w:numId="48" w16cid:durableId="82994602">
    <w:abstractNumId w:val="40"/>
  </w:num>
  <w:num w:numId="49" w16cid:durableId="612592563">
    <w:abstractNumId w:val="32"/>
  </w:num>
  <w:num w:numId="50" w16cid:durableId="137648107">
    <w:abstractNumId w:val="5"/>
  </w:num>
  <w:num w:numId="51" w16cid:durableId="244262544">
    <w:abstractNumId w:val="8"/>
  </w:num>
  <w:num w:numId="52" w16cid:durableId="1616711676">
    <w:abstractNumId w:val="6"/>
  </w:num>
  <w:num w:numId="53" w16cid:durableId="908927071">
    <w:abstractNumId w:val="14"/>
  </w:num>
  <w:num w:numId="54" w16cid:durableId="173246244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3"/>
    <w:rsid w:val="00141B09"/>
    <w:rsid w:val="001438AE"/>
    <w:rsid w:val="001449C9"/>
    <w:rsid w:val="00145512"/>
    <w:rsid w:val="00146EF7"/>
    <w:rsid w:val="001535A7"/>
    <w:rsid w:val="0015416B"/>
    <w:rsid w:val="0015754B"/>
    <w:rsid w:val="001603FE"/>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4731"/>
    <w:rsid w:val="001861F6"/>
    <w:rsid w:val="00190549"/>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1E88"/>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2816"/>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453E"/>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EB62E-D31A-438C-ADC1-87DF22655C30}">
  <ds:schemaRefs>
    <ds:schemaRef ds:uri="http://schemas.openxmlformats.org/officeDocument/2006/bibliography"/>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Jinjing Jiang</cp:lastModifiedBy>
  <cp:revision>30</cp:revision>
  <cp:lastPrinted>2020-03-02T18:13:00Z</cp:lastPrinted>
  <dcterms:created xsi:type="dcterms:W3CDTF">2023-01-13T18:57:00Z</dcterms:created>
  <dcterms:modified xsi:type="dcterms:W3CDTF">2023-01-16T16:59:00Z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(2)AUj12FgKPwpUPAyH8q1JiUN9B8sE9O4WcOvKqggedmnp0YSikV+cCa5leKnQEu8/ZSxO1mK5
FU4NiOoA5Dey8u39uJHJodOtxHA9v6arwviw7CBNK0ZO/1lmSv5oyg3P9nrJnDGGhV5p5+A2
k4jxbna6LMYCeoLgicT8sL8h3HfKbxy5ZQw9SaLtVYz9k6Yev9WtWo4CEi3v+fz99/GPL8LL
WKQSuUnT39V211a/AE</vt:lpwstr>
  </property>
  <property fmtid="{D5CDD505-2E9C-101B-9397-08002B2CF9AE}" pid="4" name="_2015_ms_pID_7253431">
    <vt:lpwstr>YeMv+IDlzW4Vqw9plHVD36Dbvm0Up89RsuqmlE2c5wGJIKG6ilTJIo
x2G+WdESzlKxjFCzMwC3d+FWgAp9KICIgyxkTkYUgUCzL5JXbHEmQYkvglNTns7aTc5xBtK+
+1mcCjF+iCFCRqxpYm3COIE8d3Apr+JmR5Cg9oTMSdXYlP+ELjNMUyEG8kMrU5p8I8pgmfjv
H3jwR+IzZDbeoL8i</vt:lpwstr>
  </property>
</Properties>
</file>