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0E239030" w:rsidR="00864207" w:rsidRDefault="00C90B56">
            <w:pPr>
              <w:pStyle w:val="covertext"/>
            </w:pPr>
            <w:r>
              <w:t xml:space="preserve">Relaying </w:t>
            </w:r>
            <w:r w:rsidR="00E734D4">
              <w:t>Comment Resolution</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r>
              <w:t>Nazarbayev University</w:t>
            </w:r>
          </w:p>
          <w:p w14:paraId="3311BD91" w14:textId="055F45B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406CB12C" w14:textId="24D5A979" w:rsidR="00573FE1" w:rsidRDefault="00573FE1">
      <w:pPr>
        <w:rPr>
          <w:rFonts w:ascii="Calibri" w:hAnsi="Calibri" w:cs="Calibri"/>
          <w:color w:val="000000"/>
        </w:rPr>
      </w:pPr>
    </w:p>
    <w:p w14:paraId="33D33B2F" w14:textId="499244B4" w:rsidR="00573FE1" w:rsidRDefault="00573FE1">
      <w:pPr>
        <w:rPr>
          <w:rFonts w:ascii="Calibri" w:hAnsi="Calibri" w:cs="Calibri"/>
          <w:color w:val="000000"/>
        </w:rPr>
      </w:pPr>
    </w:p>
    <w:p w14:paraId="0B6283F0" w14:textId="5D6C39CB" w:rsidR="00573FE1" w:rsidRDefault="00573FE1">
      <w:pPr>
        <w:rPr>
          <w:rFonts w:ascii="Calibri" w:hAnsi="Calibri" w:cs="Calibri"/>
          <w:color w:val="000000"/>
        </w:rPr>
      </w:pPr>
    </w:p>
    <w:p w14:paraId="1BF21603" w14:textId="31432ED5" w:rsidR="00573FE1" w:rsidRDefault="00573FE1">
      <w:pPr>
        <w:rPr>
          <w:rFonts w:ascii="Calibri" w:hAnsi="Calibri" w:cs="Calibri"/>
          <w:color w:val="000000"/>
        </w:rPr>
      </w:pPr>
    </w:p>
    <w:p w14:paraId="79686EA0" w14:textId="3668FABE" w:rsidR="00573FE1" w:rsidRDefault="00573FE1">
      <w:pPr>
        <w:rPr>
          <w:rFonts w:ascii="Calibri" w:hAnsi="Calibri" w:cs="Calibri"/>
          <w:color w:val="000000"/>
        </w:rPr>
      </w:pPr>
    </w:p>
    <w:p w14:paraId="7468265C" w14:textId="5A94815F" w:rsidR="00573FE1" w:rsidRDefault="00573FE1">
      <w:pPr>
        <w:rPr>
          <w:rFonts w:ascii="Calibri" w:hAnsi="Calibri" w:cs="Calibri"/>
          <w:color w:val="000000"/>
        </w:rPr>
      </w:pPr>
    </w:p>
    <w:p w14:paraId="0E33ED5C" w14:textId="79259FB6" w:rsidR="00573FE1" w:rsidRDefault="00573FE1">
      <w:pPr>
        <w:rPr>
          <w:rFonts w:ascii="Calibri" w:hAnsi="Calibri" w:cs="Calibri"/>
          <w:color w:val="000000"/>
        </w:rPr>
      </w:pPr>
    </w:p>
    <w:p w14:paraId="336CF949" w14:textId="76A43C35" w:rsidR="00573FE1" w:rsidRDefault="00573FE1">
      <w:pPr>
        <w:rPr>
          <w:rFonts w:ascii="Calibri" w:hAnsi="Calibri" w:cs="Calibri"/>
          <w:color w:val="000000"/>
        </w:rPr>
      </w:pPr>
    </w:p>
    <w:p w14:paraId="15A6C387" w14:textId="39A7D8B3" w:rsidR="00573FE1" w:rsidRDefault="00573FE1">
      <w:pPr>
        <w:rPr>
          <w:rFonts w:ascii="Calibri" w:hAnsi="Calibri" w:cs="Calibri"/>
          <w:color w:val="000000"/>
        </w:rPr>
      </w:pPr>
    </w:p>
    <w:p w14:paraId="77312FE1" w14:textId="3506B74F" w:rsidR="00573FE1" w:rsidRDefault="00573FE1">
      <w:pPr>
        <w:rPr>
          <w:rFonts w:ascii="Calibri" w:hAnsi="Calibri" w:cs="Calibri"/>
          <w:color w:val="000000"/>
        </w:rPr>
      </w:pPr>
    </w:p>
    <w:p w14:paraId="5DB3332E" w14:textId="3EBF519D" w:rsidR="00573FE1" w:rsidRDefault="00573FE1">
      <w:pPr>
        <w:rPr>
          <w:rFonts w:ascii="Calibri" w:hAnsi="Calibri" w:cs="Calibri"/>
          <w:color w:val="000000"/>
        </w:rPr>
      </w:pPr>
    </w:p>
    <w:p w14:paraId="4CAACF13" w14:textId="4FD6D9FA" w:rsidR="00573FE1" w:rsidRDefault="00573FE1">
      <w:pPr>
        <w:rPr>
          <w:rFonts w:ascii="Calibri" w:hAnsi="Calibri" w:cs="Calibri"/>
          <w:color w:val="000000"/>
        </w:rPr>
      </w:pPr>
    </w:p>
    <w:p w14:paraId="0E777DD7" w14:textId="77777777" w:rsidR="000144D4" w:rsidRDefault="000144D4" w:rsidP="00564A0E">
      <w:pPr>
        <w:rPr>
          <w:bCs/>
          <w:sz w:val="28"/>
        </w:rPr>
      </w:pPr>
    </w:p>
    <w:p w14:paraId="6197A32F" w14:textId="77777777" w:rsidR="00E734D4" w:rsidRPr="00AE38BA" w:rsidRDefault="00E734D4" w:rsidP="00E734D4">
      <w:pPr>
        <w:autoSpaceDE w:val="0"/>
        <w:autoSpaceDN w:val="0"/>
        <w:adjustRightInd w:val="0"/>
        <w:rPr>
          <w:rFonts w:eastAsia="TimesNewRomanPSMT"/>
          <w:i/>
          <w:szCs w:val="24"/>
        </w:rPr>
      </w:pPr>
      <w:r w:rsidRPr="00AE38BA">
        <w:rPr>
          <w:rFonts w:eastAsia="TimesNewRomanPSMT"/>
          <w:i/>
          <w:szCs w:val="24"/>
        </w:rPr>
        <w:t>Insert the following subclauses.</w:t>
      </w:r>
    </w:p>
    <w:p w14:paraId="115C2223" w14:textId="77777777" w:rsidR="00E734D4" w:rsidRPr="00AE38BA" w:rsidRDefault="00E734D4" w:rsidP="00E734D4">
      <w:pPr>
        <w:autoSpaceDE w:val="0"/>
        <w:autoSpaceDN w:val="0"/>
        <w:adjustRightInd w:val="0"/>
        <w:rPr>
          <w:rFonts w:eastAsia="TimesNewRomanPSMT"/>
          <w:i/>
          <w:szCs w:val="24"/>
        </w:rPr>
      </w:pPr>
    </w:p>
    <w:p w14:paraId="169646F3" w14:textId="77777777" w:rsidR="00E734D4" w:rsidRPr="00AE38BA" w:rsidRDefault="00E734D4" w:rsidP="00E734D4">
      <w:pPr>
        <w:rPr>
          <w:szCs w:val="24"/>
        </w:rPr>
      </w:pPr>
      <w:r w:rsidRPr="00AE38BA">
        <w:rPr>
          <w:szCs w:val="24"/>
        </w:rPr>
        <w:t>5.10 Relay Operation</w:t>
      </w:r>
    </w:p>
    <w:p w14:paraId="1E2C8E87" w14:textId="77777777" w:rsidR="00E734D4" w:rsidRDefault="00E734D4" w:rsidP="00E734D4">
      <w:pPr>
        <w:rPr>
          <w:szCs w:val="24"/>
        </w:rPr>
      </w:pPr>
      <w:r w:rsidRPr="00AE38BA">
        <w:rPr>
          <w:szCs w:val="24"/>
        </w:rPr>
        <w:t>5.10.1 Relaying in Beacon Enabled Mode</w:t>
      </w:r>
    </w:p>
    <w:p w14:paraId="2E649800" w14:textId="77777777" w:rsidR="00E734D4" w:rsidRPr="00AE38BA" w:rsidRDefault="00E734D4" w:rsidP="00E734D4">
      <w:pPr>
        <w:rPr>
          <w:szCs w:val="24"/>
        </w:rPr>
      </w:pPr>
      <w:r w:rsidRPr="008366E8">
        <w:rPr>
          <w:szCs w:val="24"/>
          <w:highlight w:val="green"/>
        </w:rPr>
        <w:t xml:space="preserve">5.10.2 Relaying in Non-Beacon Enabled Mode </w:t>
      </w:r>
    </w:p>
    <w:p w14:paraId="6428125D" w14:textId="77777777" w:rsidR="00E734D4" w:rsidRPr="00AE38BA" w:rsidRDefault="00E734D4" w:rsidP="00E734D4">
      <w:pPr>
        <w:rPr>
          <w:szCs w:val="24"/>
        </w:rPr>
      </w:pPr>
      <w:proofErr w:type="gramStart"/>
      <w:r w:rsidRPr="00AE38BA">
        <w:rPr>
          <w:szCs w:val="24"/>
        </w:rPr>
        <w:t>6.6.28  Reachable</w:t>
      </w:r>
      <w:proofErr w:type="gramEnd"/>
      <w:r w:rsidRPr="00AE38BA">
        <w:rPr>
          <w:szCs w:val="24"/>
        </w:rPr>
        <w:t xml:space="preserve"> Address element</w:t>
      </w:r>
    </w:p>
    <w:p w14:paraId="705555DF" w14:textId="77777777" w:rsidR="00E734D4" w:rsidRPr="00AE38BA" w:rsidRDefault="00E734D4" w:rsidP="00E734D4">
      <w:pPr>
        <w:rPr>
          <w:szCs w:val="24"/>
        </w:rPr>
      </w:pPr>
      <w:r w:rsidRPr="00AE38BA">
        <w:rPr>
          <w:szCs w:val="24"/>
        </w:rPr>
        <w:t>6.6.29 Relay Activation Element</w:t>
      </w:r>
    </w:p>
    <w:p w14:paraId="14CC2EEC" w14:textId="77777777" w:rsidR="00E734D4" w:rsidRPr="00AE38BA" w:rsidRDefault="00E734D4" w:rsidP="00E734D4">
      <w:pPr>
        <w:rPr>
          <w:szCs w:val="24"/>
        </w:rPr>
      </w:pPr>
    </w:p>
    <w:p w14:paraId="7830BE37" w14:textId="77777777" w:rsidR="00E734D4" w:rsidRPr="001B390A" w:rsidRDefault="00E734D4" w:rsidP="00E734D4">
      <w:pPr>
        <w:rPr>
          <w:i/>
          <w:szCs w:val="24"/>
        </w:rPr>
      </w:pPr>
      <w:r w:rsidRPr="001B390A">
        <w:rPr>
          <w:i/>
          <w:szCs w:val="24"/>
        </w:rPr>
        <w:t xml:space="preserve">Update the relevant parts of the </w:t>
      </w:r>
      <w:proofErr w:type="gramStart"/>
      <w:r w:rsidRPr="001B390A">
        <w:rPr>
          <w:i/>
          <w:szCs w:val="24"/>
        </w:rPr>
        <w:t>subclauses</w:t>
      </w:r>
      <w:proofErr w:type="gramEnd"/>
      <w:r w:rsidRPr="001B390A">
        <w:rPr>
          <w:i/>
          <w:szCs w:val="24"/>
        </w:rPr>
        <w:t xml:space="preserve"> </w:t>
      </w:r>
    </w:p>
    <w:p w14:paraId="00FE43D0" w14:textId="77777777" w:rsidR="00E734D4" w:rsidRPr="00AE38BA" w:rsidRDefault="00E734D4" w:rsidP="00E734D4">
      <w:pPr>
        <w:rPr>
          <w:szCs w:val="24"/>
        </w:rPr>
      </w:pPr>
      <w:r w:rsidRPr="00AE38BA">
        <w:rPr>
          <w:szCs w:val="24"/>
        </w:rPr>
        <w:t>6.2.2 Frame Control Field</w:t>
      </w:r>
    </w:p>
    <w:p w14:paraId="357C318B" w14:textId="77777777" w:rsidR="00E734D4" w:rsidRPr="00AE38BA" w:rsidRDefault="00E734D4" w:rsidP="00E734D4">
      <w:pPr>
        <w:rPr>
          <w:szCs w:val="24"/>
        </w:rPr>
      </w:pPr>
      <w:r w:rsidRPr="00AE38BA">
        <w:rPr>
          <w:szCs w:val="24"/>
        </w:rPr>
        <w:t>7.5 Capabilities</w:t>
      </w:r>
    </w:p>
    <w:p w14:paraId="78857710" w14:textId="77777777" w:rsidR="00E734D4" w:rsidRPr="00AE38BA" w:rsidRDefault="00E734D4" w:rsidP="00E734D4">
      <w:pPr>
        <w:rPr>
          <w:szCs w:val="24"/>
          <w:highlight w:val="yellow"/>
        </w:rPr>
      </w:pPr>
      <w:r w:rsidRPr="00AE38BA">
        <w:rPr>
          <w:szCs w:val="24"/>
        </w:rPr>
        <w:t>Table 12 Elements ID</w:t>
      </w:r>
    </w:p>
    <w:p w14:paraId="333596C0" w14:textId="77777777" w:rsidR="00E734D4" w:rsidRDefault="00E734D4" w:rsidP="00E734D4">
      <w:pPr>
        <w:autoSpaceDE w:val="0"/>
        <w:autoSpaceDN w:val="0"/>
        <w:adjustRightInd w:val="0"/>
        <w:rPr>
          <w:rFonts w:eastAsia="TimesNewRomanPSMT"/>
          <w:b/>
          <w:szCs w:val="24"/>
          <w:highlight w:val="yellow"/>
        </w:rPr>
      </w:pPr>
    </w:p>
    <w:p w14:paraId="29E519FE" w14:textId="77777777" w:rsidR="00E734D4" w:rsidRDefault="00E734D4" w:rsidP="00E734D4">
      <w:pPr>
        <w:autoSpaceDE w:val="0"/>
        <w:autoSpaceDN w:val="0"/>
        <w:adjustRightInd w:val="0"/>
        <w:rPr>
          <w:rFonts w:eastAsia="TimesNewRomanPSMT"/>
          <w:b/>
          <w:szCs w:val="24"/>
          <w:highlight w:val="yellow"/>
        </w:rPr>
      </w:pPr>
    </w:p>
    <w:p w14:paraId="552301BC" w14:textId="77777777" w:rsidR="00E734D4" w:rsidRDefault="00E734D4" w:rsidP="00E734D4">
      <w:pPr>
        <w:autoSpaceDE w:val="0"/>
        <w:autoSpaceDN w:val="0"/>
        <w:adjustRightInd w:val="0"/>
        <w:rPr>
          <w:rFonts w:eastAsia="TimesNewRomanPSMT"/>
          <w:b/>
          <w:szCs w:val="24"/>
          <w:highlight w:val="yellow"/>
        </w:rPr>
      </w:pPr>
    </w:p>
    <w:p w14:paraId="3B0668AE" w14:textId="77777777" w:rsidR="00E734D4" w:rsidRPr="00343CF8" w:rsidRDefault="00E734D4" w:rsidP="00E734D4">
      <w:pPr>
        <w:autoSpaceDE w:val="0"/>
        <w:autoSpaceDN w:val="0"/>
        <w:adjustRightInd w:val="0"/>
        <w:rPr>
          <w:rFonts w:eastAsia="TimesNewRomanPSMT"/>
          <w:b/>
          <w:szCs w:val="24"/>
        </w:rPr>
      </w:pPr>
      <w:r w:rsidRPr="00343CF8">
        <w:rPr>
          <w:rFonts w:eastAsia="TimesNewRomanPSMT"/>
          <w:b/>
          <w:szCs w:val="24"/>
          <w:highlight w:val="yellow"/>
        </w:rPr>
        <w:t>5.10 Relay Operations</w:t>
      </w:r>
    </w:p>
    <w:p w14:paraId="7FEABDD0" w14:textId="77777777" w:rsidR="00E734D4" w:rsidRPr="00343CF8" w:rsidRDefault="00E734D4" w:rsidP="00E734D4">
      <w:pPr>
        <w:autoSpaceDE w:val="0"/>
        <w:autoSpaceDN w:val="0"/>
        <w:adjustRightInd w:val="0"/>
        <w:rPr>
          <w:rFonts w:eastAsia="TimesNewRomanPSMT"/>
          <w:szCs w:val="24"/>
        </w:rPr>
      </w:pPr>
    </w:p>
    <w:p w14:paraId="6B80D643" w14:textId="77777777" w:rsidR="00E734D4" w:rsidRPr="00343CF8" w:rsidRDefault="00E734D4" w:rsidP="00E734D4">
      <w:pPr>
        <w:rPr>
          <w:szCs w:val="24"/>
        </w:rPr>
      </w:pPr>
      <w:r w:rsidRPr="00343CF8">
        <w:rPr>
          <w:szCs w:val="24"/>
        </w:rPr>
        <w:t>A direct link is a link between a Device and the Coordinator.</w:t>
      </w:r>
    </w:p>
    <w:p w14:paraId="48A8B25D" w14:textId="77777777" w:rsidR="00E734D4" w:rsidRPr="00343CF8" w:rsidRDefault="00E734D4" w:rsidP="00E734D4">
      <w:pPr>
        <w:rPr>
          <w:szCs w:val="24"/>
        </w:rPr>
      </w:pPr>
      <w:r w:rsidRPr="00343CF8">
        <w:rPr>
          <w:szCs w:val="24"/>
        </w:rPr>
        <w:t>A relay link is a multi-hop link between a Device and the Coordinator through a Relay Device.</w:t>
      </w:r>
    </w:p>
    <w:p w14:paraId="0ACF7487" w14:textId="77777777" w:rsidR="00E734D4" w:rsidRPr="00343CF8" w:rsidRDefault="00E734D4" w:rsidP="00E734D4">
      <w:pPr>
        <w:autoSpaceDE w:val="0"/>
        <w:autoSpaceDN w:val="0"/>
        <w:adjustRightInd w:val="0"/>
        <w:rPr>
          <w:rFonts w:eastAsia="TimesNewRomanPSMT"/>
          <w:szCs w:val="24"/>
          <w:highlight w:val="yellow"/>
        </w:rPr>
      </w:pPr>
    </w:p>
    <w:p w14:paraId="53B6113E" w14:textId="77777777" w:rsidR="00E734D4" w:rsidRPr="00343CF8" w:rsidRDefault="00E734D4" w:rsidP="00E734D4">
      <w:pPr>
        <w:autoSpaceDE w:val="0"/>
        <w:autoSpaceDN w:val="0"/>
        <w:adjustRightInd w:val="0"/>
        <w:rPr>
          <w:rFonts w:eastAsia="TimesNewRomanPSMT"/>
          <w:szCs w:val="24"/>
          <w:highlight w:val="yellow"/>
        </w:rPr>
      </w:pPr>
    </w:p>
    <w:p w14:paraId="0AC06C31" w14:textId="77777777" w:rsidR="00E734D4" w:rsidRPr="00343CF8" w:rsidRDefault="00E734D4" w:rsidP="00E734D4">
      <w:pPr>
        <w:autoSpaceDE w:val="0"/>
        <w:autoSpaceDN w:val="0"/>
        <w:adjustRightInd w:val="0"/>
        <w:rPr>
          <w:rFonts w:eastAsia="TimesNewRomanPSMT"/>
          <w:b/>
          <w:szCs w:val="24"/>
        </w:rPr>
      </w:pPr>
      <w:r w:rsidRPr="00343CF8">
        <w:rPr>
          <w:rFonts w:eastAsia="TimesNewRomanPSMT"/>
          <w:b/>
          <w:szCs w:val="24"/>
          <w:highlight w:val="yellow"/>
        </w:rPr>
        <w:t>5.10.1 Relaying in Beacon Enabled Mode</w:t>
      </w:r>
    </w:p>
    <w:p w14:paraId="13034029" w14:textId="77777777" w:rsidR="00E734D4" w:rsidRPr="00343CF8" w:rsidRDefault="00E734D4" w:rsidP="00E734D4">
      <w:pPr>
        <w:autoSpaceDE w:val="0"/>
        <w:autoSpaceDN w:val="0"/>
        <w:adjustRightInd w:val="0"/>
        <w:rPr>
          <w:rFonts w:eastAsia="TimesNewRomanPSMT"/>
          <w:szCs w:val="24"/>
        </w:rPr>
      </w:pPr>
    </w:p>
    <w:p w14:paraId="7EC12CBF"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Relay device associates as in 5.3.4.3 with </w:t>
      </w:r>
      <w:proofErr w:type="spellStart"/>
      <w:proofErr w:type="gramStart"/>
      <w:r w:rsidRPr="00343CF8">
        <w:rPr>
          <w:rFonts w:eastAsia="TimesNewRomanPSMT"/>
          <w:i/>
          <w:szCs w:val="24"/>
        </w:rPr>
        <w:t>capRelay</w:t>
      </w:r>
      <w:proofErr w:type="spellEnd"/>
      <w:r w:rsidRPr="00343CF8">
        <w:rPr>
          <w:rFonts w:eastAsia="TimesNewRomanPSMT"/>
          <w:szCs w:val="24"/>
        </w:rPr>
        <w:t xml:space="preserve">  in</w:t>
      </w:r>
      <w:proofErr w:type="gramEnd"/>
      <w:r w:rsidRPr="00343CF8">
        <w:rPr>
          <w:rFonts w:eastAsia="TimesNewRomanPSMT"/>
          <w:szCs w:val="24"/>
        </w:rPr>
        <w:t xml:space="preserve"> Table 37 set to TRUE and requests GTS as described in 5.3.4.4. </w:t>
      </w:r>
    </w:p>
    <w:p w14:paraId="53DEA302" w14:textId="77777777" w:rsidR="00E734D4" w:rsidRPr="00343CF8" w:rsidRDefault="00E734D4" w:rsidP="00E734D4">
      <w:pPr>
        <w:autoSpaceDE w:val="0"/>
        <w:autoSpaceDN w:val="0"/>
        <w:adjustRightInd w:val="0"/>
        <w:rPr>
          <w:rFonts w:eastAsia="TimesNewRomanPSMT"/>
          <w:szCs w:val="24"/>
        </w:rPr>
      </w:pPr>
    </w:p>
    <w:p w14:paraId="1F2054E0"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Due to the nature of wireless communications, a device in the OWPAN will be able to receive and decode transmissions from all other devices complying with this standard that are on the same channel and are in its coverage area. After receiving </w:t>
      </w:r>
      <w:r w:rsidRPr="00343CF8">
        <w:rPr>
          <w:rFonts w:eastAsia="TimesNewRomanPSMT"/>
          <w:i/>
          <w:szCs w:val="24"/>
        </w:rPr>
        <w:t xml:space="preserve">Association Response, </w:t>
      </w:r>
      <w:r w:rsidRPr="00343CF8">
        <w:rPr>
          <w:rFonts w:eastAsia="TimesNewRomanPSMT"/>
          <w:szCs w:val="24"/>
        </w:rPr>
        <w:t xml:space="preserve">Relay Device listens to its environment and generates </w:t>
      </w:r>
      <w:r w:rsidRPr="00343CF8">
        <w:rPr>
          <w:rFonts w:eastAsia="TimesNewRomanPSMT"/>
          <w:i/>
          <w:szCs w:val="24"/>
        </w:rPr>
        <w:t xml:space="preserve">Reachable Address </w:t>
      </w:r>
      <w:r w:rsidRPr="00343CF8">
        <w:rPr>
          <w:rFonts w:eastAsia="TimesNewRomanPSMT"/>
          <w:szCs w:val="24"/>
        </w:rPr>
        <w:t>element as in 6.6.28 that contains the current list of reachable addresses of devices.</w:t>
      </w:r>
    </w:p>
    <w:p w14:paraId="3664E45A" w14:textId="77777777" w:rsidR="00E734D4" w:rsidRPr="00343CF8" w:rsidRDefault="00E734D4" w:rsidP="00E734D4">
      <w:pPr>
        <w:autoSpaceDE w:val="0"/>
        <w:autoSpaceDN w:val="0"/>
        <w:adjustRightInd w:val="0"/>
        <w:rPr>
          <w:rFonts w:eastAsia="TimesNewRomanPSMT"/>
          <w:szCs w:val="24"/>
        </w:rPr>
      </w:pPr>
    </w:p>
    <w:p w14:paraId="57991567"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Relay Device sends the control frame containing to </w:t>
      </w:r>
      <w:r w:rsidRPr="00343CF8">
        <w:rPr>
          <w:rFonts w:eastAsia="TimesNewRomanPSMT"/>
          <w:i/>
          <w:szCs w:val="24"/>
        </w:rPr>
        <w:t>Reachable Address</w:t>
      </w:r>
      <w:r w:rsidRPr="00343CF8">
        <w:rPr>
          <w:rFonts w:eastAsia="TimesNewRomanPSMT"/>
          <w:szCs w:val="24"/>
        </w:rPr>
        <w:t xml:space="preserve"> element to the Coordinator in its allocated GTS.</w:t>
      </w:r>
    </w:p>
    <w:p w14:paraId="26D6FFEA" w14:textId="77777777" w:rsidR="00E734D4" w:rsidRPr="00343CF8" w:rsidRDefault="00E734D4" w:rsidP="00E734D4">
      <w:pPr>
        <w:autoSpaceDE w:val="0"/>
        <w:autoSpaceDN w:val="0"/>
        <w:adjustRightInd w:val="0"/>
        <w:rPr>
          <w:rFonts w:eastAsia="TimesNewRomanPSMT"/>
          <w:szCs w:val="24"/>
        </w:rPr>
      </w:pPr>
    </w:p>
    <w:p w14:paraId="21247247"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Upon receiving </w:t>
      </w:r>
      <w:r w:rsidRPr="00343CF8">
        <w:rPr>
          <w:rFonts w:eastAsia="TimesNewRomanPSMT"/>
          <w:i/>
          <w:szCs w:val="24"/>
        </w:rPr>
        <w:t>Reachable Address</w:t>
      </w:r>
      <w:r w:rsidRPr="00343CF8">
        <w:rPr>
          <w:rFonts w:eastAsia="TimesNewRomanPSMT"/>
          <w:szCs w:val="24"/>
        </w:rPr>
        <w:t xml:space="preserve"> element, the Coordinator shall decide whether to use relay for communicating the devices in Reachable Address element. The decision algorithm is out scope of this standard. Once the coordinator decides which devices will be served by the Relay Device, it sends control frames containing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as described in 6.6.29, to both Relay Device and the devices that will have a </w:t>
      </w:r>
      <w:r w:rsidRPr="00343CF8">
        <w:rPr>
          <w:rFonts w:eastAsia="TimesNewRomanPSMT"/>
          <w:szCs w:val="24"/>
        </w:rPr>
        <w:lastRenderedPageBreak/>
        <w:t xml:space="preserve">relay link. The </w:t>
      </w:r>
      <w:r w:rsidRPr="00343CF8">
        <w:rPr>
          <w:rFonts w:eastAsia="TimesNewRomanPSMT"/>
          <w:i/>
          <w:szCs w:val="24"/>
        </w:rPr>
        <w:t>Relay Activation</w:t>
      </w:r>
      <w:r w:rsidRPr="00343CF8">
        <w:rPr>
          <w:rFonts w:eastAsia="TimesNewRomanPSMT"/>
          <w:szCs w:val="24"/>
        </w:rPr>
        <w:t xml:space="preserve"> elements convey the address information of the device(s) to be served to the Relay Device and of the Relay Device to the devices. On the receipt of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both device and Relay Device shall send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0 (response) to Coordinator. </w:t>
      </w:r>
    </w:p>
    <w:p w14:paraId="0E40BF19" w14:textId="77777777" w:rsidR="00E734D4" w:rsidRPr="00343CF8" w:rsidRDefault="00E734D4" w:rsidP="00E734D4">
      <w:pPr>
        <w:autoSpaceDE w:val="0"/>
        <w:autoSpaceDN w:val="0"/>
        <w:adjustRightInd w:val="0"/>
        <w:rPr>
          <w:rFonts w:eastAsia="TimesNewRomanPSMT"/>
          <w:b/>
          <w:szCs w:val="24"/>
        </w:rPr>
      </w:pPr>
    </w:p>
    <w:p w14:paraId="64EFE97D"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Coordinator can choose more than one relay for a device. </w:t>
      </w:r>
    </w:p>
    <w:p w14:paraId="62DD3E38" w14:textId="77777777" w:rsidR="00E734D4" w:rsidRPr="00343CF8" w:rsidRDefault="00E734D4" w:rsidP="00E734D4">
      <w:pPr>
        <w:autoSpaceDE w:val="0"/>
        <w:autoSpaceDN w:val="0"/>
        <w:adjustRightInd w:val="0"/>
        <w:rPr>
          <w:rFonts w:eastAsia="TimesNewRomanPSMT"/>
          <w:szCs w:val="24"/>
        </w:rPr>
      </w:pPr>
    </w:p>
    <w:p w14:paraId="5CA8D411"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Both the device and the Relay Device request additional GTS, as described in 5.3.4.4, to perform relaying and shall await updated GTS allocations from the coordinator. The Coordinator shall position the 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for the direct link by </w:t>
      </w:r>
      <w:proofErr w:type="spellStart"/>
      <w:r w:rsidRPr="00343CF8">
        <w:rPr>
          <w:i/>
          <w:iCs/>
          <w:szCs w:val="24"/>
        </w:rPr>
        <w:t>macRelayingOffset</w:t>
      </w:r>
      <w:proofErr w:type="spellEnd"/>
      <w:r w:rsidRPr="00343CF8">
        <w:rPr>
          <w:rFonts w:eastAsia="TimesNewRomanPSMT"/>
          <w:szCs w:val="24"/>
        </w:rPr>
        <w:t xml:space="preserve">. The algorithm for defining </w:t>
      </w:r>
      <w:proofErr w:type="spellStart"/>
      <w:r w:rsidRPr="00343CF8">
        <w:rPr>
          <w:rFonts w:eastAsia="TimesNewRomanPSMT"/>
          <w:i/>
          <w:szCs w:val="24"/>
        </w:rPr>
        <w:t>macRelayingOffset</w:t>
      </w:r>
      <w:proofErr w:type="spellEnd"/>
      <w:r w:rsidRPr="00343CF8">
        <w:rPr>
          <w:rFonts w:eastAsia="TimesNewRomanPSMT"/>
          <w:szCs w:val="24"/>
        </w:rPr>
        <w:t xml:space="preserve"> is out of scope of this standard.</w:t>
      </w:r>
    </w:p>
    <w:p w14:paraId="53DC7554" w14:textId="77777777" w:rsidR="00E734D4" w:rsidRPr="00343CF8" w:rsidRDefault="00E734D4" w:rsidP="00E734D4">
      <w:pPr>
        <w:autoSpaceDE w:val="0"/>
        <w:autoSpaceDN w:val="0"/>
        <w:adjustRightInd w:val="0"/>
        <w:rPr>
          <w:rFonts w:eastAsia="TimesNewRomanPSMT"/>
          <w:szCs w:val="24"/>
        </w:rPr>
      </w:pPr>
    </w:p>
    <w:p w14:paraId="4B8DF999"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relaying procedure is shown in Fig. </w:t>
      </w:r>
      <w:r w:rsidRPr="00343CF8">
        <w:rPr>
          <w:rFonts w:eastAsia="TimesNewRomanPSMT"/>
          <w:szCs w:val="24"/>
          <w:highlight w:val="yellow"/>
        </w:rPr>
        <w:t>X</w:t>
      </w:r>
      <w:r w:rsidRPr="00343CF8">
        <w:rPr>
          <w:rFonts w:eastAsia="TimesNewRomanPSMT"/>
          <w:szCs w:val="24"/>
        </w:rPr>
        <w:t>.  The frames th</w:t>
      </w:r>
      <w:r>
        <w:rPr>
          <w:rFonts w:eastAsia="TimesNewRomanPSMT"/>
          <w:szCs w:val="24"/>
        </w:rPr>
        <w:t>at will be relayed shall be sent</w:t>
      </w:r>
      <w:r w:rsidRPr="00343CF8">
        <w:rPr>
          <w:rFonts w:eastAsia="TimesNewRomanPSMT"/>
          <w:szCs w:val="24"/>
        </w:rPr>
        <w:t xml:space="preserve"> with </w:t>
      </w:r>
      <w:proofErr w:type="spellStart"/>
      <w:r w:rsidRPr="00343CF8">
        <w:rPr>
          <w:rFonts w:eastAsia="TimesNewRomanPSMT"/>
          <w:i/>
          <w:szCs w:val="24"/>
        </w:rPr>
        <w:t>ToBackHaul</w:t>
      </w:r>
      <w:proofErr w:type="spellEnd"/>
      <w:r w:rsidRPr="00343CF8">
        <w:rPr>
          <w:rFonts w:eastAsia="TimesNewRomanPSMT"/>
          <w:szCs w:val="24"/>
        </w:rPr>
        <w:t xml:space="preserve"> and </w:t>
      </w:r>
      <w:proofErr w:type="spellStart"/>
      <w:proofErr w:type="gramStart"/>
      <w:r w:rsidRPr="00343CF8">
        <w:rPr>
          <w:rFonts w:eastAsia="TimesNewRomanPSMT"/>
          <w:i/>
          <w:szCs w:val="24"/>
        </w:rPr>
        <w:t>FromBackHaul</w:t>
      </w:r>
      <w:proofErr w:type="spellEnd"/>
      <w:r w:rsidRPr="00343CF8">
        <w:rPr>
          <w:rFonts w:eastAsia="TimesNewRomanPSMT"/>
          <w:szCs w:val="24"/>
        </w:rPr>
        <w:t xml:space="preserve">  fields</w:t>
      </w:r>
      <w:proofErr w:type="gramEnd"/>
      <w:r w:rsidRPr="00343CF8">
        <w:rPr>
          <w:rFonts w:eastAsia="TimesNewRomanPSMT"/>
          <w:szCs w:val="24"/>
        </w:rPr>
        <w:t xml:space="preserve"> set to 1 as descri</w:t>
      </w:r>
      <w:r>
        <w:rPr>
          <w:rFonts w:eastAsia="TimesNewRomanPSMT"/>
          <w:szCs w:val="24"/>
        </w:rPr>
        <w:t>bed in 6.6.2. The frames, either sent from Coordinator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Pr="00343CF8">
        <w:rPr>
          <w:rFonts w:eastAsia="TimesNewRomanPSMT"/>
          <w:szCs w:val="24"/>
        </w:rPr>
        <w:t>Relay device. The Relay Device accepts only the frames whose Auxiliary Address field is set to its address. If the frame is valid, its MAC sublayer relays the frame</w:t>
      </w:r>
      <w:r>
        <w:rPr>
          <w:rFonts w:eastAsia="TimesNewRomanPSMT"/>
          <w:szCs w:val="24"/>
        </w:rPr>
        <w:t>s</w:t>
      </w:r>
      <w:r w:rsidRPr="00343CF8">
        <w:rPr>
          <w:rFonts w:eastAsia="TimesNewRomanPSMT"/>
          <w:szCs w:val="24"/>
        </w:rPr>
        <w:t xml:space="preserve"> as it is. </w:t>
      </w:r>
    </w:p>
    <w:p w14:paraId="20AD3382" w14:textId="77777777" w:rsidR="00E734D4" w:rsidRPr="00343CF8" w:rsidRDefault="00E734D4"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A frame with a destination </w:t>
      </w:r>
      <w:proofErr w:type="gramStart"/>
      <w:r w:rsidRPr="00343CF8">
        <w:rPr>
          <w:rFonts w:eastAsia="TimesNewRomanPSMT"/>
          <w:szCs w:val="24"/>
        </w:rPr>
        <w:t>address</w:t>
      </w:r>
      <w:proofErr w:type="gramEnd"/>
      <w:r w:rsidRPr="00343CF8">
        <w:rPr>
          <w:rFonts w:eastAsia="TimesNewRomanPSMT"/>
          <w:szCs w:val="24"/>
        </w:rPr>
        <w:t xml:space="preserve">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proofErr w:type="spellStart"/>
      <w:r w:rsidRPr="00343CF8">
        <w:rPr>
          <w:rFonts w:eastAsia="TimesNewRomanPSMT"/>
          <w:i/>
          <w:szCs w:val="24"/>
        </w:rPr>
        <w:t>capFullDuplex</w:t>
      </w:r>
      <w:proofErr w:type="spellEnd"/>
      <w:r w:rsidRPr="00343CF8">
        <w:rPr>
          <w:rFonts w:eastAsia="TimesNewRomanPSMT"/>
          <w:i/>
          <w:szCs w:val="24"/>
        </w:rPr>
        <w:t xml:space="preserve"> </w:t>
      </w:r>
      <w:r w:rsidRPr="00343CF8">
        <w:rPr>
          <w:rFonts w:eastAsia="TimesNewRomanPSMT"/>
          <w:szCs w:val="24"/>
        </w:rPr>
        <w:t xml:space="preserve">was agreed during association with the device, the Relay Device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2BFB1B20" w14:textId="77777777" w:rsidR="00E734D4" w:rsidRPr="00343CF8" w:rsidRDefault="00E734D4" w:rsidP="00E734D4">
      <w:pPr>
        <w:autoSpaceDE w:val="0"/>
        <w:autoSpaceDN w:val="0"/>
        <w:adjustRightInd w:val="0"/>
        <w:rPr>
          <w:rFonts w:eastAsia="TimesNewRomanPSMT"/>
          <w:szCs w:val="24"/>
        </w:rPr>
      </w:pPr>
    </w:p>
    <w:p w14:paraId="5B4C5C69" w14:textId="77777777" w:rsidR="00E734D4" w:rsidRPr="00343CF8" w:rsidRDefault="00E734D4" w:rsidP="00E734D4">
      <w:pPr>
        <w:autoSpaceDE w:val="0"/>
        <w:autoSpaceDN w:val="0"/>
        <w:adjustRightInd w:val="0"/>
        <w:rPr>
          <w:rFonts w:eastAsia="TimesNewRomanPSMT"/>
          <w:szCs w:val="24"/>
        </w:rPr>
      </w:pPr>
      <w:r>
        <w:rPr>
          <w:rFonts w:eastAsia="TimesNewRomanPSMT"/>
          <w:noProof/>
          <w:szCs w:val="24"/>
        </w:rPr>
        <w:t xml:space="preserve">         </w:t>
      </w:r>
      <w:r w:rsidRPr="00343CF8">
        <w:rPr>
          <w:rFonts w:eastAsia="TimesNewRomanPSMT"/>
          <w:noProof/>
          <w:szCs w:val="24"/>
        </w:rPr>
        <w:drawing>
          <wp:inline distT="0" distB="0" distL="0" distR="0" wp14:anchorId="0FBAA51A" wp14:editId="065CA26D">
            <wp:extent cx="4933950" cy="2174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121" cy="2179340"/>
                    </a:xfrm>
                    <a:prstGeom prst="rect">
                      <a:avLst/>
                    </a:prstGeom>
                    <a:noFill/>
                    <a:ln>
                      <a:noFill/>
                    </a:ln>
                  </pic:spPr>
                </pic:pic>
              </a:graphicData>
            </a:graphic>
          </wp:inline>
        </w:drawing>
      </w:r>
    </w:p>
    <w:p w14:paraId="1B82146B" w14:textId="77777777" w:rsidR="00E734D4" w:rsidRPr="00343CF8" w:rsidRDefault="00E734D4" w:rsidP="00E734D4">
      <w:pPr>
        <w:pStyle w:val="ListeParagraf"/>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coordinator to a device</w:t>
      </w:r>
    </w:p>
    <w:p w14:paraId="68561267" w14:textId="77777777" w:rsidR="00E734D4" w:rsidRPr="00343CF8" w:rsidRDefault="00E734D4" w:rsidP="00E734D4">
      <w:pPr>
        <w:pStyle w:val="ListeParagraf"/>
        <w:rPr>
          <w:rFonts w:ascii="Times New Roman" w:hAnsi="Times New Roman" w:cs="Times New Roman"/>
          <w:sz w:val="24"/>
          <w:szCs w:val="24"/>
        </w:rPr>
      </w:pPr>
    </w:p>
    <w:p w14:paraId="490CE8D6" w14:textId="77777777" w:rsidR="00E734D4" w:rsidRPr="00343CF8" w:rsidRDefault="00E734D4" w:rsidP="00E734D4">
      <w:pPr>
        <w:pStyle w:val="ListeParagraf"/>
        <w:rPr>
          <w:rFonts w:ascii="Times New Roman" w:hAnsi="Times New Roman" w:cs="Times New Roman"/>
          <w:sz w:val="24"/>
          <w:szCs w:val="24"/>
        </w:rPr>
      </w:pPr>
    </w:p>
    <w:p w14:paraId="0F4D3768" w14:textId="77777777" w:rsidR="00E734D4" w:rsidRPr="00343CF8" w:rsidRDefault="00E734D4" w:rsidP="00E734D4">
      <w:pPr>
        <w:pStyle w:val="ListeParagraf"/>
        <w:rPr>
          <w:rFonts w:ascii="Times New Roman" w:hAnsi="Times New Roman" w:cs="Times New Roman"/>
          <w:sz w:val="24"/>
          <w:szCs w:val="24"/>
        </w:rPr>
      </w:pPr>
      <w:r w:rsidRPr="00343CF8">
        <w:rPr>
          <w:rFonts w:ascii="Times New Roman" w:hAnsi="Times New Roman" w:cs="Times New Roman"/>
          <w:noProof/>
          <w:sz w:val="24"/>
          <w:szCs w:val="24"/>
        </w:rPr>
        <w:drawing>
          <wp:inline distT="0" distB="0" distL="0" distR="0" wp14:anchorId="2ACFEA1E" wp14:editId="0555556C">
            <wp:extent cx="4819650" cy="210859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357" cy="2108907"/>
                    </a:xfrm>
                    <a:prstGeom prst="rect">
                      <a:avLst/>
                    </a:prstGeom>
                    <a:noFill/>
                    <a:ln>
                      <a:noFill/>
                    </a:ln>
                  </pic:spPr>
                </pic:pic>
              </a:graphicData>
            </a:graphic>
          </wp:inline>
        </w:drawing>
      </w:r>
    </w:p>
    <w:p w14:paraId="20534635" w14:textId="77777777" w:rsidR="00E734D4" w:rsidRPr="00343CF8" w:rsidRDefault="00E734D4" w:rsidP="00E734D4">
      <w:pPr>
        <w:pStyle w:val="ListeParagraf"/>
        <w:rPr>
          <w:rFonts w:ascii="Times New Roman" w:hAnsi="Times New Roman" w:cs="Times New Roman"/>
          <w:sz w:val="24"/>
          <w:szCs w:val="24"/>
        </w:rPr>
      </w:pPr>
    </w:p>
    <w:p w14:paraId="35B92649" w14:textId="77777777" w:rsidR="00E734D4" w:rsidRPr="00343CF8" w:rsidRDefault="00E734D4" w:rsidP="00E734D4">
      <w:pPr>
        <w:pStyle w:val="ListeParagraf"/>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device to the coordinator</w:t>
      </w:r>
    </w:p>
    <w:p w14:paraId="1AFE9FDB" w14:textId="77777777" w:rsidR="00E734D4" w:rsidRPr="00343CF8" w:rsidRDefault="00E734D4" w:rsidP="00E734D4">
      <w:pPr>
        <w:jc w:val="center"/>
        <w:rPr>
          <w:szCs w:val="24"/>
        </w:rPr>
      </w:pPr>
      <w:r w:rsidRPr="00343CF8">
        <w:rPr>
          <w:szCs w:val="24"/>
        </w:rPr>
        <w:t xml:space="preserve">Fig. </w:t>
      </w:r>
      <w:r w:rsidRPr="00343CF8">
        <w:rPr>
          <w:szCs w:val="24"/>
          <w:highlight w:val="yellow"/>
        </w:rPr>
        <w:t>X</w:t>
      </w:r>
      <w:r w:rsidRPr="00343CF8">
        <w:rPr>
          <w:szCs w:val="24"/>
        </w:rPr>
        <w:t xml:space="preserve"> Relaying frames for the beacon enabled OWPAN coordinator and a </w:t>
      </w:r>
      <w:proofErr w:type="gramStart"/>
      <w:r w:rsidRPr="00343CF8">
        <w:rPr>
          <w:szCs w:val="24"/>
        </w:rPr>
        <w:t>device</w:t>
      </w:r>
      <w:proofErr w:type="gramEnd"/>
    </w:p>
    <w:p w14:paraId="35474629" w14:textId="77777777" w:rsidR="00E734D4" w:rsidRDefault="00E734D4" w:rsidP="00E734D4">
      <w:pPr>
        <w:autoSpaceDE w:val="0"/>
        <w:autoSpaceDN w:val="0"/>
        <w:adjustRightInd w:val="0"/>
        <w:rPr>
          <w:rFonts w:eastAsia="TimesNewRomanPSMT"/>
          <w:szCs w:val="24"/>
        </w:rPr>
      </w:pPr>
    </w:p>
    <w:p w14:paraId="0A5B762E"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If the Relay Device wants to leave the OWPAN, it initiates disassociation as in 5.5.7.</w:t>
      </w:r>
    </w:p>
    <w:p w14:paraId="71D169AC" w14:textId="77777777" w:rsidR="00E734D4" w:rsidRDefault="00E734D4" w:rsidP="00E734D4">
      <w:pPr>
        <w:rPr>
          <w:b/>
          <w:szCs w:val="24"/>
          <w:highlight w:val="yellow"/>
        </w:rPr>
      </w:pPr>
    </w:p>
    <w:p w14:paraId="09CFD6B6" w14:textId="77777777" w:rsidR="00E734D4" w:rsidRPr="0045223A" w:rsidRDefault="00E734D4" w:rsidP="00E734D4">
      <w:pPr>
        <w:rPr>
          <w:b/>
          <w:szCs w:val="24"/>
          <w:highlight w:val="yellow"/>
        </w:rPr>
      </w:pPr>
      <w:r w:rsidRPr="0045223A">
        <w:rPr>
          <w:b/>
          <w:szCs w:val="24"/>
          <w:highlight w:val="yellow"/>
        </w:rPr>
        <w:t>6.2.2 Frame Control Field</w:t>
      </w:r>
    </w:p>
    <w:p w14:paraId="056CB4E6" w14:textId="77777777" w:rsidR="00E734D4" w:rsidRPr="00343CF8" w:rsidRDefault="00E734D4" w:rsidP="00E734D4">
      <w:pPr>
        <w:pStyle w:val="Default"/>
      </w:pPr>
      <w:r w:rsidRPr="00343CF8">
        <w:t xml:space="preserve">Add </w:t>
      </w:r>
      <w:proofErr w:type="spellStart"/>
      <w:r w:rsidRPr="00343CF8">
        <w:t>the</w:t>
      </w:r>
      <w:proofErr w:type="spellEnd"/>
      <w:r w:rsidRPr="00343CF8">
        <w:t xml:space="preserve"> </w:t>
      </w:r>
      <w:proofErr w:type="spellStart"/>
      <w:r w:rsidRPr="00343CF8">
        <w:t>following</w:t>
      </w:r>
      <w:proofErr w:type="spellEnd"/>
      <w:r w:rsidRPr="00343CF8">
        <w:t xml:space="preserve"> </w:t>
      </w:r>
      <w:proofErr w:type="spellStart"/>
      <w:r w:rsidRPr="00343CF8">
        <w:t>row</w:t>
      </w:r>
      <w:proofErr w:type="spellEnd"/>
      <w:r w:rsidRPr="00343CF8">
        <w:t xml:space="preserve"> </w:t>
      </w:r>
      <w:proofErr w:type="spellStart"/>
      <w:r w:rsidRPr="00343CF8">
        <w:t>to</w:t>
      </w:r>
      <w:proofErr w:type="spellEnd"/>
      <w:r w:rsidRPr="00343CF8">
        <w:t xml:space="preserve"> </w:t>
      </w:r>
      <w:r w:rsidRPr="00343CF8">
        <w:rPr>
          <w:bCs/>
        </w:rPr>
        <w:t xml:space="preserve">Table 1, </w:t>
      </w:r>
      <w:proofErr w:type="spellStart"/>
      <w:r w:rsidRPr="00343CF8">
        <w:rPr>
          <w:bCs/>
        </w:rPr>
        <w:t>To</w:t>
      </w:r>
      <w:proofErr w:type="spellEnd"/>
      <w:r w:rsidRPr="00343CF8">
        <w:rPr>
          <w:bCs/>
        </w:rPr>
        <w:t xml:space="preserve"> </w:t>
      </w:r>
      <w:proofErr w:type="spellStart"/>
      <w:r w:rsidRPr="00343CF8">
        <w:rPr>
          <w:bCs/>
        </w:rPr>
        <w:t>Backhaul</w:t>
      </w:r>
      <w:proofErr w:type="spellEnd"/>
      <w:r w:rsidRPr="00343CF8">
        <w:rPr>
          <w:bCs/>
        </w:rPr>
        <w:t xml:space="preserve"> and </w:t>
      </w:r>
      <w:proofErr w:type="spellStart"/>
      <w:r w:rsidRPr="00343CF8">
        <w:rPr>
          <w:bCs/>
        </w:rPr>
        <w:t>From</w:t>
      </w:r>
      <w:proofErr w:type="spellEnd"/>
      <w:r w:rsidRPr="00343CF8">
        <w:rPr>
          <w:bCs/>
        </w:rPr>
        <w:t xml:space="preserve"> </w:t>
      </w:r>
      <w:proofErr w:type="spellStart"/>
      <w:r w:rsidRPr="00343CF8">
        <w:rPr>
          <w:bCs/>
        </w:rPr>
        <w:t>Backhaul</w:t>
      </w:r>
      <w:proofErr w:type="spellEnd"/>
      <w:r w:rsidRPr="00343CF8">
        <w:rPr>
          <w:bCs/>
        </w:rPr>
        <w:t xml:space="preserve"> </w:t>
      </w:r>
      <w:proofErr w:type="spellStart"/>
      <w:r w:rsidRPr="00343CF8">
        <w:rPr>
          <w:bCs/>
        </w:rPr>
        <w:t>field</w:t>
      </w:r>
      <w:proofErr w:type="spellEnd"/>
      <w:r w:rsidRPr="00343CF8">
        <w:rPr>
          <w:bCs/>
        </w:rPr>
        <w:t xml:space="preserve"> </w:t>
      </w:r>
      <w:proofErr w:type="spellStart"/>
      <w:r w:rsidRPr="00343CF8">
        <w:rPr>
          <w:bCs/>
        </w:rPr>
        <w:t>description</w:t>
      </w:r>
      <w:proofErr w:type="spellEnd"/>
      <w:r w:rsidRPr="00343CF8">
        <w:rPr>
          <w:bCs/>
        </w:rPr>
        <w:t xml:space="preserve"> </w:t>
      </w:r>
    </w:p>
    <w:p w14:paraId="3664988C" w14:textId="77777777" w:rsidR="00E734D4" w:rsidRPr="00343CF8" w:rsidRDefault="00E734D4" w:rsidP="00E734D4">
      <w:pPr>
        <w:rPr>
          <w:szCs w:val="24"/>
          <w:highlight w:val="yellow"/>
        </w:rPr>
      </w:pPr>
    </w:p>
    <w:tbl>
      <w:tblPr>
        <w:tblStyle w:val="TabloKlavuzu"/>
        <w:tblW w:w="0" w:type="auto"/>
        <w:tblLook w:val="04A0" w:firstRow="1" w:lastRow="0" w:firstColumn="1" w:lastColumn="0" w:noHBand="0" w:noVBand="1"/>
      </w:tblPr>
      <w:tblGrid>
        <w:gridCol w:w="1406"/>
        <w:gridCol w:w="1406"/>
        <w:gridCol w:w="1619"/>
        <w:gridCol w:w="1343"/>
        <w:gridCol w:w="1907"/>
        <w:gridCol w:w="1321"/>
      </w:tblGrid>
      <w:tr w:rsidR="00E734D4" w:rsidRPr="00343CF8" w14:paraId="7102CF3D" w14:textId="77777777" w:rsidTr="001F2FCE">
        <w:tc>
          <w:tcPr>
            <w:tcW w:w="1348" w:type="dxa"/>
          </w:tcPr>
          <w:tbl>
            <w:tblPr>
              <w:tblW w:w="0" w:type="auto"/>
              <w:tblBorders>
                <w:top w:val="nil"/>
                <w:left w:val="nil"/>
                <w:bottom w:val="nil"/>
                <w:right w:val="nil"/>
              </w:tblBorders>
              <w:tblLook w:val="0000" w:firstRow="0" w:lastRow="0" w:firstColumn="0" w:lastColumn="0" w:noHBand="0" w:noVBand="0"/>
            </w:tblPr>
            <w:tblGrid>
              <w:gridCol w:w="1190"/>
            </w:tblGrid>
            <w:tr w:rsidR="00E734D4" w:rsidRPr="00343CF8" w14:paraId="5C484A45" w14:textId="77777777" w:rsidTr="001F2FCE">
              <w:trPr>
                <w:trHeight w:val="183"/>
              </w:trPr>
              <w:tc>
                <w:tcPr>
                  <w:tcW w:w="0" w:type="auto"/>
                </w:tcPr>
                <w:p w14:paraId="4C3D0727" w14:textId="77777777" w:rsidR="00E734D4" w:rsidRPr="00343CF8" w:rsidRDefault="00E734D4" w:rsidP="001F2FCE">
                  <w:pPr>
                    <w:pStyle w:val="Default"/>
                  </w:pPr>
                  <w:proofErr w:type="spellStart"/>
                  <w:r w:rsidRPr="00343CF8">
                    <w:rPr>
                      <w:b/>
                      <w:bCs/>
                    </w:rPr>
                    <w:t>To</w:t>
                  </w:r>
                  <w:proofErr w:type="spellEnd"/>
                  <w:r w:rsidRPr="00343CF8">
                    <w:rPr>
                      <w:b/>
                      <w:bCs/>
                    </w:rPr>
                    <w:t xml:space="preserve"> </w:t>
                  </w:r>
                  <w:proofErr w:type="spellStart"/>
                  <w:r w:rsidRPr="00343CF8">
                    <w:rPr>
                      <w:b/>
                      <w:bCs/>
                    </w:rPr>
                    <w:t>Backhaul</w:t>
                  </w:r>
                  <w:proofErr w:type="spellEnd"/>
                  <w:r w:rsidRPr="00343CF8">
                    <w:rPr>
                      <w:b/>
                      <w:bCs/>
                    </w:rPr>
                    <w:t xml:space="preserve"> </w:t>
                  </w:r>
                </w:p>
              </w:tc>
            </w:tr>
          </w:tbl>
          <w:p w14:paraId="5C561082" w14:textId="77777777" w:rsidR="00E734D4" w:rsidRPr="00343CF8" w:rsidRDefault="00E734D4" w:rsidP="001F2FCE">
            <w:pPr>
              <w:rPr>
                <w:szCs w:val="24"/>
                <w:highlight w:val="yellow"/>
              </w:rPr>
            </w:pPr>
          </w:p>
        </w:tc>
        <w:tc>
          <w:tcPr>
            <w:tcW w:w="1348" w:type="dxa"/>
          </w:tcPr>
          <w:tbl>
            <w:tblPr>
              <w:tblW w:w="0" w:type="auto"/>
              <w:tblBorders>
                <w:top w:val="nil"/>
                <w:left w:val="nil"/>
                <w:bottom w:val="nil"/>
                <w:right w:val="nil"/>
              </w:tblBorders>
              <w:tblLook w:val="0000" w:firstRow="0" w:lastRow="0" w:firstColumn="0" w:lastColumn="0" w:noHBand="0" w:noVBand="0"/>
            </w:tblPr>
            <w:tblGrid>
              <w:gridCol w:w="1190"/>
            </w:tblGrid>
            <w:tr w:rsidR="00E734D4" w:rsidRPr="00343CF8" w14:paraId="3BA97088" w14:textId="77777777" w:rsidTr="001F2FCE">
              <w:trPr>
                <w:trHeight w:val="183"/>
              </w:trPr>
              <w:tc>
                <w:tcPr>
                  <w:tcW w:w="0" w:type="auto"/>
                </w:tcPr>
                <w:p w14:paraId="6CC42417" w14:textId="77777777" w:rsidR="00E734D4" w:rsidRPr="00343CF8" w:rsidRDefault="00E734D4" w:rsidP="001F2FCE">
                  <w:pPr>
                    <w:pStyle w:val="Default"/>
                  </w:pPr>
                  <w:proofErr w:type="spellStart"/>
                  <w:r w:rsidRPr="00343CF8">
                    <w:rPr>
                      <w:b/>
                      <w:bCs/>
                    </w:rPr>
                    <w:t>From</w:t>
                  </w:r>
                  <w:proofErr w:type="spellEnd"/>
                  <w:r w:rsidRPr="00343CF8">
                    <w:rPr>
                      <w:b/>
                      <w:bCs/>
                    </w:rPr>
                    <w:t xml:space="preserve"> </w:t>
                  </w:r>
                  <w:proofErr w:type="spellStart"/>
                  <w:r w:rsidRPr="00343CF8">
                    <w:rPr>
                      <w:b/>
                      <w:bCs/>
                    </w:rPr>
                    <w:t>Backhaul</w:t>
                  </w:r>
                  <w:proofErr w:type="spellEnd"/>
                  <w:r w:rsidRPr="00343CF8">
                    <w:rPr>
                      <w:b/>
                      <w:bCs/>
                    </w:rPr>
                    <w:t xml:space="preserve"> </w:t>
                  </w:r>
                </w:p>
              </w:tc>
            </w:tr>
          </w:tbl>
          <w:p w14:paraId="6E4ED3B7" w14:textId="77777777" w:rsidR="00E734D4" w:rsidRPr="00343CF8" w:rsidRDefault="00E734D4" w:rsidP="001F2FCE">
            <w:pPr>
              <w:rPr>
                <w:szCs w:val="24"/>
                <w:highlight w:val="yellow"/>
              </w:rPr>
            </w:pPr>
          </w:p>
        </w:tc>
        <w:tc>
          <w:tcPr>
            <w:tcW w:w="1364" w:type="dxa"/>
          </w:tcPr>
          <w:tbl>
            <w:tblPr>
              <w:tblW w:w="0" w:type="auto"/>
              <w:tblBorders>
                <w:top w:val="nil"/>
                <w:left w:val="nil"/>
                <w:bottom w:val="nil"/>
                <w:right w:val="nil"/>
              </w:tblBorders>
              <w:tblLook w:val="0000" w:firstRow="0" w:lastRow="0" w:firstColumn="0" w:lastColumn="0" w:noHBand="0" w:noVBand="0"/>
            </w:tblPr>
            <w:tblGrid>
              <w:gridCol w:w="1403"/>
            </w:tblGrid>
            <w:tr w:rsidR="00E734D4" w:rsidRPr="00343CF8" w14:paraId="321BE2AC" w14:textId="77777777" w:rsidTr="001F2FCE">
              <w:trPr>
                <w:trHeight w:val="183"/>
              </w:trPr>
              <w:tc>
                <w:tcPr>
                  <w:tcW w:w="0" w:type="auto"/>
                </w:tcPr>
                <w:p w14:paraId="611D0A2A" w14:textId="77777777" w:rsidR="00E734D4" w:rsidRPr="00343CF8" w:rsidRDefault="00E734D4" w:rsidP="001F2FCE">
                  <w:pPr>
                    <w:pStyle w:val="Default"/>
                  </w:pPr>
                  <w:r w:rsidRPr="00343CF8">
                    <w:rPr>
                      <w:b/>
                      <w:bCs/>
                    </w:rPr>
                    <w:t xml:space="preserve">Description </w:t>
                  </w:r>
                </w:p>
              </w:tc>
            </w:tr>
          </w:tbl>
          <w:p w14:paraId="72D3AC29" w14:textId="77777777" w:rsidR="00E734D4" w:rsidRPr="00343CF8" w:rsidRDefault="00E734D4" w:rsidP="001F2FCE">
            <w:pPr>
              <w:rPr>
                <w:szCs w:val="24"/>
                <w:highlight w:val="yellow"/>
              </w:rPr>
            </w:pPr>
          </w:p>
        </w:tc>
        <w:tc>
          <w:tcPr>
            <w:tcW w:w="1343" w:type="dxa"/>
          </w:tcPr>
          <w:tbl>
            <w:tblPr>
              <w:tblW w:w="0" w:type="auto"/>
              <w:tblBorders>
                <w:top w:val="nil"/>
                <w:left w:val="nil"/>
                <w:bottom w:val="nil"/>
                <w:right w:val="nil"/>
              </w:tblBorders>
              <w:tblLook w:val="0000" w:firstRow="0" w:lastRow="0" w:firstColumn="0" w:lastColumn="0" w:noHBand="0" w:noVBand="0"/>
            </w:tblPr>
            <w:tblGrid>
              <w:gridCol w:w="1127"/>
            </w:tblGrid>
            <w:tr w:rsidR="00E734D4" w:rsidRPr="00343CF8" w14:paraId="0791F1C9" w14:textId="77777777" w:rsidTr="001F2FCE">
              <w:trPr>
                <w:trHeight w:val="183"/>
              </w:trPr>
              <w:tc>
                <w:tcPr>
                  <w:tcW w:w="0" w:type="auto"/>
                </w:tcPr>
                <w:p w14:paraId="3D808C44" w14:textId="77777777" w:rsidR="00E734D4" w:rsidRPr="00343CF8" w:rsidRDefault="00E734D4" w:rsidP="001F2FCE">
                  <w:pPr>
                    <w:pStyle w:val="Default"/>
                  </w:pPr>
                  <w:r w:rsidRPr="00343CF8">
                    <w:rPr>
                      <w:b/>
                      <w:bCs/>
                    </w:rPr>
                    <w:t xml:space="preserve">Receiver </w:t>
                  </w:r>
                  <w:proofErr w:type="spellStart"/>
                  <w:r w:rsidRPr="00343CF8">
                    <w:rPr>
                      <w:b/>
                      <w:bCs/>
                    </w:rPr>
                    <w:t>address</w:t>
                  </w:r>
                  <w:proofErr w:type="spellEnd"/>
                  <w:r w:rsidRPr="00343CF8">
                    <w:rPr>
                      <w:b/>
                      <w:bCs/>
                    </w:rPr>
                    <w:t xml:space="preserve"> </w:t>
                  </w:r>
                </w:p>
              </w:tc>
            </w:tr>
          </w:tbl>
          <w:p w14:paraId="04F560C6" w14:textId="77777777" w:rsidR="00E734D4" w:rsidRPr="00343CF8" w:rsidRDefault="00E734D4" w:rsidP="001F2FCE">
            <w:pPr>
              <w:rPr>
                <w:szCs w:val="24"/>
                <w:highlight w:val="yellow"/>
              </w:rPr>
            </w:pPr>
          </w:p>
        </w:tc>
        <w:tc>
          <w:tcPr>
            <w:tcW w:w="1594" w:type="dxa"/>
          </w:tcPr>
          <w:tbl>
            <w:tblPr>
              <w:tblW w:w="0" w:type="auto"/>
              <w:tblBorders>
                <w:top w:val="nil"/>
                <w:left w:val="nil"/>
                <w:bottom w:val="nil"/>
                <w:right w:val="nil"/>
              </w:tblBorders>
              <w:tblLook w:val="0000" w:firstRow="0" w:lastRow="0" w:firstColumn="0" w:lastColumn="0" w:noHBand="0" w:noVBand="0"/>
            </w:tblPr>
            <w:tblGrid>
              <w:gridCol w:w="1469"/>
              <w:gridCol w:w="222"/>
            </w:tblGrid>
            <w:tr w:rsidR="00E734D4" w:rsidRPr="00343CF8" w14:paraId="0351A488" w14:textId="77777777" w:rsidTr="001F2FCE">
              <w:trPr>
                <w:trHeight w:val="180"/>
              </w:trPr>
              <w:tc>
                <w:tcPr>
                  <w:tcW w:w="0" w:type="auto"/>
                </w:tcPr>
                <w:p w14:paraId="548E3A9C" w14:textId="77777777" w:rsidR="00E734D4" w:rsidRPr="00343CF8" w:rsidRDefault="00E734D4" w:rsidP="001F2FCE">
                  <w:pPr>
                    <w:pStyle w:val="Default"/>
                  </w:pPr>
                  <w:r w:rsidRPr="00343CF8">
                    <w:rPr>
                      <w:b/>
                      <w:bCs/>
                    </w:rPr>
                    <w:t xml:space="preserve">Transmitter </w:t>
                  </w:r>
                  <w:proofErr w:type="spellStart"/>
                  <w:r w:rsidRPr="00343CF8">
                    <w:rPr>
                      <w:b/>
                      <w:bCs/>
                    </w:rPr>
                    <w:t>address</w:t>
                  </w:r>
                  <w:proofErr w:type="spellEnd"/>
                  <w:r w:rsidRPr="00343CF8">
                    <w:rPr>
                      <w:b/>
                      <w:bCs/>
                    </w:rPr>
                    <w:t xml:space="preserve"> </w:t>
                  </w:r>
                </w:p>
              </w:tc>
              <w:tc>
                <w:tcPr>
                  <w:tcW w:w="0" w:type="auto"/>
                </w:tcPr>
                <w:p w14:paraId="6F6B52BA" w14:textId="77777777" w:rsidR="00E734D4" w:rsidRPr="00343CF8" w:rsidRDefault="00E734D4" w:rsidP="001F2FCE">
                  <w:pPr>
                    <w:pStyle w:val="Default"/>
                  </w:pPr>
                </w:p>
              </w:tc>
            </w:tr>
          </w:tbl>
          <w:p w14:paraId="6E21ABBA" w14:textId="77777777" w:rsidR="00E734D4" w:rsidRPr="00343CF8" w:rsidRDefault="00E734D4" w:rsidP="001F2FCE">
            <w:pPr>
              <w:rPr>
                <w:szCs w:val="24"/>
                <w:highlight w:val="yellow"/>
              </w:rPr>
            </w:pPr>
          </w:p>
        </w:tc>
        <w:tc>
          <w:tcPr>
            <w:tcW w:w="1321" w:type="dxa"/>
          </w:tcPr>
          <w:p w14:paraId="1CC5F2DD" w14:textId="77777777" w:rsidR="00E734D4" w:rsidRPr="00343CF8" w:rsidRDefault="00E734D4" w:rsidP="001F2FCE">
            <w:pPr>
              <w:rPr>
                <w:szCs w:val="24"/>
                <w:highlight w:val="yellow"/>
              </w:rPr>
            </w:pPr>
            <w:r w:rsidRPr="00343CF8">
              <w:rPr>
                <w:b/>
                <w:bCs/>
                <w:szCs w:val="24"/>
              </w:rPr>
              <w:t>Auxiliary address</w:t>
            </w:r>
          </w:p>
        </w:tc>
      </w:tr>
      <w:tr w:rsidR="00E734D4" w:rsidRPr="00343CF8" w14:paraId="469F68D9" w14:textId="77777777" w:rsidTr="001F2FCE">
        <w:tc>
          <w:tcPr>
            <w:tcW w:w="1348" w:type="dxa"/>
          </w:tcPr>
          <w:p w14:paraId="13D557E4" w14:textId="77777777" w:rsidR="00E734D4" w:rsidRPr="00343CF8" w:rsidRDefault="00E734D4" w:rsidP="001F2FCE">
            <w:pPr>
              <w:pStyle w:val="Default"/>
              <w:rPr>
                <w:b/>
                <w:bCs/>
              </w:rPr>
            </w:pPr>
            <w:r w:rsidRPr="00343CF8">
              <w:rPr>
                <w:b/>
                <w:bCs/>
              </w:rPr>
              <w:t>1</w:t>
            </w:r>
          </w:p>
        </w:tc>
        <w:tc>
          <w:tcPr>
            <w:tcW w:w="1348" w:type="dxa"/>
          </w:tcPr>
          <w:p w14:paraId="7A997BB3" w14:textId="77777777" w:rsidR="00E734D4" w:rsidRPr="00343CF8" w:rsidRDefault="00E734D4" w:rsidP="001F2FCE">
            <w:pPr>
              <w:pStyle w:val="Default"/>
              <w:rPr>
                <w:b/>
                <w:bCs/>
              </w:rPr>
            </w:pPr>
            <w:r w:rsidRPr="00343CF8">
              <w:rPr>
                <w:b/>
                <w:bCs/>
              </w:rPr>
              <w:t>1</w:t>
            </w:r>
          </w:p>
        </w:tc>
        <w:tc>
          <w:tcPr>
            <w:tcW w:w="1364" w:type="dxa"/>
          </w:tcPr>
          <w:p w14:paraId="6D2B72DE" w14:textId="77777777" w:rsidR="00E734D4" w:rsidRPr="00343CF8" w:rsidRDefault="00E734D4" w:rsidP="001F2FCE">
            <w:pPr>
              <w:rPr>
                <w:szCs w:val="24"/>
              </w:rPr>
            </w:pPr>
            <w:r w:rsidRPr="00343CF8">
              <w:rPr>
                <w:szCs w:val="24"/>
              </w:rPr>
              <w:t>The frame originates from a different device and is destined to another device and used for relaying.</w:t>
            </w:r>
          </w:p>
          <w:p w14:paraId="36E29DC5" w14:textId="77777777" w:rsidR="00E734D4" w:rsidRPr="00343CF8" w:rsidRDefault="00E734D4" w:rsidP="001F2FCE">
            <w:pPr>
              <w:pStyle w:val="Default"/>
              <w:rPr>
                <w:b/>
                <w:bCs/>
              </w:rPr>
            </w:pPr>
          </w:p>
        </w:tc>
        <w:tc>
          <w:tcPr>
            <w:tcW w:w="1343" w:type="dxa"/>
          </w:tcPr>
          <w:p w14:paraId="2ECB506E" w14:textId="77777777" w:rsidR="00E734D4" w:rsidRPr="00343CF8" w:rsidRDefault="00E734D4" w:rsidP="001F2FCE">
            <w:pPr>
              <w:rPr>
                <w:szCs w:val="24"/>
              </w:rPr>
            </w:pPr>
            <w:r w:rsidRPr="00343CF8">
              <w:rPr>
                <w:szCs w:val="24"/>
              </w:rPr>
              <w:t>Address of the designated receiver. (= MSDU destination address)</w:t>
            </w:r>
          </w:p>
          <w:p w14:paraId="48D958D6" w14:textId="77777777" w:rsidR="00E734D4" w:rsidRPr="00343CF8" w:rsidRDefault="00E734D4" w:rsidP="001F2FCE">
            <w:pPr>
              <w:pStyle w:val="Default"/>
              <w:rPr>
                <w:b/>
                <w:bCs/>
              </w:rPr>
            </w:pPr>
          </w:p>
        </w:tc>
        <w:tc>
          <w:tcPr>
            <w:tcW w:w="1594" w:type="dxa"/>
          </w:tcPr>
          <w:p w14:paraId="5531F184" w14:textId="77777777" w:rsidR="00E734D4" w:rsidRPr="00343CF8" w:rsidRDefault="00E734D4" w:rsidP="001F2FCE">
            <w:pPr>
              <w:rPr>
                <w:szCs w:val="24"/>
              </w:rPr>
            </w:pPr>
            <w:r w:rsidRPr="00343CF8">
              <w:rPr>
                <w:szCs w:val="24"/>
              </w:rPr>
              <w:t>Address of the original transmitter device. (= MSDU source address)</w:t>
            </w:r>
          </w:p>
          <w:p w14:paraId="780B44BE" w14:textId="77777777" w:rsidR="00E734D4" w:rsidRPr="00343CF8" w:rsidRDefault="00E734D4" w:rsidP="001F2FCE">
            <w:pPr>
              <w:pStyle w:val="Default"/>
              <w:rPr>
                <w:b/>
                <w:bCs/>
              </w:rPr>
            </w:pPr>
          </w:p>
        </w:tc>
        <w:tc>
          <w:tcPr>
            <w:tcW w:w="1321" w:type="dxa"/>
          </w:tcPr>
          <w:p w14:paraId="63592D86" w14:textId="77777777" w:rsidR="00E734D4" w:rsidRPr="00343CF8" w:rsidRDefault="00E734D4" w:rsidP="001F2FCE">
            <w:pPr>
              <w:rPr>
                <w:szCs w:val="24"/>
              </w:rPr>
            </w:pPr>
            <w:r w:rsidRPr="00343CF8">
              <w:rPr>
                <w:szCs w:val="24"/>
              </w:rPr>
              <w:t>Address of the relaying device</w:t>
            </w:r>
          </w:p>
          <w:p w14:paraId="6F345B4C" w14:textId="77777777" w:rsidR="00E734D4" w:rsidRPr="00343CF8" w:rsidRDefault="00E734D4" w:rsidP="001F2FCE">
            <w:pPr>
              <w:rPr>
                <w:b/>
                <w:bCs/>
                <w:szCs w:val="24"/>
              </w:rPr>
            </w:pPr>
          </w:p>
        </w:tc>
      </w:tr>
    </w:tbl>
    <w:p w14:paraId="6C861895" w14:textId="77777777" w:rsidR="00E734D4" w:rsidRPr="00343CF8" w:rsidRDefault="00E734D4" w:rsidP="00E734D4">
      <w:pPr>
        <w:rPr>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oKlavuzu"/>
        <w:tblW w:w="0" w:type="auto"/>
        <w:tblLook w:val="04A0" w:firstRow="1" w:lastRow="0" w:firstColumn="1" w:lastColumn="0" w:noHBand="0" w:noVBand="1"/>
      </w:tblPr>
      <w:tblGrid>
        <w:gridCol w:w="2341"/>
        <w:gridCol w:w="2311"/>
        <w:gridCol w:w="2348"/>
        <w:gridCol w:w="2350"/>
      </w:tblGrid>
      <w:tr w:rsidR="00E734D4" w:rsidRPr="00343CF8" w14:paraId="6D73A1B5" w14:textId="77777777" w:rsidTr="001F2FCE">
        <w:tc>
          <w:tcPr>
            <w:tcW w:w="2394" w:type="dxa"/>
          </w:tcPr>
          <w:p w14:paraId="7D5A9F66" w14:textId="77777777" w:rsidR="00E734D4" w:rsidRPr="00343CF8" w:rsidRDefault="00E734D4" w:rsidP="001F2FCE">
            <w:pPr>
              <w:rPr>
                <w:szCs w:val="24"/>
              </w:rPr>
            </w:pPr>
            <w:r w:rsidRPr="00343CF8">
              <w:rPr>
                <w:szCs w:val="24"/>
              </w:rPr>
              <w:t>Name</w:t>
            </w:r>
          </w:p>
        </w:tc>
        <w:tc>
          <w:tcPr>
            <w:tcW w:w="2394" w:type="dxa"/>
          </w:tcPr>
          <w:p w14:paraId="18A1FA21" w14:textId="77777777" w:rsidR="00E734D4" w:rsidRPr="00343CF8" w:rsidRDefault="00E734D4" w:rsidP="001F2FCE">
            <w:pPr>
              <w:rPr>
                <w:szCs w:val="24"/>
              </w:rPr>
            </w:pPr>
            <w:r w:rsidRPr="00343CF8">
              <w:rPr>
                <w:szCs w:val="24"/>
              </w:rPr>
              <w:t>ID</w:t>
            </w:r>
          </w:p>
        </w:tc>
        <w:tc>
          <w:tcPr>
            <w:tcW w:w="2394" w:type="dxa"/>
          </w:tcPr>
          <w:p w14:paraId="19057106" w14:textId="77777777" w:rsidR="00E734D4" w:rsidRPr="00343CF8" w:rsidRDefault="00E734D4" w:rsidP="001F2FCE">
            <w:pPr>
              <w:rPr>
                <w:szCs w:val="24"/>
              </w:rPr>
            </w:pPr>
            <w:r w:rsidRPr="00343CF8">
              <w:rPr>
                <w:szCs w:val="24"/>
              </w:rPr>
              <w:t>Description</w:t>
            </w:r>
          </w:p>
        </w:tc>
        <w:tc>
          <w:tcPr>
            <w:tcW w:w="2394" w:type="dxa"/>
          </w:tcPr>
          <w:p w14:paraId="00CDAD07" w14:textId="77777777" w:rsidR="00E734D4" w:rsidRPr="00343CF8" w:rsidRDefault="00E734D4" w:rsidP="001F2FCE">
            <w:pPr>
              <w:rPr>
                <w:szCs w:val="24"/>
              </w:rPr>
            </w:pPr>
            <w:r w:rsidRPr="00343CF8">
              <w:rPr>
                <w:szCs w:val="24"/>
              </w:rPr>
              <w:t>Required Capabilities</w:t>
            </w:r>
          </w:p>
        </w:tc>
      </w:tr>
      <w:tr w:rsidR="00E734D4" w:rsidRPr="00343CF8" w14:paraId="2664DB02" w14:textId="77777777" w:rsidTr="001F2FCE">
        <w:tc>
          <w:tcPr>
            <w:tcW w:w="2394" w:type="dxa"/>
          </w:tcPr>
          <w:p w14:paraId="080F977E" w14:textId="77777777" w:rsidR="00E734D4" w:rsidRPr="00343CF8" w:rsidRDefault="00E734D4" w:rsidP="001F2FCE">
            <w:pPr>
              <w:rPr>
                <w:szCs w:val="24"/>
              </w:rPr>
            </w:pPr>
            <w:proofErr w:type="spellStart"/>
            <w:r w:rsidRPr="00343CF8">
              <w:rPr>
                <w:szCs w:val="24"/>
              </w:rPr>
              <w:lastRenderedPageBreak/>
              <w:t>CapRelay</w:t>
            </w:r>
            <w:proofErr w:type="spellEnd"/>
          </w:p>
        </w:tc>
        <w:tc>
          <w:tcPr>
            <w:tcW w:w="2394" w:type="dxa"/>
          </w:tcPr>
          <w:p w14:paraId="593369A7" w14:textId="77777777" w:rsidR="00E734D4" w:rsidRPr="00343CF8" w:rsidRDefault="00E734D4" w:rsidP="001F2FCE">
            <w:pPr>
              <w:rPr>
                <w:szCs w:val="24"/>
              </w:rPr>
            </w:pPr>
            <w:r w:rsidRPr="00343CF8">
              <w:rPr>
                <w:szCs w:val="24"/>
              </w:rPr>
              <w:t>7</w:t>
            </w:r>
          </w:p>
        </w:tc>
        <w:tc>
          <w:tcPr>
            <w:tcW w:w="2394" w:type="dxa"/>
          </w:tcPr>
          <w:p w14:paraId="2469244E" w14:textId="77777777" w:rsidR="00E734D4" w:rsidRPr="00343CF8" w:rsidRDefault="00E734D4" w:rsidP="001F2FCE">
            <w:pPr>
              <w:rPr>
                <w:szCs w:val="24"/>
              </w:rPr>
            </w:pPr>
            <w:r w:rsidRPr="00343CF8">
              <w:rPr>
                <w:szCs w:val="24"/>
              </w:rPr>
              <w:t>The device supports relaying procedure</w:t>
            </w:r>
          </w:p>
        </w:tc>
        <w:tc>
          <w:tcPr>
            <w:tcW w:w="2394" w:type="dxa"/>
          </w:tcPr>
          <w:p w14:paraId="70A288BE" w14:textId="77777777" w:rsidR="00E734D4" w:rsidRPr="00343CF8" w:rsidRDefault="00E734D4" w:rsidP="001F2FCE">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77777777" w:rsidR="00E734D4" w:rsidRPr="0045223A" w:rsidRDefault="00E734D4" w:rsidP="00E734D4">
      <w:pPr>
        <w:rPr>
          <w:rFonts w:eastAsia="Arial-BoldMT"/>
          <w:b/>
          <w:bCs/>
          <w:szCs w:val="24"/>
        </w:rPr>
      </w:pPr>
      <w:proofErr w:type="gramStart"/>
      <w:r w:rsidRPr="0045223A">
        <w:rPr>
          <w:rFonts w:eastAsia="Arial-BoldMT"/>
          <w:b/>
          <w:bCs/>
          <w:szCs w:val="24"/>
          <w:highlight w:val="yellow"/>
        </w:rPr>
        <w:t>6.6.28  Reachable</w:t>
      </w:r>
      <w:proofErr w:type="gramEnd"/>
      <w:r w:rsidRPr="0045223A">
        <w:rPr>
          <w:rFonts w:eastAsia="Arial-BoldMT"/>
          <w:b/>
          <w:bCs/>
          <w:szCs w:val="24"/>
          <w:highlight w:val="yellow"/>
        </w:rPr>
        <w:t xml:space="preserve"> Address element</w:t>
      </w:r>
    </w:p>
    <w:p w14:paraId="1D68B16D" w14:textId="77777777" w:rsidR="00E734D4" w:rsidRPr="00343CF8" w:rsidRDefault="00E734D4" w:rsidP="00E734D4">
      <w:pPr>
        <w:rPr>
          <w:rFonts w:eastAsia="TimesNewRomanPSMT"/>
          <w:szCs w:val="24"/>
        </w:rPr>
      </w:pPr>
      <w:r w:rsidRPr="00343CF8">
        <w:rPr>
          <w:rFonts w:eastAsia="TimesNewRomanPSMT"/>
          <w:szCs w:val="24"/>
        </w:rPr>
        <w:t xml:space="preserve">The format of the Reachable Address element is shown </w:t>
      </w:r>
      <w:proofErr w:type="gramStart"/>
      <w:r w:rsidRPr="00343CF8">
        <w:rPr>
          <w:rFonts w:eastAsia="TimesNewRomanPSMT"/>
          <w:szCs w:val="24"/>
        </w:rPr>
        <w:t>in</w:t>
      </w:r>
      <w:proofErr w:type="gramEnd"/>
    </w:p>
    <w:tbl>
      <w:tblPr>
        <w:tblStyle w:val="TabloKlavuzu"/>
        <w:tblW w:w="0" w:type="auto"/>
        <w:tblInd w:w="1638" w:type="dxa"/>
        <w:tblLook w:val="04A0" w:firstRow="1" w:lastRow="0" w:firstColumn="1" w:lastColumn="0" w:noHBand="0" w:noVBand="1"/>
      </w:tblPr>
      <w:tblGrid>
        <w:gridCol w:w="1554"/>
        <w:gridCol w:w="1686"/>
        <w:gridCol w:w="2340"/>
      </w:tblGrid>
      <w:tr w:rsidR="00E734D4" w:rsidRPr="00343CF8" w14:paraId="1E90D8AF" w14:textId="77777777" w:rsidTr="001F2FCE">
        <w:tc>
          <w:tcPr>
            <w:tcW w:w="1554" w:type="dxa"/>
          </w:tcPr>
          <w:p w14:paraId="546B5E77" w14:textId="77777777" w:rsidR="00E734D4" w:rsidRPr="00343CF8" w:rsidRDefault="00E734D4" w:rsidP="001F2FCE">
            <w:pPr>
              <w:jc w:val="center"/>
              <w:rPr>
                <w:b/>
                <w:szCs w:val="24"/>
              </w:rPr>
            </w:pPr>
            <w:r w:rsidRPr="00343CF8">
              <w:rPr>
                <w:b/>
                <w:szCs w:val="24"/>
              </w:rPr>
              <w:t>2 Octets</w:t>
            </w:r>
          </w:p>
        </w:tc>
        <w:tc>
          <w:tcPr>
            <w:tcW w:w="1686" w:type="dxa"/>
          </w:tcPr>
          <w:p w14:paraId="3613DA17" w14:textId="77777777" w:rsidR="00E734D4" w:rsidRPr="00343CF8" w:rsidRDefault="00E734D4" w:rsidP="001F2FCE">
            <w:pPr>
              <w:jc w:val="center"/>
              <w:rPr>
                <w:b/>
                <w:szCs w:val="24"/>
              </w:rPr>
            </w:pPr>
            <w:r w:rsidRPr="00343CF8">
              <w:rPr>
                <w:b/>
                <w:szCs w:val="24"/>
              </w:rPr>
              <w:t>1 Octet</w:t>
            </w:r>
          </w:p>
        </w:tc>
        <w:tc>
          <w:tcPr>
            <w:tcW w:w="2340" w:type="dxa"/>
          </w:tcPr>
          <w:p w14:paraId="32A27C8C" w14:textId="77777777" w:rsidR="00E734D4" w:rsidRPr="00343CF8" w:rsidRDefault="00E734D4" w:rsidP="001F2FCE">
            <w:pPr>
              <w:jc w:val="center"/>
              <w:rPr>
                <w:b/>
                <w:szCs w:val="24"/>
              </w:rPr>
            </w:pPr>
            <w:r w:rsidRPr="00343CF8">
              <w:rPr>
                <w:b/>
                <w:szCs w:val="24"/>
              </w:rPr>
              <w:t>Variable</w:t>
            </w:r>
          </w:p>
        </w:tc>
      </w:tr>
      <w:tr w:rsidR="00E734D4" w:rsidRPr="00343CF8" w14:paraId="786B77BA" w14:textId="77777777" w:rsidTr="001F2FCE">
        <w:trPr>
          <w:trHeight w:val="719"/>
        </w:trPr>
        <w:tc>
          <w:tcPr>
            <w:tcW w:w="1554" w:type="dxa"/>
          </w:tcPr>
          <w:p w14:paraId="35D5728A" w14:textId="77777777" w:rsidR="00E734D4" w:rsidRPr="00343CF8" w:rsidRDefault="00E734D4" w:rsidP="001F2FCE">
            <w:pPr>
              <w:jc w:val="center"/>
              <w:rPr>
                <w:szCs w:val="24"/>
              </w:rPr>
            </w:pPr>
            <w:r w:rsidRPr="00343CF8">
              <w:rPr>
                <w:szCs w:val="24"/>
              </w:rPr>
              <w:t>Initiator Address</w:t>
            </w:r>
          </w:p>
        </w:tc>
        <w:tc>
          <w:tcPr>
            <w:tcW w:w="1686" w:type="dxa"/>
          </w:tcPr>
          <w:p w14:paraId="5897DE1D" w14:textId="77777777" w:rsidR="00E734D4" w:rsidRPr="00343CF8" w:rsidRDefault="00E734D4" w:rsidP="001F2FCE">
            <w:pPr>
              <w:jc w:val="center"/>
              <w:rPr>
                <w:szCs w:val="24"/>
              </w:rPr>
            </w:pPr>
            <w:r w:rsidRPr="00343CF8">
              <w:rPr>
                <w:szCs w:val="24"/>
              </w:rPr>
              <w:t>Address Count</w:t>
            </w:r>
          </w:p>
        </w:tc>
        <w:tc>
          <w:tcPr>
            <w:tcW w:w="2340" w:type="dxa"/>
          </w:tcPr>
          <w:p w14:paraId="5530F166" w14:textId="77777777" w:rsidR="00E734D4" w:rsidRPr="00343CF8" w:rsidRDefault="00E734D4" w:rsidP="001F2FCE">
            <w:pPr>
              <w:jc w:val="center"/>
              <w:rPr>
                <w:szCs w:val="24"/>
              </w:rPr>
            </w:pPr>
            <w:r w:rsidRPr="00343CF8">
              <w:rPr>
                <w:szCs w:val="24"/>
              </w:rPr>
              <w:t>Reachable</w:t>
            </w:r>
          </w:p>
          <w:p w14:paraId="51A9C15A" w14:textId="77777777" w:rsidR="00E734D4" w:rsidRPr="00343CF8" w:rsidRDefault="00E734D4" w:rsidP="001F2FCE">
            <w:pPr>
              <w:jc w:val="center"/>
              <w:rPr>
                <w:szCs w:val="24"/>
              </w:rPr>
            </w:pPr>
            <w:r w:rsidRPr="00343CF8">
              <w:rPr>
                <w:szCs w:val="24"/>
              </w:rPr>
              <w:t>Addresses</w:t>
            </w:r>
          </w:p>
        </w:tc>
      </w:tr>
    </w:tbl>
    <w:p w14:paraId="4DDD1933" w14:textId="77777777" w:rsidR="00E734D4" w:rsidRPr="00343CF8" w:rsidRDefault="00E734D4" w:rsidP="00E734D4">
      <w:pPr>
        <w:ind w:left="1440" w:firstLine="720"/>
        <w:rPr>
          <w:szCs w:val="24"/>
        </w:rPr>
      </w:pPr>
    </w:p>
    <w:p w14:paraId="361C9278" w14:textId="77777777" w:rsidR="00E734D4" w:rsidRPr="00343CF8" w:rsidRDefault="00E734D4" w:rsidP="00E734D4">
      <w:pPr>
        <w:ind w:left="1440" w:firstLine="720"/>
        <w:rPr>
          <w:szCs w:val="24"/>
        </w:rPr>
      </w:pPr>
      <w:r w:rsidRPr="00343CF8">
        <w:rPr>
          <w:szCs w:val="24"/>
        </w:rPr>
        <w:t>Fig X – Reachable Address element</w:t>
      </w:r>
    </w:p>
    <w:p w14:paraId="012BD06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Initiator Address:</w:t>
      </w:r>
      <w:r w:rsidRPr="00343CF8">
        <w:rPr>
          <w:rFonts w:eastAsia="TimesNewRomanPSMT"/>
          <w:szCs w:val="24"/>
        </w:rPr>
        <w:t xml:space="preserve"> The initiator Address field indicates the short address of the Relay Device that transmits the Reachable Address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Reachable Addresses:</w:t>
      </w:r>
      <w:r w:rsidRPr="00343CF8">
        <w:rPr>
          <w:rFonts w:eastAsia="TimesNewRomanPSMT"/>
          <w:szCs w:val="24"/>
        </w:rPr>
        <w:t xml:space="preserve"> The Reachable Addresses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33B1E100"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The Reachable Address subfields indicate the short addresses that can be reached through the Relay Device. The format of the Reachable Address subfield is shown in</w:t>
      </w:r>
      <w:r>
        <w:rPr>
          <w:rFonts w:eastAsia="TimesNewRomanPSMT"/>
          <w:szCs w:val="24"/>
        </w:rPr>
        <w:t xml:space="preserve"> Figure </w:t>
      </w:r>
      <w:r w:rsidRPr="008366E8">
        <w:rPr>
          <w:rFonts w:eastAsia="TimesNewRomanPSMT"/>
          <w:szCs w:val="24"/>
          <w:highlight w:val="yellow"/>
        </w:rPr>
        <w:t>X</w:t>
      </w:r>
      <w:r>
        <w:rPr>
          <w:rFonts w:eastAsia="TimesNewRomanPSMT"/>
          <w:szCs w:val="24"/>
        </w:rPr>
        <w:t>.</w:t>
      </w:r>
    </w:p>
    <w:p w14:paraId="4A11987D" w14:textId="77777777" w:rsidR="00E734D4" w:rsidRPr="00343CF8" w:rsidRDefault="00E734D4" w:rsidP="00E734D4">
      <w:pPr>
        <w:autoSpaceDE w:val="0"/>
        <w:autoSpaceDN w:val="0"/>
        <w:adjustRightInd w:val="0"/>
        <w:rPr>
          <w:rFonts w:eastAsia="TimesNewRomanPSMT"/>
          <w:szCs w:val="24"/>
        </w:rPr>
      </w:pPr>
    </w:p>
    <w:tbl>
      <w:tblPr>
        <w:tblStyle w:val="TabloKlavuzu"/>
        <w:tblW w:w="0" w:type="auto"/>
        <w:jc w:val="center"/>
        <w:tblLook w:val="04A0" w:firstRow="1" w:lastRow="0" w:firstColumn="1" w:lastColumn="0" w:noHBand="0" w:noVBand="1"/>
      </w:tblPr>
      <w:tblGrid>
        <w:gridCol w:w="1496"/>
        <w:gridCol w:w="1440"/>
        <w:gridCol w:w="1530"/>
      </w:tblGrid>
      <w:tr w:rsidR="00E734D4" w:rsidRPr="00343CF8" w14:paraId="2C937758" w14:textId="77777777" w:rsidTr="001F2FCE">
        <w:trPr>
          <w:trHeight w:val="476"/>
          <w:jc w:val="center"/>
        </w:trPr>
        <w:tc>
          <w:tcPr>
            <w:tcW w:w="1476" w:type="dxa"/>
          </w:tcPr>
          <w:p w14:paraId="2013C4EF"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0</w:t>
            </w:r>
          </w:p>
        </w:tc>
        <w:tc>
          <w:tcPr>
            <w:tcW w:w="1440" w:type="dxa"/>
          </w:tcPr>
          <w:p w14:paraId="3176D047"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1-7</w:t>
            </w:r>
          </w:p>
        </w:tc>
        <w:tc>
          <w:tcPr>
            <w:tcW w:w="1530" w:type="dxa"/>
          </w:tcPr>
          <w:p w14:paraId="36210A43"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8-15</w:t>
            </w:r>
          </w:p>
        </w:tc>
      </w:tr>
      <w:tr w:rsidR="00E734D4" w:rsidRPr="00343CF8" w14:paraId="6C1AC957" w14:textId="77777777" w:rsidTr="001F2FCE">
        <w:trPr>
          <w:jc w:val="center"/>
        </w:trPr>
        <w:tc>
          <w:tcPr>
            <w:tcW w:w="1476" w:type="dxa"/>
          </w:tcPr>
          <w:p w14:paraId="30563DFE"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Add/Remove</w:t>
            </w:r>
          </w:p>
        </w:tc>
        <w:tc>
          <w:tcPr>
            <w:tcW w:w="1440" w:type="dxa"/>
          </w:tcPr>
          <w:p w14:paraId="7794F6A3"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Reserved</w:t>
            </w:r>
          </w:p>
        </w:tc>
        <w:tc>
          <w:tcPr>
            <w:tcW w:w="1530" w:type="dxa"/>
          </w:tcPr>
          <w:p w14:paraId="28C6C25A"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Address</w:t>
            </w:r>
          </w:p>
        </w:tc>
      </w:tr>
    </w:tbl>
    <w:p w14:paraId="5AAAF5DB" w14:textId="77777777" w:rsidR="00E734D4" w:rsidRPr="00343CF8" w:rsidRDefault="00E734D4" w:rsidP="00E734D4">
      <w:pPr>
        <w:autoSpaceDE w:val="0"/>
        <w:autoSpaceDN w:val="0"/>
        <w:adjustRightInd w:val="0"/>
        <w:jc w:val="center"/>
        <w:rPr>
          <w:rFonts w:eastAsia="TimesNewRomanPSMT"/>
          <w:szCs w:val="24"/>
        </w:rPr>
      </w:pPr>
    </w:p>
    <w:p w14:paraId="6BA6B81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Reachable Addresses subfield</w:t>
      </w:r>
    </w:p>
    <w:p w14:paraId="75F1028C" w14:textId="77777777" w:rsidR="00E734D4" w:rsidRPr="00343CF8" w:rsidRDefault="00E734D4" w:rsidP="00E734D4">
      <w:pPr>
        <w:autoSpaceDE w:val="0"/>
        <w:autoSpaceDN w:val="0"/>
        <w:adjustRightInd w:val="0"/>
        <w:rPr>
          <w:rFonts w:eastAsia="TimesNewRomanPSMT"/>
          <w:szCs w:val="24"/>
        </w:rPr>
      </w:pPr>
    </w:p>
    <w:p w14:paraId="39FBBE0E" w14:textId="77777777" w:rsidR="00E734D4" w:rsidRPr="00343CF8" w:rsidRDefault="00E734D4" w:rsidP="00E734D4">
      <w:pPr>
        <w:autoSpaceDE w:val="0"/>
        <w:autoSpaceDN w:val="0"/>
        <w:adjustRightInd w:val="0"/>
        <w:rPr>
          <w:rFonts w:eastAsia="TimesNewRomanPSMT"/>
          <w:szCs w:val="24"/>
        </w:rPr>
      </w:pPr>
    </w:p>
    <w:p w14:paraId="09B6E90B"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Add/Remove:</w:t>
      </w:r>
      <w:r w:rsidRPr="00343CF8">
        <w:rPr>
          <w:rFonts w:eastAsia="TimesNewRomanPSMT"/>
          <w:szCs w:val="24"/>
        </w:rPr>
        <w:t xml:space="preserve"> The Add/Remove subfield is set to 1 if the short address is the address of a new Device detected by the Relay Device. Add/Remove subfield is set to 0 if the short address is the address of a Device has left the relay’s coverage. </w:t>
      </w:r>
    </w:p>
    <w:p w14:paraId="49170930"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77777777"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6.6.29 Relay Activation Element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 Activation element</w:t>
      </w:r>
      <w:r w:rsidRPr="00343CF8">
        <w:rPr>
          <w:rFonts w:eastAsia="TimesNewRomanPSMT"/>
          <w:szCs w:val="24"/>
        </w:rPr>
        <w:t xml:space="preserve"> 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oKlavuzu"/>
        <w:tblW w:w="7160" w:type="dxa"/>
        <w:jc w:val="center"/>
        <w:tblLook w:val="04A0" w:firstRow="1" w:lastRow="0" w:firstColumn="1" w:lastColumn="0" w:noHBand="0" w:noVBand="1"/>
      </w:tblPr>
      <w:tblGrid>
        <w:gridCol w:w="1350"/>
        <w:gridCol w:w="1144"/>
        <w:gridCol w:w="1414"/>
        <w:gridCol w:w="1626"/>
        <w:gridCol w:w="1626"/>
      </w:tblGrid>
      <w:tr w:rsidR="00E734D4" w:rsidRPr="00343CF8" w14:paraId="24455BC1" w14:textId="77777777" w:rsidTr="001F2FCE">
        <w:trPr>
          <w:jc w:val="center"/>
        </w:trPr>
        <w:tc>
          <w:tcPr>
            <w:tcW w:w="1350" w:type="dxa"/>
          </w:tcPr>
          <w:p w14:paraId="5928D01E"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0</w:t>
            </w:r>
          </w:p>
        </w:tc>
        <w:tc>
          <w:tcPr>
            <w:tcW w:w="1144" w:type="dxa"/>
          </w:tcPr>
          <w:p w14:paraId="0DC4E405"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1-2</w:t>
            </w:r>
          </w:p>
        </w:tc>
        <w:tc>
          <w:tcPr>
            <w:tcW w:w="1414" w:type="dxa"/>
          </w:tcPr>
          <w:p w14:paraId="556C547B" w14:textId="77777777" w:rsidR="00E734D4" w:rsidRPr="00343CF8" w:rsidRDefault="00E734D4" w:rsidP="001F2FCE">
            <w:pPr>
              <w:autoSpaceDE w:val="0"/>
              <w:autoSpaceDN w:val="0"/>
              <w:adjustRightInd w:val="0"/>
              <w:jc w:val="center"/>
              <w:rPr>
                <w:rFonts w:eastAsia="TimesNewRomanPSMT"/>
                <w:b/>
                <w:szCs w:val="24"/>
              </w:rPr>
            </w:pPr>
            <w:r w:rsidRPr="00343CF8">
              <w:rPr>
                <w:rFonts w:eastAsia="TimesNewRomanPSMT"/>
                <w:b/>
                <w:szCs w:val="24"/>
              </w:rPr>
              <w:t>Bit 3-7</w:t>
            </w:r>
          </w:p>
        </w:tc>
        <w:tc>
          <w:tcPr>
            <w:tcW w:w="1626" w:type="dxa"/>
          </w:tcPr>
          <w:p w14:paraId="37F1C328" w14:textId="77777777" w:rsidR="00E734D4" w:rsidRPr="00343CF8" w:rsidRDefault="00E734D4" w:rsidP="001F2FCE">
            <w:pPr>
              <w:jc w:val="center"/>
              <w:rPr>
                <w:b/>
                <w:szCs w:val="24"/>
              </w:rPr>
            </w:pPr>
            <w:r w:rsidRPr="00343CF8">
              <w:rPr>
                <w:b/>
                <w:szCs w:val="24"/>
              </w:rPr>
              <w:t>1 Octet</w:t>
            </w:r>
          </w:p>
        </w:tc>
        <w:tc>
          <w:tcPr>
            <w:tcW w:w="1626" w:type="dxa"/>
          </w:tcPr>
          <w:p w14:paraId="50D8B284" w14:textId="77777777" w:rsidR="00E734D4" w:rsidRPr="00343CF8" w:rsidRDefault="00E734D4" w:rsidP="001F2FCE">
            <w:pPr>
              <w:jc w:val="center"/>
              <w:rPr>
                <w:b/>
                <w:szCs w:val="24"/>
              </w:rPr>
            </w:pPr>
            <w:r w:rsidRPr="00343CF8">
              <w:rPr>
                <w:b/>
                <w:szCs w:val="24"/>
              </w:rPr>
              <w:t>Variable</w:t>
            </w:r>
          </w:p>
        </w:tc>
      </w:tr>
      <w:tr w:rsidR="00E734D4" w:rsidRPr="00343CF8" w14:paraId="09BD5598" w14:textId="77777777" w:rsidTr="001F2FCE">
        <w:trPr>
          <w:jc w:val="center"/>
        </w:trPr>
        <w:tc>
          <w:tcPr>
            <w:tcW w:w="1350" w:type="dxa"/>
          </w:tcPr>
          <w:p w14:paraId="13DDC0E0"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lastRenderedPageBreak/>
              <w:t>Relay Activation</w:t>
            </w:r>
          </w:p>
          <w:p w14:paraId="3D3D08F9"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Mode</w:t>
            </w:r>
          </w:p>
        </w:tc>
        <w:tc>
          <w:tcPr>
            <w:tcW w:w="1144" w:type="dxa"/>
          </w:tcPr>
          <w:p w14:paraId="698E09C1" w14:textId="77777777" w:rsidR="00E734D4" w:rsidRDefault="00E734D4" w:rsidP="001F2FCE">
            <w:pPr>
              <w:autoSpaceDE w:val="0"/>
              <w:autoSpaceDN w:val="0"/>
              <w:adjustRightInd w:val="0"/>
              <w:jc w:val="center"/>
              <w:rPr>
                <w:rFonts w:eastAsia="TimesNewRomanPSMT"/>
                <w:szCs w:val="24"/>
              </w:rPr>
            </w:pPr>
          </w:p>
          <w:p w14:paraId="09190E07"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Direction</w:t>
            </w:r>
          </w:p>
        </w:tc>
        <w:tc>
          <w:tcPr>
            <w:tcW w:w="1414" w:type="dxa"/>
          </w:tcPr>
          <w:p w14:paraId="213BDF03" w14:textId="77777777" w:rsidR="00E734D4" w:rsidRDefault="00E734D4" w:rsidP="001F2FCE">
            <w:pPr>
              <w:autoSpaceDE w:val="0"/>
              <w:autoSpaceDN w:val="0"/>
              <w:adjustRightInd w:val="0"/>
              <w:jc w:val="center"/>
              <w:rPr>
                <w:rFonts w:eastAsia="TimesNewRomanPSMT"/>
                <w:szCs w:val="24"/>
              </w:rPr>
            </w:pPr>
          </w:p>
          <w:p w14:paraId="10E73FF9" w14:textId="77777777" w:rsidR="00E734D4" w:rsidRPr="00343CF8" w:rsidRDefault="00E734D4" w:rsidP="001F2FCE">
            <w:pPr>
              <w:autoSpaceDE w:val="0"/>
              <w:autoSpaceDN w:val="0"/>
              <w:adjustRightInd w:val="0"/>
              <w:jc w:val="center"/>
              <w:rPr>
                <w:rFonts w:eastAsia="TimesNewRomanPSMT"/>
                <w:szCs w:val="24"/>
              </w:rPr>
            </w:pPr>
            <w:r w:rsidRPr="00343CF8">
              <w:rPr>
                <w:rFonts w:eastAsia="TimesNewRomanPSMT"/>
                <w:szCs w:val="24"/>
              </w:rPr>
              <w:t>Reserved</w:t>
            </w:r>
          </w:p>
        </w:tc>
        <w:tc>
          <w:tcPr>
            <w:tcW w:w="1626" w:type="dxa"/>
          </w:tcPr>
          <w:p w14:paraId="128DEAAF" w14:textId="77777777" w:rsidR="00E734D4" w:rsidRDefault="00E734D4" w:rsidP="001F2FCE">
            <w:pPr>
              <w:jc w:val="center"/>
              <w:rPr>
                <w:szCs w:val="24"/>
              </w:rPr>
            </w:pPr>
          </w:p>
          <w:p w14:paraId="6970EA07" w14:textId="77777777" w:rsidR="00E734D4" w:rsidRPr="00343CF8" w:rsidRDefault="00E734D4" w:rsidP="001F2FCE">
            <w:pPr>
              <w:jc w:val="center"/>
              <w:rPr>
                <w:szCs w:val="24"/>
              </w:rPr>
            </w:pPr>
            <w:r w:rsidRPr="00343CF8">
              <w:rPr>
                <w:szCs w:val="24"/>
              </w:rPr>
              <w:t>Address Count</w:t>
            </w:r>
          </w:p>
        </w:tc>
        <w:tc>
          <w:tcPr>
            <w:tcW w:w="1626" w:type="dxa"/>
          </w:tcPr>
          <w:p w14:paraId="2BCF0010" w14:textId="77777777" w:rsidR="00E734D4" w:rsidRPr="00343CF8" w:rsidRDefault="00E734D4" w:rsidP="001F2FCE">
            <w:pPr>
              <w:jc w:val="center"/>
              <w:rPr>
                <w:szCs w:val="24"/>
              </w:rPr>
            </w:pPr>
          </w:p>
          <w:p w14:paraId="3F422068" w14:textId="77777777" w:rsidR="00E734D4" w:rsidRPr="00343CF8" w:rsidRDefault="00E734D4" w:rsidP="001F2FCE">
            <w:pPr>
              <w:jc w:val="center"/>
              <w:rPr>
                <w:szCs w:val="24"/>
              </w:rPr>
            </w:pPr>
            <w:r w:rsidRPr="00343CF8">
              <w:rPr>
                <w:szCs w:val="24"/>
              </w:rPr>
              <w:t>Relay link Addresses</w:t>
            </w:r>
          </w:p>
          <w:p w14:paraId="66E21144" w14:textId="77777777" w:rsidR="00E734D4" w:rsidRPr="00343CF8" w:rsidRDefault="00E734D4" w:rsidP="001F2FCE">
            <w:pPr>
              <w:jc w:val="center"/>
              <w:rPr>
                <w:szCs w:val="24"/>
              </w:rPr>
            </w:pPr>
          </w:p>
        </w:tc>
      </w:tr>
    </w:tbl>
    <w:p w14:paraId="3F894D4F"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Relay Activation 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Relay Activation Mode:</w:t>
      </w:r>
      <w:r w:rsidRPr="00343CF8">
        <w:rPr>
          <w:rFonts w:eastAsia="TimesNewRomanPSMT"/>
          <w:szCs w:val="24"/>
        </w:rPr>
        <w:t xml:space="preserve"> The Relay Activation Mode field is set to 1 to indicate that this element is a Relay Activation Request. The Relay Activation Mode field is set to 0 to indicate the Relay Activation Response.</w:t>
      </w:r>
    </w:p>
    <w:p w14:paraId="49FB422C" w14:textId="77777777" w:rsidR="00E734D4" w:rsidRPr="00343CF8" w:rsidRDefault="00E734D4" w:rsidP="00E734D4">
      <w:pPr>
        <w:autoSpaceDE w:val="0"/>
        <w:autoSpaceDN w:val="0"/>
        <w:adjustRightInd w:val="0"/>
        <w:rPr>
          <w:rFonts w:eastAsia="TimesNewRomanPSMT"/>
          <w:szCs w:val="24"/>
        </w:rPr>
      </w:pPr>
    </w:p>
    <w:p w14:paraId="472662C2"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 xml:space="preserve">Direction: </w:t>
      </w:r>
      <w:r w:rsidRPr="00343CF8">
        <w:rPr>
          <w:rFonts w:eastAsia="TimesNewRomanPSMT"/>
          <w:szCs w:val="24"/>
        </w:rPr>
        <w:t xml:space="preserve">The Direction field set to 11 indicates that the </w:t>
      </w:r>
      <w:r w:rsidRPr="00343CF8">
        <w:rPr>
          <w:rFonts w:eastAsia="TimesNewRomanPSMT"/>
          <w:i/>
          <w:szCs w:val="24"/>
        </w:rPr>
        <w:t>Relay Activation</w:t>
      </w:r>
      <w:r w:rsidRPr="00343CF8">
        <w:rPr>
          <w:rFonts w:eastAsia="TimesNewRomanPSMT"/>
          <w:szCs w:val="24"/>
        </w:rPr>
        <w:t xml:space="preserve"> element is exchanged between coordinator and device. When it is 01, the </w:t>
      </w:r>
      <w:r w:rsidRPr="00343CF8">
        <w:rPr>
          <w:rFonts w:eastAsia="TimesNewRomanPSMT"/>
          <w:i/>
          <w:szCs w:val="24"/>
        </w:rPr>
        <w:t>Relay Activation</w:t>
      </w:r>
      <w:r w:rsidRPr="00343CF8">
        <w:rPr>
          <w:rFonts w:eastAsia="TimesNewRomanPSMT"/>
          <w:szCs w:val="24"/>
        </w:rPr>
        <w:t xml:space="preserve"> element is exchanged between coordinator and Relay Device. Values 00 and 10 are reserved.</w:t>
      </w:r>
    </w:p>
    <w:p w14:paraId="26A77EF9" w14:textId="77777777" w:rsidR="00E734D4" w:rsidRPr="00343CF8" w:rsidRDefault="00E734D4" w:rsidP="00E734D4">
      <w:pPr>
        <w:autoSpaceDE w:val="0"/>
        <w:autoSpaceDN w:val="0"/>
        <w:adjustRightInd w:val="0"/>
        <w:rPr>
          <w:rFonts w:eastAsia="TimesNewRomanPSMT"/>
          <w:szCs w:val="24"/>
        </w:rPr>
      </w:pPr>
    </w:p>
    <w:p w14:paraId="02BEEFC7" w14:textId="77777777" w:rsidR="00E734D4"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xml:space="preserve"> The address count field is an integer representing the number of addresses in the Relay Link Addresses field.</w:t>
      </w:r>
      <w:r>
        <w:rPr>
          <w:rFonts w:eastAsia="TimesNewRomanPSMT"/>
          <w:szCs w:val="24"/>
        </w:rPr>
        <w:t xml:space="preserve"> </w:t>
      </w:r>
    </w:p>
    <w:p w14:paraId="7201462F" w14:textId="77777777" w:rsidR="00E734D4" w:rsidRDefault="00E734D4" w:rsidP="00E734D4">
      <w:pPr>
        <w:autoSpaceDE w:val="0"/>
        <w:autoSpaceDN w:val="0"/>
        <w:adjustRightInd w:val="0"/>
        <w:rPr>
          <w:rFonts w:eastAsia="TimesNewRomanPSMT"/>
          <w:szCs w:val="24"/>
        </w:rPr>
      </w:pPr>
    </w:p>
    <w:p w14:paraId="35EE6F50" w14:textId="77777777" w:rsidR="00E734D4" w:rsidRPr="00343CF8" w:rsidRDefault="00E734D4" w:rsidP="00E734D4">
      <w:pPr>
        <w:autoSpaceDE w:val="0"/>
        <w:autoSpaceDN w:val="0"/>
        <w:adjustRightInd w:val="0"/>
        <w:rPr>
          <w:rFonts w:eastAsia="TimesNewRomanPSMT"/>
          <w:szCs w:val="24"/>
        </w:rPr>
      </w:pPr>
      <w:r>
        <w:rPr>
          <w:rFonts w:eastAsia="TimesNewRomanPSMT"/>
          <w:b/>
          <w:szCs w:val="24"/>
        </w:rPr>
        <w:t>Relay</w:t>
      </w:r>
      <w:r w:rsidRPr="00343CF8">
        <w:rPr>
          <w:rFonts w:eastAsia="TimesNewRomanPSMT"/>
          <w:b/>
          <w:szCs w:val="24"/>
        </w:rPr>
        <w:t xml:space="preserve"> Link Addresses:</w:t>
      </w:r>
      <w:r w:rsidRPr="00343CF8">
        <w:rPr>
          <w:rFonts w:eastAsia="TimesNewRomanPSMT"/>
          <w:szCs w:val="24"/>
        </w:rPr>
        <w:t xml:space="preserve"> The </w:t>
      </w:r>
      <w:r w:rsidRPr="00A41521">
        <w:rPr>
          <w:rFonts w:eastAsia="TimesNewRomanPSMT"/>
          <w:i/>
          <w:szCs w:val="24"/>
        </w:rPr>
        <w:t>Relay Link Addresses</w:t>
      </w:r>
      <w:r w:rsidRPr="00343CF8">
        <w:rPr>
          <w:rFonts w:eastAsia="TimesNewRomanPSMT"/>
          <w:szCs w:val="24"/>
        </w:rPr>
        <w:t xml:space="preserve"> field contains one or mor</w:t>
      </w:r>
      <w:r w:rsidRPr="00A41521">
        <w:rPr>
          <w:rFonts w:eastAsia="TimesNewRomanPSMT"/>
          <w:szCs w:val="24"/>
        </w:rPr>
        <w:t xml:space="preserve">e </w:t>
      </w:r>
      <w:r>
        <w:rPr>
          <w:rFonts w:eastAsia="TimesNewRomanPSMT"/>
          <w:szCs w:val="24"/>
        </w:rPr>
        <w:t xml:space="preserve">short </w:t>
      </w:r>
      <w:r w:rsidRPr="00A41521">
        <w:rPr>
          <w:rFonts w:eastAsia="TimesNewRomanPSMT"/>
          <w:szCs w:val="24"/>
        </w:rPr>
        <w:t>address</w:t>
      </w:r>
      <w:r w:rsidRPr="00343CF8">
        <w:rPr>
          <w:rFonts w:eastAsia="TimesNewRomanPSMT"/>
          <w:szCs w:val="24"/>
        </w:rPr>
        <w:t xml:space="preserve"> fields</w:t>
      </w:r>
      <w:r>
        <w:rPr>
          <w:rFonts w:eastAsia="TimesNewRomanPSMT"/>
          <w:szCs w:val="24"/>
        </w:rPr>
        <w:t xml:space="preserve"> depicted in Figure </w:t>
      </w:r>
      <w:r w:rsidRPr="008366E8">
        <w:rPr>
          <w:rFonts w:eastAsia="TimesNewRomanPSMT"/>
          <w:szCs w:val="24"/>
          <w:highlight w:val="yellow"/>
        </w:rPr>
        <w:t>X</w:t>
      </w:r>
      <w:r w:rsidRPr="00343CF8">
        <w:rPr>
          <w:rFonts w:eastAsia="TimesNewRomanPSMT"/>
          <w:szCs w:val="24"/>
        </w:rPr>
        <w:t>.</w:t>
      </w:r>
      <w:r>
        <w:rPr>
          <w:rFonts w:eastAsia="TimesNewRomanPSMT"/>
          <w:szCs w:val="24"/>
        </w:rPr>
        <w:t xml:space="preserve"> If the </w:t>
      </w:r>
      <w:r w:rsidRPr="00520DD9">
        <w:rPr>
          <w:rFonts w:eastAsia="TimesNewRomanPSMT"/>
          <w:i/>
          <w:szCs w:val="24"/>
        </w:rPr>
        <w:t>Relay Activation</w:t>
      </w:r>
      <w:r>
        <w:rPr>
          <w:rFonts w:eastAsia="TimesNewRomanPSMT"/>
          <w:szCs w:val="24"/>
        </w:rPr>
        <w:t xml:space="preserve"> element is exchanged between the Relay Device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Similarly,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 xml:space="preserve">are addresses of the Relay Device(s) that will serve that </w:t>
      </w:r>
      <w:proofErr w:type="gramStart"/>
      <w:r>
        <w:rPr>
          <w:rFonts w:eastAsia="TimesNewRomanPSMT"/>
          <w:szCs w:val="24"/>
        </w:rPr>
        <w:t>particular device</w:t>
      </w:r>
      <w:proofErr w:type="gramEnd"/>
      <w:r>
        <w:rPr>
          <w:rFonts w:eastAsia="TimesNewRomanPSMT"/>
          <w:szCs w:val="24"/>
        </w:rPr>
        <w:t>.</w:t>
      </w:r>
    </w:p>
    <w:p w14:paraId="173132BF" w14:textId="77777777" w:rsidR="00E734D4" w:rsidRPr="00343CF8" w:rsidRDefault="00E734D4" w:rsidP="00E734D4">
      <w:pPr>
        <w:autoSpaceDE w:val="0"/>
        <w:autoSpaceDN w:val="0"/>
        <w:adjustRightInd w:val="0"/>
        <w:rPr>
          <w:rFonts w:eastAsia="TimesNewRomanPSMT"/>
          <w:szCs w:val="24"/>
        </w:rPr>
      </w:pPr>
    </w:p>
    <w:p w14:paraId="55748554" w14:textId="77777777" w:rsidR="00E734D4" w:rsidRPr="00343CF8" w:rsidRDefault="00E734D4" w:rsidP="00E734D4">
      <w:pPr>
        <w:autoSpaceDE w:val="0"/>
        <w:autoSpaceDN w:val="0"/>
        <w:adjustRightInd w:val="0"/>
        <w:rPr>
          <w:rFonts w:eastAsia="TimesNewRomanPSMT"/>
          <w:szCs w:val="24"/>
        </w:rPr>
      </w:pPr>
    </w:p>
    <w:tbl>
      <w:tblPr>
        <w:tblStyle w:val="TabloKlavuzu"/>
        <w:tblW w:w="0" w:type="auto"/>
        <w:jc w:val="center"/>
        <w:tblLook w:val="04A0" w:firstRow="1" w:lastRow="0" w:firstColumn="1" w:lastColumn="0" w:noHBand="0" w:noVBand="1"/>
      </w:tblPr>
      <w:tblGrid>
        <w:gridCol w:w="1305"/>
        <w:gridCol w:w="1215"/>
        <w:gridCol w:w="540"/>
      </w:tblGrid>
      <w:tr w:rsidR="00E734D4" w:rsidRPr="00343CF8" w14:paraId="71CFFA8F" w14:textId="77777777" w:rsidTr="001F2FCE">
        <w:trPr>
          <w:trHeight w:val="476"/>
          <w:jc w:val="center"/>
        </w:trPr>
        <w:tc>
          <w:tcPr>
            <w:tcW w:w="1305" w:type="dxa"/>
          </w:tcPr>
          <w:p w14:paraId="722BCD57"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2 Octet</w:t>
            </w:r>
          </w:p>
        </w:tc>
        <w:tc>
          <w:tcPr>
            <w:tcW w:w="1215" w:type="dxa"/>
          </w:tcPr>
          <w:p w14:paraId="15717D0B"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2 Octet</w:t>
            </w:r>
          </w:p>
        </w:tc>
        <w:tc>
          <w:tcPr>
            <w:tcW w:w="540" w:type="dxa"/>
          </w:tcPr>
          <w:p w14:paraId="3DD6BAFB" w14:textId="77777777" w:rsidR="00E734D4" w:rsidRPr="00343CF8" w:rsidRDefault="00E734D4" w:rsidP="001F2FCE">
            <w:pPr>
              <w:autoSpaceDE w:val="0"/>
              <w:autoSpaceDN w:val="0"/>
              <w:adjustRightInd w:val="0"/>
              <w:jc w:val="center"/>
              <w:rPr>
                <w:rFonts w:eastAsia="TimesNewRomanPSMT"/>
                <w:b/>
                <w:szCs w:val="24"/>
              </w:rPr>
            </w:pPr>
            <w:r>
              <w:rPr>
                <w:rFonts w:eastAsia="TimesNewRomanPSMT"/>
                <w:b/>
                <w:szCs w:val="24"/>
              </w:rPr>
              <w:t>…</w:t>
            </w:r>
          </w:p>
        </w:tc>
      </w:tr>
      <w:tr w:rsidR="00E734D4" w:rsidRPr="00343CF8" w14:paraId="17DC96D2" w14:textId="77777777" w:rsidTr="001F2FCE">
        <w:trPr>
          <w:jc w:val="center"/>
        </w:trPr>
        <w:tc>
          <w:tcPr>
            <w:tcW w:w="1305" w:type="dxa"/>
          </w:tcPr>
          <w:p w14:paraId="52CC35D0" w14:textId="77777777" w:rsidR="00E734D4" w:rsidRDefault="00E734D4" w:rsidP="001F2FCE">
            <w:pPr>
              <w:autoSpaceDE w:val="0"/>
              <w:autoSpaceDN w:val="0"/>
              <w:adjustRightInd w:val="0"/>
              <w:jc w:val="center"/>
              <w:rPr>
                <w:rFonts w:eastAsia="TimesNewRomanPSMT"/>
                <w:szCs w:val="24"/>
              </w:rPr>
            </w:pPr>
            <w:r>
              <w:rPr>
                <w:rFonts w:eastAsia="TimesNewRomanPSMT"/>
                <w:szCs w:val="24"/>
              </w:rPr>
              <w:t>Address 1</w:t>
            </w:r>
          </w:p>
          <w:p w14:paraId="7F393BC2" w14:textId="77777777" w:rsidR="00E734D4" w:rsidRPr="00343CF8" w:rsidRDefault="00E734D4" w:rsidP="001F2FCE">
            <w:pPr>
              <w:autoSpaceDE w:val="0"/>
              <w:autoSpaceDN w:val="0"/>
              <w:adjustRightInd w:val="0"/>
              <w:jc w:val="center"/>
              <w:rPr>
                <w:rFonts w:eastAsia="TimesNewRomanPSMT"/>
                <w:szCs w:val="24"/>
              </w:rPr>
            </w:pPr>
          </w:p>
        </w:tc>
        <w:tc>
          <w:tcPr>
            <w:tcW w:w="1215" w:type="dxa"/>
          </w:tcPr>
          <w:p w14:paraId="51B68174" w14:textId="77777777" w:rsidR="00E734D4" w:rsidRPr="00343CF8" w:rsidRDefault="00E734D4" w:rsidP="001F2FCE">
            <w:pPr>
              <w:autoSpaceDE w:val="0"/>
              <w:autoSpaceDN w:val="0"/>
              <w:adjustRightInd w:val="0"/>
              <w:jc w:val="center"/>
              <w:rPr>
                <w:rFonts w:eastAsia="TimesNewRomanPSMT"/>
                <w:szCs w:val="24"/>
              </w:rPr>
            </w:pPr>
            <w:r>
              <w:rPr>
                <w:rFonts w:eastAsia="TimesNewRomanPSMT"/>
                <w:szCs w:val="24"/>
              </w:rPr>
              <w:t>Address 2</w:t>
            </w:r>
          </w:p>
        </w:tc>
        <w:tc>
          <w:tcPr>
            <w:tcW w:w="540" w:type="dxa"/>
          </w:tcPr>
          <w:p w14:paraId="61912245" w14:textId="77777777" w:rsidR="00E734D4" w:rsidRPr="00343CF8" w:rsidRDefault="00E734D4" w:rsidP="001F2FCE">
            <w:pPr>
              <w:autoSpaceDE w:val="0"/>
              <w:autoSpaceDN w:val="0"/>
              <w:adjustRightInd w:val="0"/>
              <w:jc w:val="center"/>
              <w:rPr>
                <w:rFonts w:eastAsia="TimesNewRomanPSMT"/>
                <w:szCs w:val="24"/>
              </w:rPr>
            </w:pPr>
            <w:r>
              <w:rPr>
                <w:rFonts w:eastAsia="TimesNewRomanPSMT"/>
                <w:szCs w:val="24"/>
              </w:rPr>
              <w:t>…</w:t>
            </w:r>
          </w:p>
        </w:tc>
      </w:tr>
    </w:tbl>
    <w:p w14:paraId="0492C365" w14:textId="77777777" w:rsidR="00E734D4" w:rsidRPr="00343CF8" w:rsidRDefault="00E734D4" w:rsidP="00E734D4">
      <w:pPr>
        <w:autoSpaceDE w:val="0"/>
        <w:autoSpaceDN w:val="0"/>
        <w:adjustRightInd w:val="0"/>
        <w:jc w:val="center"/>
        <w:rPr>
          <w:rFonts w:eastAsia="TimesNewRomanPSMT"/>
          <w:szCs w:val="24"/>
        </w:rPr>
      </w:pPr>
    </w:p>
    <w:p w14:paraId="0D5EA9A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w:t>
      </w:r>
      <w:r>
        <w:rPr>
          <w:rFonts w:eastAsia="TimesNewRomanPSMT"/>
          <w:szCs w:val="24"/>
        </w:rPr>
        <w:t>Relay</w:t>
      </w:r>
      <w:r w:rsidRPr="00343CF8">
        <w:rPr>
          <w:rFonts w:eastAsia="TimesNewRomanPSMT"/>
          <w:szCs w:val="24"/>
        </w:rPr>
        <w:t xml:space="preserve"> Link</w:t>
      </w:r>
      <w:r>
        <w:rPr>
          <w:rFonts w:eastAsia="TimesNewRomanPSMT"/>
          <w:szCs w:val="24"/>
        </w:rPr>
        <w:t xml:space="preserve"> Addresses field</w:t>
      </w:r>
    </w:p>
    <w:p w14:paraId="039F0260" w14:textId="77777777" w:rsidR="00E734D4" w:rsidRPr="00343CF8" w:rsidRDefault="00E734D4" w:rsidP="00E734D4">
      <w:pPr>
        <w:autoSpaceDE w:val="0"/>
        <w:autoSpaceDN w:val="0"/>
        <w:adjustRightInd w:val="0"/>
        <w:rPr>
          <w:rFonts w:eastAsia="TimesNewRomanPSMT"/>
          <w:szCs w:val="24"/>
        </w:rPr>
      </w:pPr>
    </w:p>
    <w:p w14:paraId="062AD1C7" w14:textId="77777777" w:rsidR="00E734D4" w:rsidRPr="00343CF8" w:rsidRDefault="00E734D4" w:rsidP="00E734D4">
      <w:pPr>
        <w:autoSpaceDE w:val="0"/>
        <w:autoSpaceDN w:val="0"/>
        <w:adjustRightInd w:val="0"/>
        <w:rPr>
          <w:rFonts w:eastAsia="TimesNewRomanPSMT"/>
          <w:b/>
          <w:szCs w:val="24"/>
        </w:rPr>
      </w:pPr>
    </w:p>
    <w:p w14:paraId="33BE7BE9" w14:textId="77777777" w:rsidR="00E734D4" w:rsidRDefault="00E734D4" w:rsidP="00E734D4">
      <w:pPr>
        <w:autoSpaceDE w:val="0"/>
        <w:autoSpaceDN w:val="0"/>
        <w:adjustRightInd w:val="0"/>
        <w:rPr>
          <w:rFonts w:eastAsia="TimesNewRomanPSMT"/>
          <w:szCs w:val="24"/>
        </w:rPr>
      </w:pPr>
      <w:r>
        <w:rPr>
          <w:rFonts w:eastAsia="TimesNewRomanPSMT"/>
          <w:szCs w:val="24"/>
        </w:rPr>
        <w:t xml:space="preserve">If the Relay Activation Mode is set to 0 (response), the </w:t>
      </w:r>
      <w:r w:rsidRPr="00C86956">
        <w:rPr>
          <w:rFonts w:eastAsia="TimesNewRomanPSMT"/>
          <w:i/>
          <w:szCs w:val="24"/>
        </w:rPr>
        <w:t>Address Count</w:t>
      </w:r>
      <w:r>
        <w:rPr>
          <w:rFonts w:eastAsia="TimesNewRomanPSMT"/>
          <w:szCs w:val="24"/>
        </w:rPr>
        <w:t xml:space="preserve"> and </w:t>
      </w:r>
      <w:r w:rsidRPr="00C86956">
        <w:rPr>
          <w:rFonts w:eastAsia="TimesNewRomanPSMT"/>
          <w:i/>
          <w:szCs w:val="24"/>
        </w:rPr>
        <w:t>Relay Link Addresses</w:t>
      </w:r>
      <w:r>
        <w:rPr>
          <w:rFonts w:eastAsia="TimesNewRomanPSMT"/>
          <w:szCs w:val="24"/>
        </w:rPr>
        <w:t xml:space="preserve"> fields shall be empty.</w:t>
      </w:r>
    </w:p>
    <w:p w14:paraId="2DA47176" w14:textId="77777777" w:rsidR="00E734D4" w:rsidRDefault="00E734D4" w:rsidP="00E734D4">
      <w:pPr>
        <w:autoSpaceDE w:val="0"/>
        <w:autoSpaceDN w:val="0"/>
        <w:adjustRightInd w:val="0"/>
        <w:rPr>
          <w:rFonts w:eastAsia="TimesNewRomanPSMT"/>
          <w:szCs w:val="24"/>
        </w:rPr>
      </w:pPr>
    </w:p>
    <w:p w14:paraId="18A19137" w14:textId="77777777" w:rsidR="00E734D4" w:rsidRDefault="00E734D4" w:rsidP="00E734D4">
      <w:pPr>
        <w:autoSpaceDE w:val="0"/>
        <w:autoSpaceDN w:val="0"/>
        <w:adjustRightInd w:val="0"/>
        <w:rPr>
          <w:rFonts w:eastAsia="TimesNewRomanPSMT"/>
          <w:szCs w:val="24"/>
        </w:rPr>
      </w:pPr>
    </w:p>
    <w:p w14:paraId="094C9A30" w14:textId="77777777" w:rsidR="00E734D4" w:rsidRDefault="00E734D4" w:rsidP="00E734D4">
      <w:pPr>
        <w:autoSpaceDE w:val="0"/>
        <w:autoSpaceDN w:val="0"/>
        <w:adjustRightInd w:val="0"/>
        <w:rPr>
          <w:rFonts w:eastAsia="TimesNewRomanPSMT"/>
          <w:szCs w:val="24"/>
        </w:rPr>
      </w:pPr>
    </w:p>
    <w:p w14:paraId="5AC3E78C" w14:textId="77777777" w:rsidR="00E734D4" w:rsidRDefault="00E734D4" w:rsidP="00E734D4">
      <w:pPr>
        <w:autoSpaceDE w:val="0"/>
        <w:autoSpaceDN w:val="0"/>
        <w:adjustRightInd w:val="0"/>
        <w:rPr>
          <w:rFonts w:eastAsia="TimesNewRomanPSMT"/>
          <w:szCs w:val="24"/>
        </w:rPr>
      </w:pPr>
    </w:p>
    <w:p w14:paraId="2896C3F9" w14:textId="77777777" w:rsidR="00E734D4" w:rsidRDefault="00E734D4" w:rsidP="00E734D4">
      <w:pPr>
        <w:autoSpaceDE w:val="0"/>
        <w:autoSpaceDN w:val="0"/>
        <w:adjustRightInd w:val="0"/>
        <w:rPr>
          <w:rFonts w:eastAsia="TimesNewRomanPSMT"/>
          <w:szCs w:val="24"/>
        </w:rPr>
      </w:pPr>
    </w:p>
    <w:p w14:paraId="3AE8E054" w14:textId="77777777" w:rsidR="00E734D4" w:rsidRDefault="00E734D4" w:rsidP="00E734D4">
      <w:pPr>
        <w:autoSpaceDE w:val="0"/>
        <w:autoSpaceDN w:val="0"/>
        <w:adjustRightInd w:val="0"/>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Default="00E734D4" w:rsidP="00E734D4">
      <w:pPr>
        <w:autoSpaceDE w:val="0"/>
        <w:autoSpaceDN w:val="0"/>
        <w:adjustRightInd w:val="0"/>
        <w:rPr>
          <w:rFonts w:ascii="Arial" w:hAnsi="Arial" w:cs="Arial"/>
          <w:b/>
          <w:bCs/>
          <w:color w:val="000000"/>
          <w:sz w:val="20"/>
        </w:rPr>
      </w:pPr>
      <w:r>
        <w:rPr>
          <w:rFonts w:ascii="Arial" w:hAnsi="Arial" w:cs="Arial"/>
          <w:b/>
          <w:bCs/>
          <w:color w:val="000000"/>
          <w:sz w:val="20"/>
        </w:rPr>
        <w:t xml:space="preserve">Append the following rows to Table </w:t>
      </w:r>
      <w:proofErr w:type="gramStart"/>
      <w:r>
        <w:rPr>
          <w:rFonts w:ascii="Arial" w:hAnsi="Arial" w:cs="Arial"/>
          <w:b/>
          <w:bCs/>
          <w:color w:val="000000"/>
          <w:sz w:val="20"/>
        </w:rPr>
        <w:t>12</w:t>
      </w:r>
      <w:proofErr w:type="gramEnd"/>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oKlavuzu"/>
        <w:tblW w:w="0" w:type="auto"/>
        <w:jc w:val="center"/>
        <w:tblLook w:val="04A0" w:firstRow="1" w:lastRow="0" w:firstColumn="1" w:lastColumn="0" w:noHBand="0" w:noVBand="1"/>
      </w:tblPr>
      <w:tblGrid>
        <w:gridCol w:w="1014"/>
        <w:gridCol w:w="3192"/>
        <w:gridCol w:w="2904"/>
      </w:tblGrid>
      <w:tr w:rsidR="00E734D4" w14:paraId="28396D77" w14:textId="77777777" w:rsidTr="001F2FCE">
        <w:trPr>
          <w:jc w:val="center"/>
        </w:trPr>
        <w:tc>
          <w:tcPr>
            <w:tcW w:w="1014" w:type="dxa"/>
          </w:tcPr>
          <w:p w14:paraId="53C9075E"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1F2FCE">
        <w:trPr>
          <w:jc w:val="center"/>
        </w:trPr>
        <w:tc>
          <w:tcPr>
            <w:tcW w:w="1014" w:type="dxa"/>
          </w:tcPr>
          <w:p w14:paraId="3E292A2C"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1F2FCE">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1F2FCE">
            <w:pPr>
              <w:autoSpaceDE w:val="0"/>
              <w:autoSpaceDN w:val="0"/>
              <w:adjustRightInd w:val="0"/>
              <w:rPr>
                <w:rFonts w:eastAsia="TimesNewRomanPSMT"/>
                <w:szCs w:val="24"/>
              </w:rPr>
            </w:pPr>
          </w:p>
        </w:tc>
        <w:tc>
          <w:tcPr>
            <w:tcW w:w="2904" w:type="dxa"/>
          </w:tcPr>
          <w:p w14:paraId="682EB30C"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1F2FCE">
        <w:trPr>
          <w:jc w:val="center"/>
        </w:trPr>
        <w:tc>
          <w:tcPr>
            <w:tcW w:w="1014" w:type="dxa"/>
          </w:tcPr>
          <w:p w14:paraId="715A9DFF"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Relay Activation Element</w:t>
            </w:r>
          </w:p>
        </w:tc>
        <w:tc>
          <w:tcPr>
            <w:tcW w:w="2904" w:type="dxa"/>
          </w:tcPr>
          <w:p w14:paraId="1E2220B7" w14:textId="77777777" w:rsidR="00E734D4" w:rsidRPr="006A6229" w:rsidRDefault="00E734D4" w:rsidP="001F2FCE">
            <w:pPr>
              <w:autoSpaceDE w:val="0"/>
              <w:autoSpaceDN w:val="0"/>
              <w:adjustRightInd w:val="0"/>
              <w:rPr>
                <w:rFonts w:eastAsia="TimesNewRomanPSMT"/>
                <w:szCs w:val="24"/>
              </w:rPr>
            </w:pPr>
            <w:r w:rsidRPr="006A6229">
              <w:rPr>
                <w:rFonts w:eastAsia="TimesNewRomanPSMT"/>
                <w:szCs w:val="24"/>
              </w:rPr>
              <w:t>6.6.29</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Pr="00343CF8" w:rsidRDefault="00E734D4" w:rsidP="00E734D4">
      <w:pPr>
        <w:autoSpaceDE w:val="0"/>
        <w:autoSpaceDN w:val="0"/>
        <w:adjustRightInd w:val="0"/>
        <w:rPr>
          <w:rFonts w:eastAsia="TimesNewRomanPSMT"/>
          <w:szCs w:val="24"/>
        </w:rPr>
      </w:pPr>
    </w:p>
    <w:p w14:paraId="07406775" w14:textId="77777777" w:rsidR="00564A0E" w:rsidRPr="00564A0E" w:rsidRDefault="00564A0E" w:rsidP="00E734D4">
      <w:pPr>
        <w:rPr>
          <w:szCs w:val="24"/>
        </w:rPr>
      </w:pPr>
    </w:p>
    <w:sectPr w:rsidR="00564A0E" w:rsidRPr="00564A0E">
      <w:headerReference w:type="default" r:id="rId10"/>
      <w:footerReference w:type="default" r:id="rId11"/>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BB4" w14:textId="77777777" w:rsidR="00303746" w:rsidRDefault="00303746">
      <w:r>
        <w:separator/>
      </w:r>
    </w:p>
  </w:endnote>
  <w:endnote w:type="continuationSeparator" w:id="0">
    <w:p w14:paraId="122ACBD4" w14:textId="77777777" w:rsidR="00303746" w:rsidRDefault="003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Unicode MS"/>
    <w:panose1 w:val="00000000000000000000"/>
    <w:charset w:val="81"/>
    <w:family w:val="auto"/>
    <w:notTrueType/>
    <w:pitch w:val="default"/>
    <w:sig w:usb0="00000001" w:usb1="09060000" w:usb2="00000010" w:usb3="00000000" w:csb0="00080001" w:csb1="00000000"/>
  </w:font>
  <w:font w:name="Arial-BoldMT">
    <w:altName w:val="MS Mincho"/>
    <w:panose1 w:val="00000000000000000000"/>
    <w:charset w:val="80"/>
    <w:family w:val="auto"/>
    <w:notTrueType/>
    <w:pitch w:val="default"/>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177367E3" w:rsidR="00BB5EA9" w:rsidRDefault="00BB5EA9">
    <w:pPr>
      <w:pStyle w:val="AltBilgi"/>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 xml:space="preserve">Tunçer </w:t>
    </w:r>
    <w:proofErr w:type="gramStart"/>
    <w:r w:rsidR="00573FE1">
      <w:t>Baykaş</w:t>
    </w:r>
    <w:r>
      <w:t xml:space="preserve">, </w:t>
    </w:r>
    <w:r w:rsidR="00564A0E">
      <w:t xml:space="preserve"> </w:t>
    </w:r>
    <w:r w:rsidR="00573FE1">
      <w:t>Kadir</w:t>
    </w:r>
    <w:proofErr w:type="gramEnd"/>
    <w:r w:rsidR="00573FE1">
      <w:t xml:space="preserve"> </w:t>
    </w:r>
    <w:r w:rsidR="00564A0E">
      <w:t xml:space="preserve">Has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A908" w14:textId="77777777" w:rsidR="00303746" w:rsidRDefault="00303746">
      <w:r>
        <w:separator/>
      </w:r>
    </w:p>
  </w:footnote>
  <w:footnote w:type="continuationSeparator" w:id="0">
    <w:p w14:paraId="7BFE7187" w14:textId="77777777" w:rsidR="00303746" w:rsidRDefault="003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3130A269" w:rsidR="00BB5EA9" w:rsidRDefault="00E734D4">
    <w:pPr>
      <w:pStyle w:val="stBilgi"/>
      <w:widowControl w:val="0"/>
      <w:pBdr>
        <w:bottom w:val="single" w:sz="6" w:space="0" w:color="00000A"/>
      </w:pBdr>
      <w:tabs>
        <w:tab w:val="right" w:pos="9270"/>
      </w:tabs>
      <w:spacing w:after="360"/>
      <w:jc w:val="both"/>
      <w:rPr>
        <w:b/>
        <w:sz w:val="28"/>
      </w:rPr>
    </w:pPr>
    <w:r>
      <w:rPr>
        <w:b/>
        <w:sz w:val="28"/>
      </w:rPr>
      <w:t>June</w:t>
    </w:r>
    <w:r w:rsidR="00BB5EA9">
      <w:rPr>
        <w:b/>
        <w:sz w:val="28"/>
      </w:rPr>
      <w:t xml:space="preserve"> 202</w:t>
    </w:r>
    <w:r w:rsidR="00573FE1">
      <w:rPr>
        <w:b/>
        <w:sz w:val="28"/>
      </w:rPr>
      <w:t>1</w:t>
    </w:r>
    <w:r w:rsidR="00BB5EA9">
      <w:rPr>
        <w:b/>
        <w:sz w:val="28"/>
      </w:rPr>
      <w:tab/>
      <w:t xml:space="preserve"> </w:t>
    </w:r>
    <w:r w:rsidR="00084DDF">
      <w:rPr>
        <w:b/>
        <w:sz w:val="28"/>
      </w:rPr>
      <w:tab/>
    </w:r>
    <w:r w:rsidR="00BB5EA9">
      <w:rPr>
        <w:b/>
        <w:sz w:val="28"/>
      </w:rPr>
      <w:t>IEEE P802.15-2</w:t>
    </w:r>
    <w:r w:rsidR="00490A45">
      <w:rPr>
        <w:b/>
        <w:sz w:val="28"/>
      </w:rPr>
      <w:t>1</w:t>
    </w:r>
    <w:r w:rsidR="00BB5EA9">
      <w:rPr>
        <w:b/>
        <w:sz w:val="28"/>
      </w:rPr>
      <w:t>-</w:t>
    </w:r>
    <w:r w:rsidR="00115114">
      <w:rPr>
        <w:b/>
        <w:sz w:val="28"/>
      </w:rPr>
      <w:t>0</w:t>
    </w:r>
    <w:r w:rsidR="000144D4">
      <w:rPr>
        <w:b/>
        <w:sz w:val="28"/>
      </w:rPr>
      <w:t>3</w:t>
    </w:r>
    <w:r>
      <w:rPr>
        <w:b/>
        <w:sz w:val="28"/>
      </w:rPr>
      <w:t>326</w:t>
    </w:r>
    <w:r w:rsidR="00BB5EA9">
      <w:rPr>
        <w:b/>
        <w:sz w:val="28"/>
      </w:rPr>
      <w:t>-0</w:t>
    </w:r>
    <w:r w:rsidR="00E247FB">
      <w:rPr>
        <w:b/>
        <w:sz w:val="28"/>
      </w:rPr>
      <w:t>0</w:t>
    </w:r>
    <w:r w:rsidR="00BB5EA9">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2"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144D4"/>
    <w:rsid w:val="00084DDF"/>
    <w:rsid w:val="000F167B"/>
    <w:rsid w:val="00115114"/>
    <w:rsid w:val="00242D90"/>
    <w:rsid w:val="002A01E9"/>
    <w:rsid w:val="00303746"/>
    <w:rsid w:val="00351E3B"/>
    <w:rsid w:val="00387335"/>
    <w:rsid w:val="003B5A94"/>
    <w:rsid w:val="00490A45"/>
    <w:rsid w:val="004B75CC"/>
    <w:rsid w:val="00554A73"/>
    <w:rsid w:val="00564A0E"/>
    <w:rsid w:val="00573FE1"/>
    <w:rsid w:val="00670102"/>
    <w:rsid w:val="006A0605"/>
    <w:rsid w:val="006C0235"/>
    <w:rsid w:val="007C3D89"/>
    <w:rsid w:val="008300FE"/>
    <w:rsid w:val="00844471"/>
    <w:rsid w:val="00864207"/>
    <w:rsid w:val="00944B57"/>
    <w:rsid w:val="00B94D6D"/>
    <w:rsid w:val="00BB5EA9"/>
    <w:rsid w:val="00C307F8"/>
    <w:rsid w:val="00C90B56"/>
    <w:rsid w:val="00CB5A63"/>
    <w:rsid w:val="00D06ECD"/>
    <w:rsid w:val="00D21350"/>
    <w:rsid w:val="00D6081B"/>
    <w:rsid w:val="00E247FB"/>
    <w:rsid w:val="00E734D4"/>
    <w:rsid w:val="00EA03F2"/>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BBC827F0-A564-4996-AC5E-368C35A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eParagraf">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1181</Words>
  <Characters>6736</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subject/>
  <dc:creator>Stephan Berner</dc:creator>
  <cp:keywords/>
  <dc:description/>
  <cp:lastModifiedBy>Tunçer Baykaş</cp:lastModifiedBy>
  <cp:revision>3</cp:revision>
  <cp:lastPrinted>1900-01-01T00:00:00Z</cp:lastPrinted>
  <dcterms:created xsi:type="dcterms:W3CDTF">2021-06-07T08:35:00Z</dcterms:created>
  <dcterms:modified xsi:type="dcterms:W3CDTF">2021-06-07T08:39:00Z</dcterms:modified>
  <dc:language>en-US</dc:language>
</cp:coreProperties>
</file>