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Wireless Personal Area Networks</w:t>
      </w:r>
    </w:p>
    <w:p w14:paraId="45220207" w14:textId="2A6F1DE8" w:rsidR="00FB0AC0" w:rsidRDefault="00FB0AC0" w:rsidP="00FB0AC0">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3A38E9">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gridSpan w:val="2"/>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3A38E9">
        <w:tc>
          <w:tcPr>
            <w:tcW w:w="1260" w:type="dxa"/>
            <w:tcBorders>
              <w:top w:val="single" w:sz="6" w:space="0" w:color="auto"/>
            </w:tcBorders>
          </w:tcPr>
          <w:p w14:paraId="4680105F" w14:textId="77777777" w:rsidR="00FB0AC0" w:rsidRDefault="00FB0AC0" w:rsidP="003A38E9">
            <w:pPr>
              <w:pStyle w:val="covertext"/>
            </w:pPr>
            <w:r>
              <w:t>Title</w:t>
            </w:r>
          </w:p>
        </w:tc>
        <w:tc>
          <w:tcPr>
            <w:tcW w:w="8190" w:type="dxa"/>
            <w:gridSpan w:val="2"/>
            <w:tcBorders>
              <w:top w:val="single" w:sz="6" w:space="0" w:color="auto"/>
            </w:tcBorders>
          </w:tcPr>
          <w:p w14:paraId="3A00EA06" w14:textId="625F8581" w:rsidR="00FB0AC0" w:rsidRDefault="001851C0" w:rsidP="003A38E9">
            <w:pPr>
              <w:pStyle w:val="covertext"/>
            </w:pPr>
            <w:r>
              <w:t>Objectives Checklist Table</w:t>
            </w:r>
          </w:p>
        </w:tc>
      </w:tr>
      <w:tr w:rsidR="00FB0AC0" w14:paraId="04C7CD42" w14:textId="77777777" w:rsidTr="003A38E9">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gridSpan w:val="2"/>
            <w:tcBorders>
              <w:top w:val="single" w:sz="6" w:space="0" w:color="auto"/>
            </w:tcBorders>
          </w:tcPr>
          <w:p w14:paraId="61F1654B" w14:textId="0AEDFE47" w:rsidR="00FB0AC0" w:rsidRDefault="001851C0" w:rsidP="003A38E9">
            <w:pPr>
              <w:pStyle w:val="covertext"/>
            </w:pPr>
            <w:r>
              <w:t>13</w:t>
            </w:r>
            <w:r w:rsidR="00FB0AC0">
              <w:t>-Ma</w:t>
            </w:r>
            <w:r>
              <w:t>y</w:t>
            </w:r>
            <w:r w:rsidR="00FB0AC0">
              <w:t>-2021</w:t>
            </w:r>
          </w:p>
        </w:tc>
      </w:tr>
      <w:tr w:rsidR="00FB0AC0" w14:paraId="2228A321" w14:textId="77777777" w:rsidTr="003A38E9">
        <w:tc>
          <w:tcPr>
            <w:tcW w:w="1260" w:type="dxa"/>
            <w:tcBorders>
              <w:top w:val="single" w:sz="4" w:space="0" w:color="auto"/>
              <w:bottom w:val="single" w:sz="4" w:space="0" w:color="auto"/>
            </w:tcBorders>
          </w:tcPr>
          <w:p w14:paraId="001A1CBF" w14:textId="77777777" w:rsidR="00FB0AC0" w:rsidRDefault="00FB0AC0" w:rsidP="003A38E9">
            <w:pPr>
              <w:pStyle w:val="covertext"/>
            </w:pPr>
            <w:r>
              <w:t>Source</w:t>
            </w:r>
          </w:p>
        </w:tc>
        <w:tc>
          <w:tcPr>
            <w:tcW w:w="4050" w:type="dxa"/>
            <w:tcBorders>
              <w:top w:val="single" w:sz="4" w:space="0" w:color="auto"/>
              <w:bottom w:val="single" w:sz="4" w:space="0" w:color="auto"/>
            </w:tcBorders>
          </w:tcPr>
          <w:p w14:paraId="04CD6E9B" w14:textId="77777777" w:rsidR="00FB0AC0" w:rsidRDefault="00FB0AC0" w:rsidP="003A38E9">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5818F205" w14:textId="77777777" w:rsidR="00FB0AC0" w:rsidRDefault="00FB0AC0" w:rsidP="003A38E9">
            <w:pPr>
              <w:pStyle w:val="covertext"/>
              <w:spacing w:before="0" w:after="0"/>
            </w:pPr>
            <w:r>
              <w:t>[Benjamin A. Rolfe]</w:t>
            </w:r>
          </w:p>
          <w:p w14:paraId="50099D7E" w14:textId="77777777" w:rsidR="00FB0AC0" w:rsidRDefault="00FB0AC0" w:rsidP="003A38E9">
            <w:pPr>
              <w:pStyle w:val="covertext"/>
              <w:spacing w:before="0" w:after="0"/>
            </w:pPr>
            <w:r>
              <w:t>[BCA]</w:t>
            </w:r>
          </w:p>
        </w:tc>
        <w:tc>
          <w:tcPr>
            <w:tcW w:w="4140" w:type="dxa"/>
            <w:tcBorders>
              <w:top w:val="single" w:sz="4" w:space="0" w:color="auto"/>
              <w:bottom w:val="single" w:sz="4" w:space="0" w:color="auto"/>
            </w:tcBorders>
          </w:tcPr>
          <w:p w14:paraId="1BEBBF25" w14:textId="77777777" w:rsidR="00FB0AC0" w:rsidRDefault="00FB0AC0" w:rsidP="003A38E9">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3E10B626" w14:textId="77777777" w:rsidR="00FB0AC0" w:rsidRPr="0061562F" w:rsidRDefault="00FB0AC0" w:rsidP="003A38E9">
            <w:pPr>
              <w:pStyle w:val="covertext"/>
              <w:tabs>
                <w:tab w:val="left" w:pos="1152"/>
              </w:tabs>
              <w:spacing w:before="0" w:after="0"/>
            </w:pPr>
            <w:r>
              <w:t xml:space="preserve">             </w:t>
            </w:r>
          </w:p>
        </w:tc>
      </w:tr>
      <w:tr w:rsidR="00FB0AC0" w14:paraId="3591322F" w14:textId="77777777" w:rsidTr="003A38E9">
        <w:tc>
          <w:tcPr>
            <w:tcW w:w="1260" w:type="dxa"/>
            <w:tcBorders>
              <w:top w:val="single" w:sz="6" w:space="0" w:color="auto"/>
            </w:tcBorders>
          </w:tcPr>
          <w:p w14:paraId="0C06DBDE" w14:textId="77777777" w:rsidR="00FB0AC0" w:rsidRDefault="00FB0AC0" w:rsidP="003A38E9">
            <w:pPr>
              <w:pStyle w:val="covertext"/>
            </w:pPr>
            <w:r>
              <w:t>Re:</w:t>
            </w:r>
          </w:p>
        </w:tc>
        <w:tc>
          <w:tcPr>
            <w:tcW w:w="8190" w:type="dxa"/>
            <w:gridSpan w:val="2"/>
            <w:tcBorders>
              <w:top w:val="single" w:sz="6" w:space="0" w:color="auto"/>
            </w:tcBorders>
          </w:tcPr>
          <w:p w14:paraId="7E2D93EF" w14:textId="77777777" w:rsidR="00FB0AC0" w:rsidRDefault="00FB0AC0" w:rsidP="003A38E9">
            <w:pPr>
              <w:pStyle w:val="covertext"/>
            </w:pPr>
            <w:r>
              <w:t>Meeting minutes</w:t>
            </w:r>
          </w:p>
        </w:tc>
      </w:tr>
      <w:tr w:rsidR="00FB0AC0" w14:paraId="4493C5D0" w14:textId="77777777" w:rsidTr="003A38E9">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gridSpan w:val="2"/>
            <w:tcBorders>
              <w:top w:val="single" w:sz="6" w:space="0" w:color="auto"/>
            </w:tcBorders>
          </w:tcPr>
          <w:p w14:paraId="71FE51C4" w14:textId="29575641" w:rsidR="00FB0AC0" w:rsidRDefault="001851C0" w:rsidP="003A38E9">
            <w:pPr>
              <w:pStyle w:val="covertext"/>
            </w:pPr>
            <w:r>
              <w:t>Rough cut a table to provide a means to map project objectives to technical contributions</w:t>
            </w:r>
            <w:r w:rsidR="00FB0AC0">
              <w:t xml:space="preserve"> </w:t>
            </w:r>
          </w:p>
        </w:tc>
      </w:tr>
      <w:tr w:rsidR="00FB0AC0" w14:paraId="4A8451D4" w14:textId="77777777" w:rsidTr="003A38E9">
        <w:tc>
          <w:tcPr>
            <w:tcW w:w="1260" w:type="dxa"/>
            <w:tcBorders>
              <w:top w:val="single" w:sz="6" w:space="0" w:color="auto"/>
            </w:tcBorders>
          </w:tcPr>
          <w:p w14:paraId="74188EE8" w14:textId="77777777" w:rsidR="00FB0AC0" w:rsidRDefault="00FB0AC0" w:rsidP="003A38E9">
            <w:pPr>
              <w:pStyle w:val="covertext"/>
            </w:pPr>
            <w:r>
              <w:t>Purpose</w:t>
            </w:r>
          </w:p>
        </w:tc>
        <w:tc>
          <w:tcPr>
            <w:tcW w:w="8190" w:type="dxa"/>
            <w:gridSpan w:val="2"/>
            <w:tcBorders>
              <w:top w:val="single" w:sz="6" w:space="0" w:color="auto"/>
            </w:tcBorders>
          </w:tcPr>
          <w:p w14:paraId="6D2F4C05" w14:textId="20F3B06F" w:rsidR="00FB0AC0" w:rsidRDefault="001851C0" w:rsidP="003A38E9">
            <w:pPr>
              <w:pStyle w:val="covertext"/>
            </w:pPr>
            <w:r>
              <w:t>Support call for contributions and content development</w:t>
            </w:r>
          </w:p>
        </w:tc>
      </w:tr>
      <w:tr w:rsidR="00FB0AC0" w14:paraId="7481BE02" w14:textId="77777777" w:rsidTr="003A38E9">
        <w:tc>
          <w:tcPr>
            <w:tcW w:w="1260" w:type="dxa"/>
            <w:tcBorders>
              <w:top w:val="single" w:sz="6" w:space="0" w:color="auto"/>
              <w:bottom w:val="single" w:sz="6" w:space="0" w:color="auto"/>
            </w:tcBorders>
          </w:tcPr>
          <w:p w14:paraId="51440F27" w14:textId="77777777" w:rsidR="00FB0AC0" w:rsidRDefault="00FB0AC0" w:rsidP="003A38E9">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3A38E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3A38E9">
        <w:tc>
          <w:tcPr>
            <w:tcW w:w="1260" w:type="dxa"/>
            <w:tcBorders>
              <w:top w:val="single" w:sz="6" w:space="0" w:color="auto"/>
              <w:bottom w:val="single" w:sz="6" w:space="0" w:color="auto"/>
            </w:tcBorders>
          </w:tcPr>
          <w:p w14:paraId="306357CD" w14:textId="77777777" w:rsidR="00FB0AC0" w:rsidRDefault="00FB0AC0" w:rsidP="003A38E9">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3A38E9">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A98789D" w14:textId="6C164302" w:rsidR="00F23E37" w:rsidRDefault="00F23E37" w:rsidP="00F23E37">
      <w:r>
        <w:lastRenderedPageBreak/>
        <w:t>Objectives Checklist:</w:t>
      </w:r>
    </w:p>
    <w:p w14:paraId="1657D849" w14:textId="61A75935" w:rsidR="00F23E37" w:rsidRDefault="00F23E37" w:rsidP="00F23E37">
      <w:r>
        <w:t xml:space="preserve">Each proposal should identify which of the project objectives stated in the PAR are addressed by the proposal.  The left column summarizes the objectives.  For each objective which is addressed by the proposal, indicate in the right column how it is addressed in the proposal.  </w:t>
      </w:r>
    </w:p>
    <w:p w14:paraId="4311134E" w14:textId="77777777" w:rsidR="00F23E37" w:rsidRDefault="00F23E37" w:rsidP="00F23E37">
      <w:r>
        <w:t xml:space="preserve">It is not expected that all proposals will address all objectives.  </w:t>
      </w:r>
    </w:p>
    <w:tbl>
      <w:tblPr>
        <w:tblStyle w:val="TableGrid"/>
        <w:tblW w:w="0" w:type="auto"/>
        <w:tblLook w:val="04A0" w:firstRow="1" w:lastRow="0" w:firstColumn="1" w:lastColumn="0" w:noHBand="0" w:noVBand="1"/>
      </w:tblPr>
      <w:tblGrid>
        <w:gridCol w:w="4675"/>
        <w:gridCol w:w="4675"/>
      </w:tblGrid>
      <w:tr w:rsidR="00F23E37" w14:paraId="0BFAA810" w14:textId="77777777" w:rsidTr="00B67261">
        <w:tc>
          <w:tcPr>
            <w:tcW w:w="4675" w:type="dxa"/>
          </w:tcPr>
          <w:p w14:paraId="011E6651" w14:textId="77777777" w:rsidR="00F23E37" w:rsidRDefault="00F23E37" w:rsidP="00B67261">
            <w:r>
              <w:t>PAR Objective</w:t>
            </w:r>
          </w:p>
        </w:tc>
        <w:tc>
          <w:tcPr>
            <w:tcW w:w="4675" w:type="dxa"/>
          </w:tcPr>
          <w:p w14:paraId="0647CFC7" w14:textId="77777777" w:rsidR="00F23E37" w:rsidRDefault="00F23E37" w:rsidP="00B67261">
            <w:r>
              <w:t>Proposed Solution (how addressed)</w:t>
            </w:r>
          </w:p>
        </w:tc>
      </w:tr>
      <w:tr w:rsidR="00F23E37" w14:paraId="31A627D7" w14:textId="77777777" w:rsidTr="00B67261">
        <w:tc>
          <w:tcPr>
            <w:tcW w:w="4675" w:type="dxa"/>
          </w:tcPr>
          <w:p w14:paraId="2A0E3794" w14:textId="77777777" w:rsidR="00F23E37" w:rsidRDefault="00F23E37" w:rsidP="00B67261">
            <w:r>
              <w:t>S</w:t>
            </w:r>
            <w:r w:rsidRPr="006A0E25">
              <w:t>afeguards so that the high throughput data use cases will not cause significant disruption to low duty-cycle ranging use cases.</w:t>
            </w:r>
          </w:p>
        </w:tc>
        <w:tc>
          <w:tcPr>
            <w:tcW w:w="4675" w:type="dxa"/>
          </w:tcPr>
          <w:p w14:paraId="7E76E117" w14:textId="77777777" w:rsidR="00F23E37" w:rsidRDefault="00F23E37" w:rsidP="00B67261"/>
        </w:tc>
      </w:tr>
      <w:tr w:rsidR="00F23E37" w14:paraId="36BC9C82" w14:textId="77777777" w:rsidTr="00B67261">
        <w:tc>
          <w:tcPr>
            <w:tcW w:w="4675" w:type="dxa"/>
          </w:tcPr>
          <w:p w14:paraId="4E533FF1" w14:textId="77777777" w:rsidR="00F23E37" w:rsidRDefault="00F23E37" w:rsidP="00B67261">
            <w:r w:rsidRPr="006A0E25">
              <w:t>Interference mitigation techniques to support higher density and higher traffic use cases</w:t>
            </w:r>
          </w:p>
        </w:tc>
        <w:tc>
          <w:tcPr>
            <w:tcW w:w="4675" w:type="dxa"/>
          </w:tcPr>
          <w:p w14:paraId="6AC8DC69" w14:textId="77777777" w:rsidR="00F23E37" w:rsidRDefault="00F23E37" w:rsidP="00B67261"/>
        </w:tc>
      </w:tr>
      <w:tr w:rsidR="00F23E37" w14:paraId="1DE9F732" w14:textId="77777777" w:rsidTr="00B67261">
        <w:tc>
          <w:tcPr>
            <w:tcW w:w="4675" w:type="dxa"/>
          </w:tcPr>
          <w:p w14:paraId="7CCD0482" w14:textId="77777777" w:rsidR="00F23E37" w:rsidRPr="006A0E25" w:rsidRDefault="00F23E37" w:rsidP="00B67261">
            <w:r>
              <w:t>Other coexistence improvement</w:t>
            </w:r>
          </w:p>
        </w:tc>
        <w:tc>
          <w:tcPr>
            <w:tcW w:w="4675" w:type="dxa"/>
          </w:tcPr>
          <w:p w14:paraId="6032F4E6" w14:textId="77777777" w:rsidR="00F23E37" w:rsidRDefault="00F23E37" w:rsidP="00B67261"/>
        </w:tc>
      </w:tr>
      <w:tr w:rsidR="00F23E37" w14:paraId="00DC7372" w14:textId="77777777" w:rsidTr="00B67261">
        <w:tc>
          <w:tcPr>
            <w:tcW w:w="4675" w:type="dxa"/>
          </w:tcPr>
          <w:p w14:paraId="33BCF243" w14:textId="77777777" w:rsidR="00F23E37" w:rsidRDefault="00F23E37" w:rsidP="00B67261">
            <w:r>
              <w:t>B</w:t>
            </w:r>
            <w:r w:rsidRPr="006A0E25">
              <w:t>ackward compatibility with enhanced ranging capable devices (ERDEVs).</w:t>
            </w:r>
          </w:p>
        </w:tc>
        <w:tc>
          <w:tcPr>
            <w:tcW w:w="4675" w:type="dxa"/>
          </w:tcPr>
          <w:p w14:paraId="72A6B78C" w14:textId="77777777" w:rsidR="00F23E37" w:rsidRDefault="00F23E37" w:rsidP="00B67261"/>
        </w:tc>
      </w:tr>
      <w:tr w:rsidR="00F23E37" w14:paraId="32791E52" w14:textId="77777777" w:rsidTr="00B67261">
        <w:tc>
          <w:tcPr>
            <w:tcW w:w="4675" w:type="dxa"/>
          </w:tcPr>
          <w:p w14:paraId="24457A03" w14:textId="77777777" w:rsidR="00F23E37" w:rsidRDefault="00F23E37" w:rsidP="00B67261">
            <w:r w:rsidRPr="006A0E25">
              <w:t xml:space="preserve">Improved link budget and/or reduced </w:t>
            </w:r>
            <w:proofErr w:type="gramStart"/>
            <w:r w:rsidRPr="006A0E25">
              <w:t>air-time</w:t>
            </w:r>
            <w:proofErr w:type="gramEnd"/>
          </w:p>
        </w:tc>
        <w:tc>
          <w:tcPr>
            <w:tcW w:w="4675" w:type="dxa"/>
          </w:tcPr>
          <w:p w14:paraId="18669544" w14:textId="77777777" w:rsidR="00F23E37" w:rsidRDefault="00F23E37" w:rsidP="00B67261"/>
        </w:tc>
      </w:tr>
      <w:tr w:rsidR="00F23E37" w14:paraId="5E0361A3" w14:textId="77777777" w:rsidTr="00B67261">
        <w:tc>
          <w:tcPr>
            <w:tcW w:w="4675" w:type="dxa"/>
          </w:tcPr>
          <w:p w14:paraId="6B8CEBFE" w14:textId="77777777" w:rsidR="00F23E37" w:rsidRDefault="00F23E37" w:rsidP="00B67261">
            <w:r w:rsidRPr="006A0E25">
              <w:t>Additional channels and operating frequencies</w:t>
            </w:r>
          </w:p>
        </w:tc>
        <w:tc>
          <w:tcPr>
            <w:tcW w:w="4675" w:type="dxa"/>
          </w:tcPr>
          <w:p w14:paraId="18465A50" w14:textId="77777777" w:rsidR="00F23E37" w:rsidRDefault="00F23E37" w:rsidP="00B67261"/>
        </w:tc>
      </w:tr>
      <w:tr w:rsidR="00F23E37" w14:paraId="596435DC" w14:textId="77777777" w:rsidTr="00B67261">
        <w:tc>
          <w:tcPr>
            <w:tcW w:w="4675" w:type="dxa"/>
          </w:tcPr>
          <w:p w14:paraId="42C59B5B" w14:textId="77777777" w:rsidR="00F23E37" w:rsidRDefault="00F23E37" w:rsidP="00B67261">
            <w:r w:rsidRPr="006A0E25">
              <w:t xml:space="preserve">Improvements to accuracy / precision / reliability and interoperability for </w:t>
            </w:r>
            <w:proofErr w:type="gramStart"/>
            <w:r w:rsidRPr="006A0E25">
              <w:t>high-integrity</w:t>
            </w:r>
            <w:proofErr w:type="gramEnd"/>
            <w:r w:rsidRPr="006A0E25">
              <w:t xml:space="preserve"> ranging; s</w:t>
            </w:r>
          </w:p>
        </w:tc>
        <w:tc>
          <w:tcPr>
            <w:tcW w:w="4675" w:type="dxa"/>
          </w:tcPr>
          <w:p w14:paraId="31E5D68A" w14:textId="77777777" w:rsidR="00F23E37" w:rsidRDefault="00F23E37" w:rsidP="00B67261"/>
        </w:tc>
      </w:tr>
      <w:tr w:rsidR="00F23E37" w14:paraId="7EF0C604" w14:textId="77777777" w:rsidTr="00B67261">
        <w:tc>
          <w:tcPr>
            <w:tcW w:w="4675" w:type="dxa"/>
          </w:tcPr>
          <w:p w14:paraId="74732EEE" w14:textId="77777777" w:rsidR="00F23E37" w:rsidRDefault="00F23E37" w:rsidP="00B67261">
            <w:r w:rsidRPr="006A0E25">
              <w:t xml:space="preserve">Reduce complexity and power consumption; </w:t>
            </w:r>
          </w:p>
        </w:tc>
        <w:tc>
          <w:tcPr>
            <w:tcW w:w="4675" w:type="dxa"/>
          </w:tcPr>
          <w:p w14:paraId="01DC63E4" w14:textId="77777777" w:rsidR="00F23E37" w:rsidRDefault="00F23E37" w:rsidP="00B67261"/>
        </w:tc>
      </w:tr>
      <w:tr w:rsidR="00F23E37" w14:paraId="5175C500" w14:textId="77777777" w:rsidTr="00B67261">
        <w:tc>
          <w:tcPr>
            <w:tcW w:w="4675" w:type="dxa"/>
          </w:tcPr>
          <w:p w14:paraId="75E97D64" w14:textId="77777777" w:rsidR="00F23E37" w:rsidRDefault="00F23E37" w:rsidP="00B67261">
            <w:r w:rsidRPr="006A0E25">
              <w:t xml:space="preserve">Hybrid operation with narrowband signaling to assist UWB; </w:t>
            </w:r>
          </w:p>
        </w:tc>
        <w:tc>
          <w:tcPr>
            <w:tcW w:w="4675" w:type="dxa"/>
          </w:tcPr>
          <w:p w14:paraId="197C5280" w14:textId="77777777" w:rsidR="00F23E37" w:rsidRDefault="00F23E37" w:rsidP="00B67261"/>
        </w:tc>
      </w:tr>
      <w:tr w:rsidR="00F23E37" w14:paraId="20738B36" w14:textId="77777777" w:rsidTr="00B67261">
        <w:tc>
          <w:tcPr>
            <w:tcW w:w="4675" w:type="dxa"/>
          </w:tcPr>
          <w:p w14:paraId="2E137C4C" w14:textId="77777777" w:rsidR="00F23E37" w:rsidRDefault="00F23E37" w:rsidP="00B67261">
            <w:r w:rsidRPr="006A0E25">
              <w:t>Enhanced native discovery and connection setup mechanisms;</w:t>
            </w:r>
          </w:p>
        </w:tc>
        <w:tc>
          <w:tcPr>
            <w:tcW w:w="4675" w:type="dxa"/>
          </w:tcPr>
          <w:p w14:paraId="3C944DA5" w14:textId="77777777" w:rsidR="00F23E37" w:rsidRDefault="00F23E37" w:rsidP="00B67261"/>
        </w:tc>
      </w:tr>
      <w:tr w:rsidR="00F23E37" w14:paraId="6200A73F" w14:textId="77777777" w:rsidTr="00B67261">
        <w:tc>
          <w:tcPr>
            <w:tcW w:w="4675" w:type="dxa"/>
          </w:tcPr>
          <w:p w14:paraId="0BB0490C" w14:textId="77777777" w:rsidR="00F23E37" w:rsidRDefault="00F23E37" w:rsidP="00B67261">
            <w:r w:rsidRPr="006A0E25">
              <w:t>Sensing capabilities to support presence detection and environment mapping;</w:t>
            </w:r>
          </w:p>
        </w:tc>
        <w:tc>
          <w:tcPr>
            <w:tcW w:w="4675" w:type="dxa"/>
          </w:tcPr>
          <w:p w14:paraId="04EF0E35" w14:textId="77777777" w:rsidR="00F23E37" w:rsidRDefault="00F23E37" w:rsidP="00B67261"/>
        </w:tc>
      </w:tr>
      <w:tr w:rsidR="00F23E37" w14:paraId="24B28489" w14:textId="77777777" w:rsidTr="00B67261">
        <w:tc>
          <w:tcPr>
            <w:tcW w:w="4675" w:type="dxa"/>
          </w:tcPr>
          <w:p w14:paraId="4E1D0B3B" w14:textId="77777777" w:rsidR="00F23E37" w:rsidRDefault="00F23E37" w:rsidP="00B67261">
            <w:r w:rsidRPr="006A0E25">
              <w:t xml:space="preserve">Low-power low-latency streaming </w:t>
            </w:r>
          </w:p>
        </w:tc>
        <w:tc>
          <w:tcPr>
            <w:tcW w:w="4675" w:type="dxa"/>
          </w:tcPr>
          <w:p w14:paraId="4B44AD20" w14:textId="77777777" w:rsidR="00F23E37" w:rsidRDefault="00F23E37" w:rsidP="00B67261"/>
        </w:tc>
      </w:tr>
      <w:tr w:rsidR="00F23E37" w14:paraId="5BB10C7F" w14:textId="77777777" w:rsidTr="00B67261">
        <w:tc>
          <w:tcPr>
            <w:tcW w:w="4675" w:type="dxa"/>
          </w:tcPr>
          <w:p w14:paraId="6F93426D" w14:textId="77777777" w:rsidR="00F23E37" w:rsidRDefault="00F23E37" w:rsidP="00B67261">
            <w:r w:rsidRPr="006A0E25">
              <w:t xml:space="preserve">higher data-rate streaming allowing at least 50 Mbit/s of throughput. </w:t>
            </w:r>
          </w:p>
        </w:tc>
        <w:tc>
          <w:tcPr>
            <w:tcW w:w="4675" w:type="dxa"/>
          </w:tcPr>
          <w:p w14:paraId="7F683473" w14:textId="77777777" w:rsidR="00F23E37" w:rsidRDefault="00F23E37" w:rsidP="00B67261"/>
        </w:tc>
      </w:tr>
      <w:tr w:rsidR="00F23E37" w14:paraId="3644E8AD" w14:textId="77777777" w:rsidTr="00B67261">
        <w:tc>
          <w:tcPr>
            <w:tcW w:w="4675" w:type="dxa"/>
          </w:tcPr>
          <w:p w14:paraId="3239538E" w14:textId="77777777" w:rsidR="00F23E37" w:rsidRDefault="00F23E37" w:rsidP="00B67261">
            <w:r w:rsidRPr="006A0E25">
              <w:t>Support for peer-to-peer, peer-to-multi-peer, and station-to-infrastructure protocols;</w:t>
            </w:r>
          </w:p>
        </w:tc>
        <w:tc>
          <w:tcPr>
            <w:tcW w:w="4675" w:type="dxa"/>
          </w:tcPr>
          <w:p w14:paraId="5C474C3F" w14:textId="77777777" w:rsidR="00F23E37" w:rsidRDefault="00F23E37" w:rsidP="00B67261"/>
        </w:tc>
      </w:tr>
      <w:tr w:rsidR="00F23E37" w14:paraId="72D53281" w14:textId="77777777" w:rsidTr="00B67261">
        <w:tc>
          <w:tcPr>
            <w:tcW w:w="4675" w:type="dxa"/>
          </w:tcPr>
          <w:p w14:paraId="0C9EFBE2" w14:textId="77777777" w:rsidR="00F23E37" w:rsidRDefault="00F23E37" w:rsidP="00B67261">
            <w:r w:rsidRPr="006A0E25">
              <w:t xml:space="preserve">Infrastructure synchronization mechanisms. </w:t>
            </w:r>
          </w:p>
        </w:tc>
        <w:tc>
          <w:tcPr>
            <w:tcW w:w="4675" w:type="dxa"/>
          </w:tcPr>
          <w:p w14:paraId="4A31C812" w14:textId="77777777" w:rsidR="00F23E37" w:rsidRDefault="00F23E37" w:rsidP="00B67261"/>
        </w:tc>
      </w:tr>
    </w:tbl>
    <w:p w14:paraId="44969F90" w14:textId="77777777" w:rsidR="00F23E37" w:rsidRDefault="00F23E37" w:rsidP="00F23E37"/>
    <w:p w14:paraId="09FE6BBA" w14:textId="77777777" w:rsidR="007E2076" w:rsidRDefault="007E2076"/>
    <w:sectPr w:rsidR="007E207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3506" w14:textId="77777777" w:rsidR="009B2426" w:rsidRDefault="009B2426" w:rsidP="00FB0AC0">
      <w:pPr>
        <w:spacing w:after="0" w:line="240" w:lineRule="auto"/>
      </w:pPr>
      <w:r>
        <w:separator/>
      </w:r>
    </w:p>
  </w:endnote>
  <w:endnote w:type="continuationSeparator" w:id="0">
    <w:p w14:paraId="7F98A70A" w14:textId="77777777" w:rsidR="009B2426" w:rsidRDefault="009B2426"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77777777" w:rsidR="00FB0AC0" w:rsidRPr="00FB0AC0"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t xml:space="preserve">Benjamin A. Rolfe (BCA)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E0CD" w14:textId="77777777" w:rsidR="009B2426" w:rsidRDefault="009B2426" w:rsidP="00FB0AC0">
      <w:pPr>
        <w:spacing w:after="0" w:line="240" w:lineRule="auto"/>
      </w:pPr>
      <w:r>
        <w:separator/>
      </w:r>
    </w:p>
  </w:footnote>
  <w:footnote w:type="continuationSeparator" w:id="0">
    <w:p w14:paraId="63A8B26A" w14:textId="77777777" w:rsidR="009B2426" w:rsidRDefault="009B2426"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701D66DD" w:rsidR="00FB0AC0" w:rsidRPr="00FB0AC0" w:rsidRDefault="00FB0AC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sidRPr="00FB0AC0">
      <w:rPr>
        <w:rFonts w:ascii="Times New Roman" w:hAnsi="Times New Roman" w:cs="Times New Roman"/>
        <w:b/>
        <w:sz w:val="28"/>
      </w:rPr>
      <w:t>May</w:t>
    </w:r>
    <w:r w:rsidRPr="00FB0AC0">
      <w:rPr>
        <w:rFonts w:ascii="Times New Roman" w:hAnsi="Times New Roman" w:cs="Times New Roman"/>
        <w:b/>
        <w:sz w:val="28"/>
      </w:rPr>
      <w:t xml:space="preserve"> 2021</w:t>
    </w:r>
    <w:r w:rsidRPr="00FB0AC0">
      <w:rPr>
        <w:rFonts w:ascii="Times New Roman" w:hAnsi="Times New Roman" w:cs="Times New Roman"/>
        <w:b/>
        <w:sz w:val="28"/>
      </w:rPr>
      <w:tab/>
      <w:t xml:space="preserve"> </w:t>
    </w:r>
    <w:r w:rsidRPr="00FB0AC0">
      <w:rPr>
        <w:rFonts w:ascii="Times New Roman" w:hAnsi="Times New Roman" w:cs="Times New Roman"/>
        <w:b/>
        <w:sz w:val="28"/>
      </w:rPr>
      <w:tab/>
      <w:t xml:space="preserve">Doc: </w:t>
    </w:r>
    <w:r w:rsidRPr="00FB0AC0">
      <w:rPr>
        <w:rFonts w:ascii="Times New Roman" w:hAnsi="Times New Roman" w:cs="Times New Roman"/>
        <w:b/>
        <w:sz w:val="28"/>
      </w:rPr>
      <w:t>IEEE 15-21-0</w:t>
    </w:r>
    <w:r w:rsidRPr="00FB0AC0">
      <w:rPr>
        <w:rFonts w:ascii="Times New Roman" w:hAnsi="Times New Roman" w:cs="Times New Roman"/>
        <w:b/>
        <w:sz w:val="28"/>
      </w:rPr>
      <w:t>28</w:t>
    </w:r>
    <w:r w:rsidRPr="00FB0AC0">
      <w:rPr>
        <w:rFonts w:ascii="Times New Roman" w:hAnsi="Times New Roman" w:cs="Times New Roman"/>
        <w:b/>
        <w:sz w:val="28"/>
      </w:rPr>
      <w:t>0-00-</w:t>
    </w:r>
    <w:r w:rsidRPr="00FB0AC0">
      <w:rPr>
        <w:rFonts w:ascii="Times New Roman" w:hAnsi="Times New Roman" w:cs="Times New Roman"/>
        <w:b/>
        <w:sz w:val="28"/>
      </w:rPr>
      <w:t>04ab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1851C0"/>
    <w:rsid w:val="007E2076"/>
    <w:rsid w:val="009B2426"/>
    <w:rsid w:val="00F2183C"/>
    <w:rsid w:val="00F23E37"/>
    <w:rsid w:val="00FB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2021-05-13T19:25:00Z</dcterms:created>
  <dcterms:modified xsi:type="dcterms:W3CDTF">2021-05-13T19:53:00Z</dcterms:modified>
</cp:coreProperties>
</file>