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CellMar>
          <w:top w:w="0" w:type="dxa"/>
          <w:left w:w="108" w:type="dxa"/>
          <w:bottom w:w="0" w:type="dxa"/>
          <w:right w:w="108" w:type="dxa"/>
        </w:tblCellMar>
        <w:tblLook w:firstRow="0" w:noVBand="0" w:lastRow="0" w:firstColumn="0" w:lastColumn="0" w:noHBand="0" w:val="0000"/>
      </w:tblPr>
      <w:tblGrid>
        <w:gridCol w:w="1259"/>
        <w:gridCol w:w="4050"/>
        <w:gridCol w:w="4141"/>
      </w:tblGrid>
      <w:tr>
        <w:trPr/>
        <w:tc>
          <w:tcPr>
            <w:tcW w:w="1259" w:type="dxa"/>
            <w:tcBorders>
              <w:top w:val="single" w:sz="6" w:space="0" w:color="000000"/>
            </w:tcBorders>
            <w:shd w:fill="auto" w:val="clear"/>
          </w:tcPr>
          <w:p>
            <w:pPr>
              <w:pStyle w:val="Covertext"/>
              <w:spacing w:before="120" w:after="120"/>
              <w:rPr/>
            </w:pPr>
            <w:r>
              <w:rPr/>
              <w:t>Project</w:t>
            </w:r>
          </w:p>
        </w:tc>
        <w:tc>
          <w:tcPr>
            <w:tcW w:w="8191"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59" w:type="dxa"/>
            <w:tcBorders>
              <w:top w:val="single" w:sz="6" w:space="0" w:color="000000"/>
            </w:tcBorders>
            <w:shd w:fill="auto" w:val="clear"/>
          </w:tcPr>
          <w:p>
            <w:pPr>
              <w:pStyle w:val="Covertext"/>
              <w:spacing w:before="120" w:after="120"/>
              <w:rPr/>
            </w:pPr>
            <w:r>
              <w:rPr/>
              <w:t>Title</w:t>
            </w:r>
          </w:p>
        </w:tc>
        <w:tc>
          <w:tcPr>
            <w:tcW w:w="8191" w:type="dxa"/>
            <w:gridSpan w:val="2"/>
            <w:tcBorders>
              <w:top w:val="single" w:sz="6" w:space="0" w:color="000000"/>
            </w:tcBorders>
            <w:shd w:fill="auto" w:val="clear"/>
          </w:tcPr>
          <w:p>
            <w:pPr>
              <w:pStyle w:val="Covertext"/>
              <w:spacing w:before="120" w:after="120"/>
              <w:rPr/>
            </w:pPr>
            <w:r>
              <w:rPr/>
              <w:t>CRG meeting minutes 30</w:t>
            </w:r>
            <w:r>
              <w:rPr>
                <w:vertAlign w:val="superscript"/>
              </w:rPr>
              <w:t>th</w:t>
            </w:r>
            <w:r>
              <w:rPr/>
              <w:t xml:space="preserve"> March 2021</w:t>
            </w:r>
          </w:p>
        </w:tc>
      </w:tr>
      <w:tr>
        <w:trPr/>
        <w:tc>
          <w:tcPr>
            <w:tcW w:w="1259" w:type="dxa"/>
            <w:tcBorders>
              <w:top w:val="single" w:sz="6" w:space="0" w:color="000000"/>
            </w:tcBorders>
            <w:shd w:fill="auto" w:val="clear"/>
          </w:tcPr>
          <w:p>
            <w:pPr>
              <w:pStyle w:val="Covertext"/>
              <w:spacing w:before="120" w:after="120"/>
              <w:rPr/>
            </w:pPr>
            <w:r>
              <w:rPr/>
              <w:t>Date Submitted</w:t>
            </w:r>
          </w:p>
        </w:tc>
        <w:tc>
          <w:tcPr>
            <w:tcW w:w="8191" w:type="dxa"/>
            <w:gridSpan w:val="2"/>
            <w:tcBorders>
              <w:top w:val="single" w:sz="6" w:space="0" w:color="000000"/>
            </w:tcBorders>
            <w:shd w:fill="auto" w:val="clear"/>
          </w:tcPr>
          <w:p>
            <w:pPr>
              <w:pStyle w:val="Covertext"/>
              <w:spacing w:before="120" w:after="120"/>
              <w:rPr/>
            </w:pPr>
            <w:r>
              <w:rPr/>
              <w:t>11 May 2021</w:t>
            </w:r>
          </w:p>
        </w:tc>
      </w:tr>
      <w:tr>
        <w:trPr/>
        <w:tc>
          <w:tcPr>
            <w:tcW w:w="1259" w:type="dxa"/>
            <w:tcBorders>
              <w:top w:val="single" w:sz="4" w:space="0" w:color="000000"/>
              <w:bottom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tcBorders>
            <w:shd w:fill="auto" w:val="clear"/>
          </w:tcPr>
          <w:p>
            <w:pPr>
              <w:pStyle w:val="Covertext"/>
              <w:spacing w:before="120" w:after="120"/>
              <w:rPr/>
            </w:pPr>
            <w:r>
              <w:rPr/>
              <w:t>Tero Kivinen</w:t>
            </w:r>
          </w:p>
        </w:tc>
        <w:tc>
          <w:tcPr>
            <w:tcW w:w="4141" w:type="dxa"/>
            <w:tcBorders>
              <w:top w:val="single" w:sz="4" w:space="0" w:color="000000"/>
              <w:bottom w:val="single" w:sz="4" w:space="0" w:color="000000"/>
            </w:tcBorders>
            <w:shd w:fill="auto" w:val="clear"/>
          </w:tcPr>
          <w:p>
            <w:pPr>
              <w:pStyle w:val="Covertext"/>
              <w:spacing w:before="120" w:after="120"/>
              <w:rPr/>
            </w:pPr>
            <w:r>
              <w:rPr/>
              <w:t>E-mail:</w:t>
              <w:tab/>
              <w:t>kivinen@iki.fi</w:t>
            </w:r>
          </w:p>
        </w:tc>
      </w:tr>
      <w:tr>
        <w:trPr/>
        <w:tc>
          <w:tcPr>
            <w:tcW w:w="1259" w:type="dxa"/>
            <w:tcBorders>
              <w:top w:val="single" w:sz="6" w:space="0" w:color="000000"/>
            </w:tcBorders>
            <w:shd w:fill="auto" w:val="clear"/>
          </w:tcPr>
          <w:p>
            <w:pPr>
              <w:pStyle w:val="Covertext"/>
              <w:spacing w:before="120" w:after="120"/>
              <w:rPr/>
            </w:pPr>
            <w:r>
              <w:rPr/>
              <w:t>Re:</w:t>
            </w:r>
          </w:p>
        </w:tc>
        <w:tc>
          <w:tcPr>
            <w:tcW w:w="8191" w:type="dxa"/>
            <w:gridSpan w:val="2"/>
            <w:tcBorders>
              <w:top w:val="single" w:sz="6" w:space="0" w:color="000000"/>
            </w:tcBorders>
            <w:shd w:fill="auto" w:val="clear"/>
          </w:tcPr>
          <w:p>
            <w:pPr>
              <w:pStyle w:val="Covertext"/>
              <w:spacing w:before="120" w:after="120"/>
              <w:rPr/>
            </w:pPr>
            <w:r>
              <w:rPr/>
              <w:t>March 2021 TG9ma CRG meeting</w:t>
            </w:r>
          </w:p>
        </w:tc>
      </w:tr>
      <w:tr>
        <w:trPr/>
        <w:tc>
          <w:tcPr>
            <w:tcW w:w="1259" w:type="dxa"/>
            <w:tcBorders>
              <w:top w:val="single" w:sz="6" w:space="0" w:color="000000"/>
            </w:tcBorders>
            <w:shd w:fill="auto" w:val="clear"/>
          </w:tcPr>
          <w:p>
            <w:pPr>
              <w:pStyle w:val="Covertext"/>
              <w:spacing w:before="120" w:after="120"/>
              <w:rPr/>
            </w:pPr>
            <w:r>
              <w:rPr/>
              <w:t>Abstract</w:t>
            </w:r>
          </w:p>
        </w:tc>
        <w:tc>
          <w:tcPr>
            <w:tcW w:w="8191" w:type="dxa"/>
            <w:gridSpan w:val="2"/>
            <w:tcBorders>
              <w:top w:val="single" w:sz="6" w:space="0" w:color="000000"/>
            </w:tcBorders>
            <w:shd w:fill="auto" w:val="clear"/>
          </w:tcPr>
          <w:p>
            <w:pPr>
              <w:pStyle w:val="Covertext"/>
              <w:spacing w:before="120" w:after="120"/>
              <w:rPr/>
            </w:pPr>
            <w:r>
              <w:rPr/>
              <w:t>Meeting minutes for the 30</w:t>
            </w:r>
            <w:r>
              <w:rPr>
                <w:vertAlign w:val="superscript"/>
              </w:rPr>
              <w:t>th</w:t>
            </w:r>
            <w:r>
              <w:rPr/>
              <w:t xml:space="preserve"> March 2021 CRG meeting</w:t>
            </w:r>
          </w:p>
        </w:tc>
      </w:tr>
      <w:tr>
        <w:trPr/>
        <w:tc>
          <w:tcPr>
            <w:tcW w:w="1259" w:type="dxa"/>
            <w:tcBorders>
              <w:top w:val="single" w:sz="6" w:space="0" w:color="000000"/>
            </w:tcBorders>
            <w:shd w:fill="auto" w:val="clear"/>
          </w:tcPr>
          <w:p>
            <w:pPr>
              <w:pStyle w:val="Covertext"/>
              <w:spacing w:before="120" w:after="120"/>
              <w:rPr/>
            </w:pPr>
            <w:r>
              <w:rPr/>
              <w:t>Purpose</w:t>
            </w:r>
          </w:p>
        </w:tc>
        <w:tc>
          <w:tcPr>
            <w:tcW w:w="8191" w:type="dxa"/>
            <w:gridSpan w:val="2"/>
            <w:tcBorders>
              <w:top w:val="single" w:sz="6" w:space="0" w:color="000000"/>
            </w:tcBorders>
            <w:shd w:fill="auto" w:val="clear"/>
          </w:tcPr>
          <w:p>
            <w:pPr>
              <w:pStyle w:val="Covertext"/>
              <w:spacing w:before="120" w:after="120"/>
              <w:rPr/>
            </w:pPr>
            <w:r>
              <w:rPr/>
              <w:t>Provide meeting minutes</w:t>
            </w:r>
          </w:p>
        </w:tc>
      </w:tr>
      <w:tr>
        <w:trPr/>
        <w:tc>
          <w:tcPr>
            <w:tcW w:w="1259" w:type="dxa"/>
            <w:tcBorders>
              <w:top w:val="single" w:sz="6" w:space="0" w:color="000000"/>
              <w:bottom w:val="single" w:sz="6" w:space="0" w:color="000000"/>
            </w:tcBorders>
            <w:shd w:fill="auto" w:val="clear"/>
          </w:tcPr>
          <w:p>
            <w:pPr>
              <w:pStyle w:val="Covertext"/>
              <w:spacing w:before="120" w:after="120"/>
              <w:rPr/>
            </w:pPr>
            <w:r>
              <w:rPr/>
              <w:t>Notice</w:t>
            </w:r>
          </w:p>
        </w:tc>
        <w:tc>
          <w:tcPr>
            <w:tcW w:w="8191" w:type="dxa"/>
            <w:gridSpan w:val="2"/>
            <w:tcBorders>
              <w:top w:val="single" w:sz="6" w:space="0" w:color="000000"/>
              <w:bottom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9" w:type="dxa"/>
            <w:tcBorders>
              <w:top w:val="single" w:sz="6" w:space="0" w:color="000000"/>
              <w:bottom w:val="single" w:sz="6" w:space="0" w:color="000000"/>
            </w:tcBorders>
            <w:shd w:fill="auto" w:val="clear"/>
          </w:tcPr>
          <w:p>
            <w:pPr>
              <w:pStyle w:val="Covertext"/>
              <w:spacing w:before="120" w:after="120"/>
              <w:rPr/>
            </w:pPr>
            <w:r>
              <w:rPr/>
              <w:t>Release</w:t>
            </w:r>
          </w:p>
        </w:tc>
        <w:tc>
          <w:tcPr>
            <w:tcW w:w="8191" w:type="dxa"/>
            <w:gridSpan w:val="2"/>
            <w:tcBorders>
              <w:top w:val="single" w:sz="6" w:space="0" w:color="000000"/>
              <w:bottom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802.15.9ma CRG</w:t>
      </w:r>
    </w:p>
    <w:p>
      <w:pPr>
        <w:pStyle w:val="Heading2"/>
        <w:numPr>
          <w:ilvl w:val="1"/>
          <w:numId w:val="2"/>
        </w:numPr>
        <w:rPr/>
      </w:pPr>
      <w:r>
        <w:rPr/>
        <w:t>Tuesdays, March 30, 2021</w:t>
      </w:r>
    </w:p>
    <w:p>
      <w:pPr>
        <w:pStyle w:val="ListParagraph"/>
        <w:numPr>
          <w:ilvl w:val="0"/>
          <w:numId w:val="2"/>
        </w:numPr>
        <w:ind w:left="0" w:hanging="0"/>
        <w:rPr/>
      </w:pPr>
      <w:r>
        <w:rPr/>
        <w:t xml:space="preserve">The WG chair Pat Kinney called the meeting to order at 23:00 EET on Tuesday, March 30, 2021. Pat Kinney made call for essential patents. No one had anything to disclose. </w:t>
      </w:r>
    </w:p>
    <w:p>
      <w:pPr>
        <w:pStyle w:val="ListParagraph"/>
        <w:ind w:left="0" w:hanging="0"/>
        <w:rPr/>
      </w:pPr>
      <w:r>
        <w:rPr/>
      </w:r>
    </w:p>
    <w:p>
      <w:pPr>
        <w:pStyle w:val="ListParagraph"/>
        <w:ind w:left="0" w:hanging="0"/>
        <w:rPr/>
      </w:pPr>
      <w:r>
        <w:rPr/>
        <w:t>The meeting was between the members of the IEEE 802.15.9ma CRG and members of the IEEE Standards Associat</w:t>
      </w:r>
      <w:r>
        <w:rPr/>
        <w:t>i</w:t>
      </w:r>
      <w:r>
        <w:rPr/>
        <w:t xml:space="preserve">on RAC. The purpose of the meeting was to resolve the comments provided by the RAC during the standard association ballot. </w:t>
      </w:r>
    </w:p>
    <w:p>
      <w:pPr>
        <w:pStyle w:val="ListParagraph"/>
        <w:ind w:left="0" w:hanging="0"/>
        <w:rPr/>
      </w:pPr>
      <w:r>
        <w:rPr/>
      </w:r>
    </w:p>
    <w:p>
      <w:pPr>
        <w:pStyle w:val="ListParagraph"/>
        <w:ind w:left="0" w:hanging="0"/>
        <w:rPr/>
      </w:pPr>
      <w:r>
        <w:rPr/>
        <w:t>The RAC’s belief that its comments on IEEE 802.15.9ma were not adequately addressed has stalled progress of the standard through the publication process, so it was decided to</w:t>
      </w:r>
    </w:p>
    <w:p>
      <w:pPr>
        <w:pStyle w:val="ListParagraph"/>
        <w:ind w:left="0" w:hanging="0"/>
        <w:rPr/>
      </w:pPr>
      <w:r>
        <w:rPr/>
        <w:t xml:space="preserve">hold this meeting to quickly resolve the differences. </w:t>
      </w:r>
    </w:p>
    <w:p>
      <w:pPr>
        <w:pStyle w:val="ListParagraph"/>
        <w:ind w:left="0" w:hanging="0"/>
        <w:rPr/>
      </w:pPr>
      <w:r>
        <w:rPr/>
      </w:r>
    </w:p>
    <w:p>
      <w:pPr>
        <w:pStyle w:val="ListParagraph"/>
        <w:ind w:left="0" w:hanging="0"/>
        <w:rPr/>
      </w:pPr>
      <w:r>
        <w:rPr/>
        <w:t>Tero Kivinen came well prepared with defenses for the CRGs decision regarding the RAC’s comments. In particular, IEEE 802.15.9 aligns itself with IEEE 802.15.4’s usage of the terms “IEEE address”. As a matter of expedience, a term (“extended address”) was added to the document to be used in place “IEEE address”, with “extended address” being an EUI-64 (Extended Unique Identifier-64) as defined in IEEE Std 802.15.4-2020, subclause 7.1.</w:t>
      </w:r>
    </w:p>
    <w:p>
      <w:pPr>
        <w:pStyle w:val="ListParagraph"/>
        <w:ind w:left="0" w:hanging="0"/>
        <w:rPr/>
      </w:pPr>
      <w:r>
        <w:rPr/>
      </w:r>
    </w:p>
    <w:p>
      <w:pPr>
        <w:pStyle w:val="ListParagraph"/>
        <w:ind w:left="0" w:hanging="0"/>
        <w:rPr/>
      </w:pPr>
      <w:r>
        <w:rPr/>
        <w:t xml:space="preserve">During the meeting Tero Kivinen made the </w:t>
      </w:r>
      <w:r>
        <w:rPr/>
        <w:t>necessarily</w:t>
      </w:r>
      <w:r>
        <w:rPr/>
        <w:t xml:space="preserve"> changes to the draft document, generated new version and comparison version between the previous and new version. The CRG had motion to start recirculation ballot in few days to finish the balloting process.</w:t>
      </w:r>
    </w:p>
    <w:p>
      <w:pPr>
        <w:pStyle w:val="ListParagraph"/>
        <w:numPr>
          <w:ilvl w:val="0"/>
          <w:numId w:val="2"/>
        </w:numPr>
        <w:ind w:left="0" w:hanging="0"/>
        <w:rPr/>
      </w:pPr>
      <w:r>
        <w:rPr/>
      </w:r>
    </w:p>
    <w:p>
      <w:pPr>
        <w:pStyle w:val="ListParagraph"/>
        <w:numPr>
          <w:ilvl w:val="0"/>
          <w:numId w:val="2"/>
        </w:numPr>
        <w:ind w:left="0" w:hanging="0"/>
        <w:rPr/>
      </w:pPr>
      <w:r>
        <w:rPr/>
        <w:t>The meeting was adjourned at 23:45 EET.</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May 2021</w:t>
    </w:r>
    <w:r>
      <w:rPr>
        <w:sz w:val="28"/>
        <w:b/>
      </w:rPr>
      <w:fldChar w:fldCharType="end"/>
    </w:r>
    <w:r>
      <w:rPr>
        <w:b/>
        <w:sz w:val="28"/>
      </w:rPr>
      <w:tab/>
      <w:t xml:space="preserve"> IEEE P802.15 - 15-21-0255-0</w:t>
    </w:r>
    <w:r>
      <w:rPr>
        <w:b/>
        <w:sz w:val="28"/>
      </w:rPr>
      <w:t>1</w:t>
    </w:r>
    <w:r>
      <w:rPr>
        <w:b/>
        <w:sz w:val="28"/>
      </w:rPr>
      <w:t>-09ma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compat>
    <w:doNotExpandShiftReturn/>
  </w:compat>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Internet Link"/>
    <w:basedOn w:val="DefaultParagraphFont"/>
    <w:uiPriority w:val="99"/>
    <w:unhideWhenUsed/>
    <w:rsid w:val="00f10ac5"/>
    <w:rPr>
      <w:color w:val="0000FF"/>
      <w:u w:val="single"/>
    </w:rPr>
  </w:style>
  <w:style w:type="character" w:styleId="ListLabel1">
    <w:name w:val="ListLabel 1"/>
    <w:qFormat/>
    <w:rPr/>
  </w:style>
  <w:style w:type="character" w:styleId="ListLabel2">
    <w:name w:val="ListLabel 2"/>
    <w:qFormat/>
    <w:rPr/>
  </w:style>
  <w:style w:type="character" w:styleId="ListLabel3">
    <w:name w:val="ListLabel 3"/>
    <w:qFormat/>
    <w:rPr/>
  </w:style>
  <w:style w:type="character" w:styleId="ListLabel4">
    <w:name w:val="ListLabel 4"/>
    <w:qFormat/>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Application>LibreOffice/6.2.3.2$Windows_X86_64 LibreOffice_project/aecc05fe267cc68dde00352a451aa867b3b546ac</Application>
  <Pages>2</Pages>
  <Words>374</Words>
  <Characters>1996</Characters>
  <CharactersWithSpaces>2343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2021-05-14T18:11:33Z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