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11D6B086" w:rsidR="00315424" w:rsidRPr="00FB65F8" w:rsidRDefault="00AF4317" w:rsidP="00FB65F8">
            <w:pPr>
              <w:pStyle w:val="covertext"/>
              <w:rPr>
                <w:color w:val="000000" w:themeColor="text1"/>
              </w:rPr>
            </w:pPr>
            <w:r>
              <w:rPr>
                <w:color w:val="000000" w:themeColor="text1"/>
              </w:rPr>
              <w:t>31</w:t>
            </w:r>
            <w:r w:rsidR="00263C33" w:rsidRPr="00FB65F8">
              <w:rPr>
                <w:color w:val="000000" w:themeColor="text1"/>
              </w:rPr>
              <w:t xml:space="preserve"> </w:t>
            </w:r>
            <w:r w:rsidR="00FB65F8" w:rsidRPr="00FB65F8">
              <w:rPr>
                <w:color w:val="000000" w:themeColor="text1"/>
              </w:rPr>
              <w:t>May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62BAA086" w:rsidR="00315424" w:rsidRDefault="009B62AE" w:rsidP="00A25F2B">
            <w:pPr>
              <w:pStyle w:val="covertext"/>
            </w:pPr>
            <w:r>
              <w:t>This document contains proposed resolutions for CIDs A-19, I-20</w:t>
            </w:r>
            <w:r w:rsidR="005A65E1">
              <w:t xml:space="preserve">, </w:t>
            </w:r>
            <w:r w:rsidR="005A65E1" w:rsidRPr="005A65E1">
              <w:t>I-13 / I-191 / I-9 / A-20</w:t>
            </w:r>
            <w:r w:rsidR="00AF4317">
              <w:t>, I-306, I-40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45EE2A7" w:rsidR="00263C33" w:rsidRPr="003829A3" w:rsidRDefault="00263C33" w:rsidP="00E73445">
      <w:pPr>
        <w:pStyle w:val="TG13CRCommentID"/>
      </w:pPr>
      <w:r w:rsidRPr="003829A3">
        <w:lastRenderedPageBreak/>
        <w:t xml:space="preserve">CID </w:t>
      </w:r>
      <w:r w:rsidR="003829A3" w:rsidRPr="003829A3">
        <w:t>A-19</w:t>
      </w:r>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0"/>
      <w:bookmarkEnd w:id="1"/>
      <w:bookmarkEnd w:id="2"/>
      <w:bookmarkEnd w:id="3"/>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4" w:name="_Ref25023508"/>
      <w:bookmarkStart w:id="5" w:name="_Toc32317562"/>
      <w:bookmarkStart w:id="6" w:name="_Toc39214754"/>
      <w:bookmarkStart w:id="7" w:name="_Toc39215856"/>
      <w:bookmarkStart w:id="8"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4"/>
      <w:bookmarkEnd w:id="5"/>
      <w:bookmarkEnd w:id="6"/>
      <w:bookmarkEnd w:id="7"/>
      <w:bookmarkEnd w:id="8"/>
    </w:p>
    <w:p w14:paraId="6C2AF68D" w14:textId="12570AD7"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AF4317">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E62BE1">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E62BE1">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9" w:name="_Ref42861335"/>
      <w:r w:rsidRPr="00A91069">
        <w:rPr>
          <w:rFonts w:ascii="Arial" w:hAnsi="Arial"/>
          <w:b/>
          <w:sz w:val="20"/>
          <w:lang w:eastAsia="ja-JP"/>
        </w:rPr>
        <w:t>PM-PHY MCS element</w:t>
      </w:r>
      <w:bookmarkEnd w:id="9"/>
    </w:p>
    <w:p w14:paraId="3A45A77A" w14:textId="456B2F27"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AF4317">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E62BE1">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E62BE1">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E62BE1">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0" w:name="_Ref16239582"/>
      <w:r w:rsidRPr="00A91069">
        <w:rPr>
          <w:rFonts w:ascii="Arial" w:hAnsi="Arial"/>
          <w:b/>
          <w:sz w:val="20"/>
          <w:lang w:eastAsia="ja-JP"/>
        </w:rPr>
        <w:t>Clock rate bitmap</w:t>
      </w:r>
      <w:bookmarkEnd w:id="10"/>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w:t>
      </w:r>
      <w:proofErr w:type="spellStart"/>
      <w:r w:rsidR="00A47071">
        <w:t>of</w:t>
      </w:r>
      <w:proofErr w:type="spellEnd"/>
      <w:r w:rsidR="00A47071">
        <w:t xml:space="preserve">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AF4317"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84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09309A47" w14:textId="77777777" w:rsidR="009D07F4" w:rsidRDefault="009D07F4">
      <w:pPr>
        <w:rPr>
          <w:rFonts w:ascii="Arial" w:hAnsi="Arial" w:cs="Arial"/>
          <w:sz w:val="26"/>
          <w:szCs w:val="26"/>
        </w:rPr>
      </w:pPr>
      <w:r>
        <w:br w:type="page"/>
      </w:r>
    </w:p>
    <w:p w14:paraId="0BF9282F" w14:textId="10A4467B" w:rsidR="00A430CA" w:rsidRDefault="00A430CA" w:rsidP="00A430CA">
      <w:pPr>
        <w:pStyle w:val="TG13CRCommentID"/>
      </w:pPr>
      <w:r>
        <w:lastRenderedPageBreak/>
        <w:t>CID I-20</w:t>
      </w:r>
    </w:p>
    <w:p w14:paraId="5433548F" w14:textId="77777777" w:rsidR="00421151" w:rsidRDefault="00421151" w:rsidP="00A430CA">
      <w:pPr>
        <w:pStyle w:val="TG13CREditorinstruction"/>
      </w:pPr>
    </w:p>
    <w:p w14:paraId="73177978" w14:textId="2B8718E2" w:rsidR="00A430CA" w:rsidRDefault="00544494" w:rsidP="00A430CA">
      <w:pPr>
        <w:pStyle w:val="TG13CREditorinstruction"/>
      </w:pPr>
      <w:r>
        <w:t>Modify sentence starting in P17L5 as follows:</w:t>
      </w:r>
    </w:p>
    <w:p w14:paraId="78D25078" w14:textId="3765F88A" w:rsidR="00544494" w:rsidRDefault="00544494" w:rsidP="00A430CA">
      <w:pPr>
        <w:pStyle w:val="TG13CREditorinstruction"/>
      </w:pPr>
    </w:p>
    <w:p w14:paraId="5DFCA42B" w14:textId="08023EC8" w:rsidR="00544494" w:rsidRDefault="00544494" w:rsidP="00544494">
      <w:r w:rsidRPr="00544494">
        <w:t>It is designed for point to point and point to mu</w:t>
      </w:r>
      <w:r>
        <w:t>lti point communications in</w:t>
      </w:r>
      <w:r w:rsidRPr="00544494">
        <w:t xml:space="preserve"> non-coordinated and coordinated topologies</w:t>
      </w:r>
      <w:r>
        <w:t>.</w:t>
      </w:r>
    </w:p>
    <w:p w14:paraId="592F2B89" w14:textId="01A61F69" w:rsidR="00544494" w:rsidRDefault="00544494" w:rsidP="00544494"/>
    <w:p w14:paraId="1CC19D37" w14:textId="304BAC2A" w:rsidR="00544494" w:rsidRDefault="00544494" w:rsidP="00544494">
      <w:pPr>
        <w:pStyle w:val="TG13CREditorinstruction"/>
      </w:pPr>
      <w:r>
        <w:t>Modify the sentence starting in P30L10 as follows:</w:t>
      </w:r>
    </w:p>
    <w:p w14:paraId="6218823A" w14:textId="6148C309" w:rsidR="00544494" w:rsidRDefault="00544494" w:rsidP="00544494"/>
    <w:p w14:paraId="3F6F138D" w14:textId="00F370CD" w:rsidR="00544494" w:rsidRDefault="00544494" w:rsidP="00544494">
      <w:r w:rsidRPr="00544494">
        <w:t xml:space="preserve">The coordinator should have connectivity to </w:t>
      </w:r>
      <w:r>
        <w:t>the</w:t>
      </w:r>
      <w:r w:rsidRPr="00544494">
        <w:t xml:space="preserve"> relay</w:t>
      </w:r>
      <w:r>
        <w:t>ing</w:t>
      </w:r>
      <w:r w:rsidRPr="00544494">
        <w:t xml:space="preserve"> device and</w:t>
      </w:r>
      <w:r>
        <w:t xml:space="preserve"> the</w:t>
      </w:r>
      <w:r w:rsidRPr="00544494">
        <w:t xml:space="preserve"> end device.</w:t>
      </w:r>
    </w:p>
    <w:p w14:paraId="163B1D60" w14:textId="74E2A87E" w:rsidR="0059474C" w:rsidRDefault="0059474C" w:rsidP="00544494"/>
    <w:p w14:paraId="3666CD18" w14:textId="7AC52ADC" w:rsidR="0059474C" w:rsidRDefault="0059474C" w:rsidP="0059474C">
      <w:pPr>
        <w:pStyle w:val="TG13CREditorinstruction"/>
      </w:pPr>
      <w:r>
        <w:t>Modify the sentence starting in P37L3 as follows:</w:t>
      </w:r>
    </w:p>
    <w:p w14:paraId="790A4223" w14:textId="1998419D" w:rsidR="0059474C" w:rsidRDefault="0059474C" w:rsidP="0059474C"/>
    <w:p w14:paraId="0119D21F" w14:textId="597E641B" w:rsidR="0059474C" w:rsidRDefault="0059474C" w:rsidP="0059474C">
      <w:r>
        <w:t xml:space="preserve">The </w:t>
      </w:r>
      <w:r w:rsidRPr="0059474C">
        <w:t>CAP and</w:t>
      </w:r>
      <w:r>
        <w:t xml:space="preserve"> the CFP</w:t>
      </w:r>
      <w:r w:rsidRPr="0059474C">
        <w:t xml:space="preserve"> may shrink or grow dynamically on a superframe-by-superframe basis in order to allow more random access transmissions in the CAP or more scheduled ones in the CFP.</w:t>
      </w:r>
    </w:p>
    <w:p w14:paraId="60D3402A" w14:textId="23517BBA" w:rsidR="0059474C" w:rsidRDefault="0059474C" w:rsidP="0059474C"/>
    <w:p w14:paraId="08045AB4" w14:textId="1F76DDC9" w:rsidR="0059474C" w:rsidRDefault="0059474C" w:rsidP="0059474C">
      <w:pPr>
        <w:pStyle w:val="TG13CREditorinstruction"/>
      </w:pPr>
      <w:r>
        <w:t>Modify the sentence starting in P45L6 as follows:</w:t>
      </w:r>
    </w:p>
    <w:p w14:paraId="47DD6777" w14:textId="13D71294" w:rsidR="0059474C" w:rsidRDefault="0059474C" w:rsidP="0059474C"/>
    <w:p w14:paraId="3CF08325" w14:textId="4D7C6C39" w:rsidR="0059474C" w:rsidRDefault="0059474C" w:rsidP="0059474C">
      <w:r w:rsidRPr="0059474C">
        <w:t>A newly connected device is made aware of its queue number with the first valid frame i</w:t>
      </w:r>
      <w:r w:rsidR="008D4F05">
        <w:t xml:space="preserve">t receives from the coordinator. This frame </w:t>
      </w:r>
      <w:r w:rsidRPr="0059474C">
        <w:t xml:space="preserve">contains </w:t>
      </w:r>
      <w:r w:rsidR="008D4F05">
        <w:t>the devices queue number and</w:t>
      </w:r>
      <w:r w:rsidRPr="0059474C">
        <w:t xml:space="preserve"> MAC address.</w:t>
      </w:r>
    </w:p>
    <w:p w14:paraId="3950AC3C" w14:textId="6C602C04" w:rsidR="0059474C" w:rsidRDefault="0059474C" w:rsidP="0059474C"/>
    <w:p w14:paraId="5EA5ECF8" w14:textId="0813413D" w:rsidR="008D4F05" w:rsidRDefault="008D4F05" w:rsidP="008D4F05">
      <w:pPr>
        <w:pStyle w:val="TG13CREditorinstruction"/>
      </w:pPr>
      <w:r>
        <w:t>Modify the sentence starting in P47L5 as follows:</w:t>
      </w:r>
    </w:p>
    <w:p w14:paraId="40858E03" w14:textId="1E80C4CE" w:rsidR="008D4F05" w:rsidRDefault="008D4F05" w:rsidP="0059474C"/>
    <w:p w14:paraId="4D0ADD17" w14:textId="3A3828B2" w:rsidR="008D4F05" w:rsidRDefault="008D4F05" w:rsidP="008D4F05">
      <w:r w:rsidRPr="008D4F05">
        <w:t>After</w:t>
      </w:r>
      <w:r w:rsidR="006A238B">
        <w:t xml:space="preserve"> the downlink and</w:t>
      </w:r>
      <w:r w:rsidRPr="008D4F05">
        <w:t xml:space="preserve"> uplink transmissions are complete, the coordinator sends a data frame to Device 2.</w:t>
      </w:r>
    </w:p>
    <w:p w14:paraId="177E085D" w14:textId="74FBB645" w:rsidR="006A238B" w:rsidRDefault="006A238B" w:rsidP="008D4F05"/>
    <w:p w14:paraId="778C6335" w14:textId="761CD7B8" w:rsidR="006A238B" w:rsidRDefault="006A238B" w:rsidP="006A238B">
      <w:pPr>
        <w:pStyle w:val="TG13CREditorinstruction"/>
      </w:pPr>
      <w:r>
        <w:t>Modify the sentence starting in P61L7 as follows:</w:t>
      </w:r>
    </w:p>
    <w:p w14:paraId="5D344220" w14:textId="38D99B7E" w:rsidR="006A238B" w:rsidRDefault="006A238B" w:rsidP="008D4F05"/>
    <w:p w14:paraId="0F2F10C3" w14:textId="4E282C4D" w:rsidR="006A238B" w:rsidRDefault="006A238B" w:rsidP="008D4F05">
      <w:r w:rsidRPr="006A238B">
        <w:t xml:space="preserve">Widths </w:t>
      </w:r>
      <w:r>
        <w:t xml:space="preserve">of fields are specified in </w:t>
      </w:r>
      <w:r w:rsidRPr="006A238B">
        <w:t>numbers of bits or numbers of octets if the total number of bits is representable by an integer number of octets.</w:t>
      </w:r>
    </w:p>
    <w:p w14:paraId="76386DE5" w14:textId="6DDCE7EB" w:rsidR="006A238B" w:rsidRDefault="006A238B" w:rsidP="008D4F05"/>
    <w:p w14:paraId="4EBA1AC8" w14:textId="40AE3049" w:rsidR="006A238B" w:rsidRDefault="006A238B" w:rsidP="006A238B">
      <w:pPr>
        <w:pStyle w:val="TG13CREditorinstruction"/>
      </w:pPr>
      <w:r>
        <w:t>Modify the sentence starting in P104L19 as follows:</w:t>
      </w:r>
    </w:p>
    <w:p w14:paraId="757F3E67" w14:textId="2D89E61D" w:rsidR="006A238B" w:rsidRDefault="006A238B" w:rsidP="006A238B"/>
    <w:p w14:paraId="1E4DA135" w14:textId="0F6CB8EC" w:rsidR="006A238B" w:rsidRPr="006A238B" w:rsidRDefault="004B13F4" w:rsidP="006A238B">
      <w:r>
        <w:t xml:space="preserve">It enables </w:t>
      </w:r>
      <w:r w:rsidR="006A238B" w:rsidRPr="006A238B">
        <w:t>cross- and autocorrelation w</w:t>
      </w:r>
      <w:r>
        <w:t xml:space="preserve">ith an appropriate window size </w:t>
      </w:r>
      <w:r w:rsidR="006A238B" w:rsidRPr="006A238B">
        <w:t>as described by Schmidl and Cox [B12], Minn et al. [B3], Schellmann et al. [B10] and Goroshko et al. [B9].</w:t>
      </w:r>
    </w:p>
    <w:p w14:paraId="14067DBE" w14:textId="58FEEBE8" w:rsidR="0059474C" w:rsidRDefault="0059474C" w:rsidP="0059474C"/>
    <w:p w14:paraId="5BB2ECB4" w14:textId="66228288" w:rsidR="004B13F4" w:rsidRDefault="004B13F4" w:rsidP="004B13F4">
      <w:pPr>
        <w:pStyle w:val="TG13CREditorinstruction"/>
      </w:pPr>
      <w:r>
        <w:t>Modify the sentence starting in P132L3 as follows:</w:t>
      </w:r>
    </w:p>
    <w:p w14:paraId="46AD09A2" w14:textId="54F67971" w:rsidR="0059474C" w:rsidRDefault="0059474C" w:rsidP="0059474C"/>
    <w:p w14:paraId="0E9DBC52" w14:textId="1335F6C9" w:rsidR="0059474C" w:rsidRDefault="004B13F4" w:rsidP="004B13F4">
      <w:r w:rsidRPr="004B13F4">
        <w:t>Following this procedure, all negative samples in St1 and St2 are removed, and the two signals are summed.</w:t>
      </w:r>
    </w:p>
    <w:p w14:paraId="184941E2" w14:textId="4D712BCE" w:rsidR="0059474C" w:rsidRDefault="0059474C" w:rsidP="004B13F4"/>
    <w:p w14:paraId="6AB9C0DF" w14:textId="34A82B63" w:rsidR="004B13F4" w:rsidRDefault="004B13F4" w:rsidP="004B13F4">
      <w:pPr>
        <w:pStyle w:val="TG13CREditorinstruction"/>
      </w:pPr>
      <w:r>
        <w:t>Modify the sentence starting in P150L19 as follows:</w:t>
      </w:r>
    </w:p>
    <w:p w14:paraId="09AA5A3A" w14:textId="32953AA6" w:rsidR="0059474C" w:rsidRDefault="0059474C" w:rsidP="004B13F4"/>
    <w:p w14:paraId="21F7C94C" w14:textId="6C76437C" w:rsidR="0059474C" w:rsidRDefault="004B13F4" w:rsidP="004B13F4">
      <w:r w:rsidRPr="004B13F4">
        <w:lastRenderedPageBreak/>
        <w:t>Puncturing is applied to information and parity-check bits.</w:t>
      </w:r>
    </w:p>
    <w:p w14:paraId="1007D77F" w14:textId="219444FE" w:rsidR="0059474C" w:rsidRDefault="0059474C" w:rsidP="004B13F4"/>
    <w:p w14:paraId="50277C18" w14:textId="43470E1A" w:rsidR="004B13F4" w:rsidRDefault="004B13F4" w:rsidP="004B13F4">
      <w:pPr>
        <w:pStyle w:val="TG13CREditorinstruction"/>
      </w:pPr>
      <w:r>
        <w:t>Modify the sentence starting in P153L11 as follows:</w:t>
      </w:r>
    </w:p>
    <w:p w14:paraId="2F0ABE1D" w14:textId="77777777" w:rsidR="004B13F4" w:rsidRDefault="004B13F4" w:rsidP="004B13F4"/>
    <w:p w14:paraId="770D7726" w14:textId="0AFB0AEC" w:rsidR="0059474C" w:rsidRDefault="004B13F4" w:rsidP="004B13F4">
      <w:r w:rsidRPr="004B13F4">
        <w:t xml:space="preserve">The LFSR is advanced by two bits for each supported subcarrier </w:t>
      </w:r>
      <w:r w:rsidR="00024397">
        <w:t>or masked subcarrier</w:t>
      </w:r>
      <w:r w:rsidRPr="004B13F4">
        <w:t xml:space="preserve"> of each symbol of the payload.</w:t>
      </w:r>
    </w:p>
    <w:p w14:paraId="5BDEBC6D" w14:textId="0AEF8063" w:rsidR="0059474C" w:rsidRDefault="0059474C" w:rsidP="004B13F4"/>
    <w:p w14:paraId="211D00D3" w14:textId="3217DE67" w:rsidR="0059474C" w:rsidRDefault="00024397" w:rsidP="00024397">
      <w:pPr>
        <w:pStyle w:val="TG13CREditorinstruction"/>
      </w:pPr>
      <w:r>
        <w:t>Modify the sentence starting in P154L19 as follows:</w:t>
      </w:r>
    </w:p>
    <w:p w14:paraId="656616ED" w14:textId="188A696D" w:rsidR="0059474C" w:rsidRDefault="0059474C" w:rsidP="004B13F4"/>
    <w:p w14:paraId="10FB4095" w14:textId="77918FC2" w:rsidR="0059474C" w:rsidRDefault="00024397" w:rsidP="004B13F4">
      <w:r w:rsidRPr="00024397">
        <w:t xml:space="preserve">Support </w:t>
      </w:r>
      <w:r>
        <w:t>for</w:t>
      </w:r>
      <w:r w:rsidRPr="00024397">
        <w:t xml:space="preserve"> all even order constellations is mandatory at the transmitter and the receiver.</w:t>
      </w:r>
    </w:p>
    <w:p w14:paraId="2644EA68" w14:textId="69374213" w:rsidR="0059474C" w:rsidRDefault="0059474C" w:rsidP="004B13F4"/>
    <w:p w14:paraId="07EEBC68" w14:textId="38E2F407" w:rsidR="00024397" w:rsidRDefault="00024397" w:rsidP="00024397">
      <w:pPr>
        <w:pStyle w:val="TG13CREditorinstruction"/>
      </w:pPr>
      <w:r>
        <w:t>Modify the sentence starting in P167L14 as follows:</w:t>
      </w:r>
    </w:p>
    <w:p w14:paraId="6500E733" w14:textId="77777777" w:rsidR="00024397" w:rsidRDefault="00024397" w:rsidP="004B13F4"/>
    <w:p w14:paraId="2DEDC829" w14:textId="306B4CFB" w:rsidR="0059474C" w:rsidRPr="0059474C" w:rsidRDefault="00024397" w:rsidP="00024397">
      <w:r>
        <w:t xml:space="preserve">The control unit can set </w:t>
      </w:r>
      <w:r w:rsidRPr="00024397">
        <w:t>the bias and the modulation index to achieve the required dimming level and to avoid clipping.</w:t>
      </w:r>
    </w:p>
    <w:p w14:paraId="4328E2BA" w14:textId="77777777"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3F37A9FD" w14:textId="50789D1B" w:rsidR="00A430CA" w:rsidRDefault="00A430CA" w:rsidP="00E73445"/>
    <w:p w14:paraId="3E300580" w14:textId="40E1FB98" w:rsidR="00D47E45" w:rsidRDefault="00D47E45" w:rsidP="00E73445">
      <w:r>
        <w:t xml:space="preserve">Discussion: </w:t>
      </w:r>
    </w:p>
    <w:p w14:paraId="387DD29B" w14:textId="4E055CB9" w:rsidR="00D47E45" w:rsidRDefault="00D47E45" w:rsidP="00E73445"/>
    <w:p w14:paraId="3EC30BEF" w14:textId="0433E7CB" w:rsidR="00D47E45" w:rsidRDefault="00D47E45" w:rsidP="00E73445">
      <w:r>
        <w:t xml:space="preserve">The referenced figure from the web looks differently: </w:t>
      </w:r>
    </w:p>
    <w:p w14:paraId="46D9DE35" w14:textId="565003C7" w:rsidR="00112160" w:rsidRDefault="0084672F" w:rsidP="00E73445">
      <w:r>
        <w:rPr>
          <w:noProof/>
          <w:lang w:eastAsia="en-US"/>
        </w:rPr>
        <w:drawing>
          <wp:inline distT="0" distB="0" distL="0" distR="0" wp14:anchorId="08324577" wp14:editId="26F6CEEB">
            <wp:extent cx="4171847" cy="26323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4554" cy="2653002"/>
                    </a:xfrm>
                    <a:prstGeom prst="rect">
                      <a:avLst/>
                    </a:prstGeom>
                  </pic:spPr>
                </pic:pic>
              </a:graphicData>
            </a:graphic>
          </wp:inline>
        </w:drawing>
      </w:r>
    </w:p>
    <w:p w14:paraId="56ADC980" w14:textId="64181607" w:rsidR="00D47E45" w:rsidRDefault="00D47E45" w:rsidP="00E73445"/>
    <w:p w14:paraId="0B120547" w14:textId="7D5E8727" w:rsidR="00D47E45" w:rsidRDefault="00D47E45" w:rsidP="00E73445">
      <w:r>
        <w:t>Proposed change:</w:t>
      </w:r>
    </w:p>
    <w:p w14:paraId="2E73D942" w14:textId="2D6276A5"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1EFBCF6E" w:rsidR="00E3260B" w:rsidRDefault="00AF4317" w:rsidP="00E73445">
      <w:r>
        <w:pict w14:anchorId="08916660">
          <v:shape id="_x0000_i1026" type="#_x0000_t75" style="width:434.75pt;height:204.45pt">
            <v:imagedata r:id="rId9" o:title="fig-clause-10-convolution-encoder-(133,171)"/>
          </v:shape>
        </w:pict>
      </w:r>
    </w:p>
    <w:p w14:paraId="3C83951A" w14:textId="7C1CD46C" w:rsidR="00D47E45" w:rsidRDefault="00E3260B" w:rsidP="00E3260B">
      <w:pPr>
        <w:pStyle w:val="TG13CRCommentID"/>
      </w:pPr>
      <w:r>
        <w:br w:type="page"/>
      </w:r>
      <w:r w:rsidR="00BD03E9">
        <w:lastRenderedPageBreak/>
        <w:t xml:space="preserve">CID </w:t>
      </w:r>
      <w:r w:rsidRPr="00E3260B">
        <w:t>I-306</w:t>
      </w:r>
    </w:p>
    <w:p w14:paraId="756D00DB" w14:textId="50456CD1" w:rsidR="00E3260B" w:rsidRDefault="00E3260B" w:rsidP="00E3260B"/>
    <w:p w14:paraId="70FD1385" w14:textId="433D24D7" w:rsidR="00E3260B" w:rsidRDefault="003F2F14" w:rsidP="00E3260B">
      <w:pPr>
        <w:pStyle w:val="TG13CREditorinstruction"/>
      </w:pPr>
      <w:r>
        <w:t xml:space="preserve">Change the </w:t>
      </w:r>
      <w:r w:rsidR="00A72F97">
        <w:t xml:space="preserve">contents of </w:t>
      </w:r>
      <w:r w:rsidR="00A72F97" w:rsidRPr="00A72F97">
        <w:t>4.5.1</w:t>
      </w:r>
      <w:r>
        <w:t xml:space="preserve"> as follows</w:t>
      </w:r>
      <w:r w:rsidR="00E3260B">
        <w:t>:</w:t>
      </w:r>
    </w:p>
    <w:p w14:paraId="2332939D" w14:textId="4EB8C726" w:rsidR="003F2F14" w:rsidRDefault="003F2F14" w:rsidP="003F2F14"/>
    <w:p w14:paraId="7C810FE4" w14:textId="3BA1A375" w:rsidR="003F2F14" w:rsidRDefault="003F2F14" w:rsidP="00B12514">
      <w:pPr>
        <w:jc w:val="both"/>
      </w:pPr>
      <w:r>
        <w:t xml:space="preserve">The IEEE </w:t>
      </w:r>
      <w:proofErr w:type="gramStart"/>
      <w:r>
        <w:t>Std</w:t>
      </w:r>
      <w:proofErr w:type="gramEnd"/>
      <w:r>
        <w:t xml:space="preserve"> 802.15.13 architecture is defined in terms of</w:t>
      </w:r>
      <w:r w:rsidR="00C14EE5">
        <w:t xml:space="preserve"> layers</w:t>
      </w:r>
      <w:r w:rsidR="00BB73AC">
        <w:t>.</w:t>
      </w:r>
      <w:r w:rsidR="00040D5C">
        <w:t xml:space="preserve"> </w:t>
      </w:r>
      <w:r w:rsidR="00BB73AC">
        <w:t>The standard</w:t>
      </w:r>
      <w:r w:rsidR="00040D5C">
        <w:t xml:space="preserve"> includes </w:t>
      </w:r>
      <w:r w:rsidR="00BB73AC">
        <w:t xml:space="preserve">a </w:t>
      </w:r>
      <w:r w:rsidR="00040D5C">
        <w:t xml:space="preserve">specification of the </w:t>
      </w:r>
      <w:r>
        <w:t>PHY and MAC sublayer</w:t>
      </w:r>
      <w:r w:rsidR="00875A63">
        <w:t xml:space="preserve"> and their exposed interfaces</w:t>
      </w:r>
      <w:r>
        <w:t>. Each layer is responsible for one part of the standard and offers</w:t>
      </w:r>
      <w:r w:rsidR="005B571F">
        <w:t xml:space="preserve"> its</w:t>
      </w:r>
      <w:r>
        <w:t xml:space="preserve"> services to the next higher layer.</w:t>
      </w:r>
      <w:r w:rsidR="00875A63">
        <w:t xml:space="preserve"> Layers make use of service access points (SAPs) based on primitives, as described in the subclause 5.8 "Concept of primitives" in IEEE </w:t>
      </w:r>
      <w:proofErr w:type="gramStart"/>
      <w:r w:rsidR="00875A63">
        <w:t>Std</w:t>
      </w:r>
      <w:proofErr w:type="gramEnd"/>
      <w:r w:rsidR="00875A63">
        <w:t xml:space="preserve"> 802.15.4-2020.</w:t>
      </w:r>
      <w:r w:rsidR="00C21374">
        <w:t xml:space="preserve"> </w:t>
      </w:r>
      <w:r w:rsidR="00C21374" w:rsidRPr="00C21374">
        <w:rPr>
          <w:rStyle w:val="TG13CRTexttoadapt"/>
        </w:rPr>
        <w:t>Figure X</w:t>
      </w:r>
      <w:r w:rsidR="00C21374" w:rsidRPr="00B12514">
        <w:t xml:space="preserve"> depi</w:t>
      </w:r>
      <w:r w:rsidR="00B12514" w:rsidRPr="00B12514">
        <w:t xml:space="preserve">cts the </w:t>
      </w:r>
      <w:r w:rsidR="00B12514">
        <w:t>architecture of a single device</w:t>
      </w:r>
      <w:r w:rsidR="00863CFC">
        <w:t xml:space="preserve"> The MAC sublayer and PHY are described in more detail in </w:t>
      </w:r>
      <w:r w:rsidR="00863CFC" w:rsidRPr="00863CFC">
        <w:rPr>
          <w:rStyle w:val="TG13CRTexttoadapt"/>
        </w:rPr>
        <w:t>5.5.3 and 5.5.2</w:t>
      </w:r>
      <w:r w:rsidR="00B12514">
        <w:t>.</w:t>
      </w:r>
    </w:p>
    <w:p w14:paraId="2C4FE402" w14:textId="77777777" w:rsidR="00B12514" w:rsidRDefault="00B12514" w:rsidP="00C21374"/>
    <w:p w14:paraId="3131D369" w14:textId="2AF8E9E7" w:rsidR="00B12514" w:rsidRDefault="00AF4317" w:rsidP="00B12514">
      <w:pPr>
        <w:jc w:val="center"/>
      </w:pPr>
      <w:r>
        <w:rPr>
          <w:noProof/>
          <w:lang w:eastAsia="en-US"/>
        </w:rPr>
        <w:pict w14:anchorId="2A320EF9">
          <v:shape id="_x0000_i1027" type="#_x0000_t75" style="width:292.6pt;height:319.4pt">
            <v:imagedata r:id="rId10" o:title="fig-clause-5-architecture"/>
          </v:shape>
        </w:pict>
      </w:r>
    </w:p>
    <w:p w14:paraId="4405E513" w14:textId="00F5C163" w:rsidR="00B12514" w:rsidRDefault="00B12514" w:rsidP="00B12514">
      <w:pPr>
        <w:pStyle w:val="IEEEStdsRegularFigureCaption"/>
        <w:tabs>
          <w:tab w:val="clear" w:pos="403"/>
          <w:tab w:val="clear" w:pos="475"/>
          <w:tab w:val="clear" w:pos="547"/>
        </w:tabs>
        <w:ind w:left="717" w:hanging="360"/>
      </w:pPr>
      <w:r w:rsidRPr="006B4019">
        <w:rPr>
          <w:rStyle w:val="TG13CRTexttoadapt"/>
        </w:rPr>
        <w:t>Figure 5</w:t>
      </w:r>
      <w:r w:rsidRPr="00B12514">
        <w:t xml:space="preserve"> OWPAN device architecture</w:t>
      </w:r>
    </w:p>
    <w:p w14:paraId="60B60A48" w14:textId="38E34D45" w:rsidR="00A03336" w:rsidRDefault="00A03336" w:rsidP="00C21374">
      <w:pPr>
        <w:jc w:val="both"/>
      </w:pPr>
      <w:r>
        <w:t xml:space="preserve">The IEEE </w:t>
      </w:r>
      <w:proofErr w:type="gramStart"/>
      <w:r>
        <w:t>Std</w:t>
      </w:r>
      <w:proofErr w:type="gramEnd"/>
      <w:r>
        <w:t xml:space="preserve"> 802.15.13 MAC sublayer controls access to the medium for all types of transfers.</w:t>
      </w:r>
      <w:r w:rsidR="00863CFC">
        <w:t xml:space="preserve"> It provides the MCPS-SAP an</w:t>
      </w:r>
      <w:r w:rsidR="009E2DA1">
        <w:t>d MLME-SAP to the higher layers. Its</w:t>
      </w:r>
      <w:r w:rsidR="00863CFC">
        <w:t xml:space="preserve"> MCPS-SAP allows the next higher protocol layer to transmit MSDUs between peer IEEE </w:t>
      </w:r>
      <w:proofErr w:type="gramStart"/>
      <w:r w:rsidR="00863CFC">
        <w:t>Std</w:t>
      </w:r>
      <w:proofErr w:type="gramEnd"/>
      <w:r w:rsidR="00863CFC">
        <w:t xml:space="preserve"> 802.15</w:t>
      </w:r>
      <w:r w:rsidR="005E1F19">
        <w:t>.</w:t>
      </w:r>
      <w:r w:rsidR="00863CFC">
        <w:t xml:space="preserve">13 devices. </w:t>
      </w:r>
      <w:r w:rsidR="00863CFC" w:rsidRPr="00863CFC">
        <w:t xml:space="preserve">The higher layers </w:t>
      </w:r>
      <w:r w:rsidR="009E2DA1">
        <w:t>are</w:t>
      </w:r>
      <w:r w:rsidR="00863CFC">
        <w:t xml:space="preserve"> </w:t>
      </w:r>
      <w:r w:rsidR="00863CFC" w:rsidRPr="00863CFC">
        <w:t>a network layer, which provides network configuration, manipulation, and message routing, and an application layer, which provides the intended function of the device. The definition of these higher layers is outside the scope of this standard.</w:t>
      </w:r>
    </w:p>
    <w:p w14:paraId="16448774" w14:textId="77777777" w:rsidR="009E2DA1" w:rsidRDefault="009E2DA1" w:rsidP="00C21374">
      <w:pPr>
        <w:jc w:val="both"/>
      </w:pPr>
    </w:p>
    <w:p w14:paraId="108251C8" w14:textId="2CF0490C" w:rsidR="00A03336" w:rsidRDefault="00A03336" w:rsidP="00C21374">
      <w:pPr>
        <w:jc w:val="both"/>
      </w:pPr>
      <w:r>
        <w:t xml:space="preserve">Each device involves a device management entity (DME), responsible for managing </w:t>
      </w:r>
      <w:r w:rsidR="009E2DA1">
        <w:t>the device and OWPAN</w:t>
      </w:r>
      <w:r>
        <w:t>. The DME invokes MAC layer management entity (MLME) functionality through the MLME service access point (MLME-SAP).</w:t>
      </w:r>
      <w:r w:rsidR="009E2DA1">
        <w:t xml:space="preserve"> The MLME-SAP defines a </w:t>
      </w:r>
      <w:r w:rsidR="00152746">
        <w:t xml:space="preserve">set of essential primitives for network operation. Further functionality may be provided </w:t>
      </w:r>
      <w:r w:rsidR="00CF1A0F">
        <w:t xml:space="preserve">by the MAC sublayer to the DME </w:t>
      </w:r>
      <w:r w:rsidR="00EF7D56">
        <w:t>in an implementation</w:t>
      </w:r>
      <w:r w:rsidR="009E2DA1">
        <w:t>-specific manner.</w:t>
      </w:r>
    </w:p>
    <w:p w14:paraId="64B18DF9" w14:textId="77777777" w:rsidR="00D4302B" w:rsidRDefault="00D4302B" w:rsidP="00C21374">
      <w:pPr>
        <w:jc w:val="both"/>
      </w:pPr>
    </w:p>
    <w:p w14:paraId="1508DE38" w14:textId="6BDDCA9A" w:rsidR="00A1718E" w:rsidRDefault="003F2F14" w:rsidP="00C21374">
      <w:pPr>
        <w:jc w:val="both"/>
      </w:pPr>
      <w:r>
        <w:t>The PHY contains the optical wireless transceiver</w:t>
      </w:r>
      <w:r w:rsidR="00A1718E">
        <w:t>, which is responsible for turn</w:t>
      </w:r>
      <w:r w:rsidR="005B571F">
        <w:t>ing</w:t>
      </w:r>
      <w:r w:rsidR="00A1718E">
        <w:t xml:space="preserve"> a PSDU into a PPDU</w:t>
      </w:r>
      <w:r w:rsidR="00CC128E">
        <w:t xml:space="preserve"> for transmission</w:t>
      </w:r>
      <w:r w:rsidR="00A1718E">
        <w:t>.</w:t>
      </w:r>
      <w:r w:rsidR="00CC128E">
        <w:t xml:space="preserve"> </w:t>
      </w:r>
      <w:r w:rsidR="005E1F19">
        <w:t>Thus</w:t>
      </w:r>
      <w:r w:rsidR="00CC128E">
        <w:t>, a series of data bits</w:t>
      </w:r>
      <w:r w:rsidR="00C21374">
        <w:t xml:space="preserve"> from the MAC sublayer</w:t>
      </w:r>
      <w:r w:rsidR="00CC128E">
        <w:t>, is transformed into an analog signal through signal processing.</w:t>
      </w:r>
      <w:r w:rsidR="005E1F19">
        <w:t xml:space="preserve"> </w:t>
      </w:r>
      <w:r w:rsidR="00C844D0">
        <w:t>PSDUs, i.e., MPDUs from the MAC sublayer, are transferred through the PD-SAP of the PHY. Management functions of the PHY are invoked through the PLME-SAP.</w:t>
      </w:r>
    </w:p>
    <w:p w14:paraId="7623C8AF" w14:textId="55D6E66C" w:rsidR="006B4019" w:rsidRDefault="006B4019" w:rsidP="00C21374">
      <w:pPr>
        <w:jc w:val="both"/>
      </w:pPr>
    </w:p>
    <w:p w14:paraId="30529906" w14:textId="1B45CE2A" w:rsidR="006B4019" w:rsidRDefault="005E1F19" w:rsidP="00C21374">
      <w:pPr>
        <w:jc w:val="both"/>
        <w:rPr>
          <w:rStyle w:val="TG13CRTexttoadapt"/>
        </w:rPr>
      </w:pPr>
      <w:r>
        <w:t xml:space="preserve">The relationship between </w:t>
      </w:r>
      <w:r w:rsidR="006B4019">
        <w:t xml:space="preserve">data units of the different layers is depicted in </w:t>
      </w:r>
      <w:r w:rsidR="006B4019" w:rsidRPr="006B4019">
        <w:rPr>
          <w:rStyle w:val="TG13CRTexttoadapt"/>
        </w:rPr>
        <w:t>Figure X</w:t>
      </w:r>
      <w:r w:rsidR="006B4019">
        <w:rPr>
          <w:rStyle w:val="TG13CRTexttoadapt"/>
        </w:rPr>
        <w:t>.</w:t>
      </w:r>
    </w:p>
    <w:p w14:paraId="54060E13" w14:textId="0756CA52" w:rsidR="006B4019" w:rsidRDefault="006B4019" w:rsidP="00C21374">
      <w:pPr>
        <w:jc w:val="both"/>
        <w:rPr>
          <w:rStyle w:val="TG13CRTexttoadapt"/>
        </w:rPr>
      </w:pPr>
    </w:p>
    <w:p w14:paraId="279C4FFB" w14:textId="580723A9" w:rsidR="006B4019" w:rsidRDefault="00AF4317" w:rsidP="006B4019">
      <w:pPr>
        <w:jc w:val="center"/>
        <w:rPr>
          <w:rStyle w:val="TG13CRTexttoadapt"/>
        </w:rPr>
      </w:pPr>
      <w:r w:rsidRPr="009956EB">
        <w:rPr>
          <w:rStyle w:val="TG13CRTexttoadapt"/>
          <w:color w:val="000000" w:themeColor="text1"/>
        </w:rPr>
        <w:pict w14:anchorId="24EFFF6F">
          <v:shape id="_x0000_i1028" type="#_x0000_t75" style="width:292.6pt;height:208.6pt">
            <v:imagedata r:id="rId11" o:title="fig-clause-5-Relationship between data units"/>
          </v:shape>
        </w:pict>
      </w:r>
    </w:p>
    <w:p w14:paraId="10AC2DAD" w14:textId="3BBAA832" w:rsidR="006B4019" w:rsidRDefault="006B4019" w:rsidP="006B4019">
      <w:pPr>
        <w:jc w:val="center"/>
      </w:pPr>
      <w:r w:rsidRPr="006B4019">
        <w:rPr>
          <w:rStyle w:val="TG13CRTexttoadapt"/>
        </w:rPr>
        <w:t>Figure X</w:t>
      </w:r>
      <w:r w:rsidRPr="00B12514">
        <w:t xml:space="preserve"> </w:t>
      </w:r>
      <w:r>
        <w:t>Relationship between data units</w:t>
      </w:r>
      <w:r w:rsidR="00D57892">
        <w:t xml:space="preserve"> of the different layers</w:t>
      </w:r>
    </w:p>
    <w:p w14:paraId="4B56BCA2" w14:textId="631D3A3F" w:rsidR="005B571F" w:rsidRDefault="005B571F" w:rsidP="003F2F14"/>
    <w:p w14:paraId="6E2FB522" w14:textId="4476A984" w:rsidR="00864C79" w:rsidRDefault="005B571F" w:rsidP="005B571F">
      <w:pPr>
        <w:pStyle w:val="TG13CREditorinstruction"/>
      </w:pPr>
      <w:r>
        <w:t>Ensure that acronyms in the aforementioned change are correctly expanded.</w:t>
      </w:r>
    </w:p>
    <w:p w14:paraId="1751F32A" w14:textId="77777777" w:rsidR="00864C79" w:rsidRDefault="00864C79">
      <w:pPr>
        <w:rPr>
          <w:b/>
          <w:i/>
        </w:rPr>
      </w:pPr>
      <w:r>
        <w:br w:type="page"/>
      </w:r>
    </w:p>
    <w:p w14:paraId="715E29CE" w14:textId="2423991C" w:rsidR="005B571F" w:rsidRDefault="00864C79" w:rsidP="00864C79">
      <w:pPr>
        <w:pStyle w:val="TG13CRCommentID"/>
      </w:pPr>
      <w:r>
        <w:lastRenderedPageBreak/>
        <w:t xml:space="preserve">CID </w:t>
      </w:r>
      <w:r w:rsidRPr="00864C79">
        <w:t>I-40</w:t>
      </w:r>
    </w:p>
    <w:p w14:paraId="04B59AF2" w14:textId="4605EC3D" w:rsidR="00864C79" w:rsidRDefault="00864C79" w:rsidP="00864C79"/>
    <w:p w14:paraId="6C44AE15" w14:textId="7318E890" w:rsidR="00864C79" w:rsidRDefault="00864C79" w:rsidP="00DB3050">
      <w:pPr>
        <w:pStyle w:val="TG13CREditorinstruction"/>
      </w:pPr>
      <w:r>
        <w:t xml:space="preserve">Replace </w:t>
      </w:r>
      <w:r w:rsidR="00DB3050">
        <w:t xml:space="preserve">figure 7 with the following </w:t>
      </w:r>
      <w:r w:rsidR="009956EB">
        <w:t>graphic</w:t>
      </w:r>
      <w:bookmarkStart w:id="11" w:name="_GoBack"/>
      <w:bookmarkEnd w:id="11"/>
      <w:r w:rsidR="00DB3050">
        <w:t>:</w:t>
      </w:r>
    </w:p>
    <w:p w14:paraId="376799E3" w14:textId="1C876E5C" w:rsidR="00DB3050" w:rsidRDefault="00DB3050" w:rsidP="00DB3050"/>
    <w:p w14:paraId="12A1918C" w14:textId="56E920AB" w:rsidR="00DB3050" w:rsidRDefault="00AF4317" w:rsidP="00DB3050">
      <w:r>
        <w:pict w14:anchorId="4215BC64">
          <v:shape id="_x0000_i1029" type="#_x0000_t75" style="width:444pt;height:117.25pt">
            <v:imagedata r:id="rId12" o:title="fig-clause-6-The MAC transmit process"/>
          </v:shape>
        </w:pict>
      </w:r>
    </w:p>
    <w:p w14:paraId="48971FE1" w14:textId="68AED9D2" w:rsidR="00DB3050" w:rsidRDefault="00DB3050" w:rsidP="00DB3050"/>
    <w:p w14:paraId="16E73A63" w14:textId="6CD2258D" w:rsidR="00DB3050" w:rsidRDefault="00DB3050" w:rsidP="00DB3050">
      <w:pPr>
        <w:pStyle w:val="TG13CREditorinstruction"/>
      </w:pPr>
      <w:r>
        <w:t>Add the following text after P34L18:</w:t>
      </w:r>
    </w:p>
    <w:p w14:paraId="54F77880" w14:textId="34D69E18" w:rsidR="00DB3050" w:rsidRDefault="00DB3050" w:rsidP="00DB3050"/>
    <w:p w14:paraId="287BBF29" w14:textId="6C0789B8" w:rsidR="00DB3050" w:rsidRPr="00DB3050" w:rsidRDefault="00DB3050" w:rsidP="00DB3050">
      <w:r>
        <w:t>Outgoing MPDUs with ACK request should be buffered to allow later retransmission.</w:t>
      </w:r>
    </w:p>
    <w:sectPr w:rsidR="00DB3050" w:rsidRPr="00DB3050">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3C5D" w14:textId="77777777" w:rsidR="00914C8E" w:rsidRDefault="00914C8E">
      <w:r>
        <w:separator/>
      </w:r>
    </w:p>
  </w:endnote>
  <w:endnote w:type="continuationSeparator" w:id="0">
    <w:p w14:paraId="3CBAB903" w14:textId="77777777" w:rsidR="00914C8E" w:rsidRDefault="0091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361CD4BF" w:rsidR="00914C8E" w:rsidRDefault="00914C8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956EB">
      <w:fldChar w:fldCharType="begin"/>
    </w:r>
    <w:r w:rsidR="009956EB">
      <w:instrText xml:space="preserve"> AUTHOR  \* MERGEFORMAT </w:instrText>
    </w:r>
    <w:r w:rsidR="009956EB">
      <w:fldChar w:fldCharType="separate"/>
    </w:r>
    <w:r w:rsidR="00AF4317">
      <w:rPr>
        <w:noProof/>
      </w:rPr>
      <w:t>Bober, Kai Lennert</w:t>
    </w:r>
    <w:r w:rsidR="009956EB">
      <w:rPr>
        <w:noProof/>
      </w:rPr>
      <w:fldChar w:fldCharType="end"/>
    </w:r>
    <w:r>
      <w:t xml:space="preserve">, </w:t>
    </w:r>
    <w:r w:rsidR="009956EB">
      <w:fldChar w:fldCharType="begin"/>
    </w:r>
    <w:r w:rsidR="009956EB">
      <w:instrText xml:space="preserve"> DOCPROPERTY "Company"  \* MERGEFORMAT </w:instrText>
    </w:r>
    <w:r w:rsidR="009956EB">
      <w:fldChar w:fldCharType="separate"/>
    </w:r>
    <w:r w:rsidR="00AF4317">
      <w:t>Fraunhofer HHI</w:t>
    </w:r>
    <w:r w:rsidR="009956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914C8E" w:rsidRDefault="00914C8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8733" w14:textId="77777777" w:rsidR="00914C8E" w:rsidRDefault="00914C8E">
      <w:r>
        <w:separator/>
      </w:r>
    </w:p>
  </w:footnote>
  <w:footnote w:type="continuationSeparator" w:id="0">
    <w:p w14:paraId="40176056" w14:textId="77777777" w:rsidR="00914C8E" w:rsidRDefault="0091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066B6133" w:rsidR="00914C8E" w:rsidRDefault="00914C8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F4317">
      <w:rPr>
        <w:b/>
        <w:noProof/>
        <w:sz w:val="28"/>
      </w:rPr>
      <w:t>May</w:t>
    </w:r>
    <w:r w:rsidR="00AF4317">
      <w:rPr>
        <w:b/>
        <w:noProof/>
        <w:sz w:val="28"/>
      </w:rPr>
      <w:t xml:space="preserve">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F4317">
      <w:rPr>
        <w:b/>
        <w:sz w:val="28"/>
      </w:rPr>
      <w:t>15-21-0194-03-0013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914C8E" w:rsidRDefault="00914C8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24397"/>
    <w:rsid w:val="000379C8"/>
    <w:rsid w:val="00040D5C"/>
    <w:rsid w:val="00044543"/>
    <w:rsid w:val="00050770"/>
    <w:rsid w:val="00054F68"/>
    <w:rsid w:val="000561FA"/>
    <w:rsid w:val="000A4665"/>
    <w:rsid w:val="0010339F"/>
    <w:rsid w:val="0011147D"/>
    <w:rsid w:val="00112160"/>
    <w:rsid w:val="0015129B"/>
    <w:rsid w:val="00152746"/>
    <w:rsid w:val="00176925"/>
    <w:rsid w:val="001D2727"/>
    <w:rsid w:val="00263C33"/>
    <w:rsid w:val="002717B8"/>
    <w:rsid w:val="002927C1"/>
    <w:rsid w:val="00297B10"/>
    <w:rsid w:val="002B7686"/>
    <w:rsid w:val="002D4455"/>
    <w:rsid w:val="00302004"/>
    <w:rsid w:val="00312806"/>
    <w:rsid w:val="00315424"/>
    <w:rsid w:val="00325641"/>
    <w:rsid w:val="003758E1"/>
    <w:rsid w:val="003829A3"/>
    <w:rsid w:val="003A3F8E"/>
    <w:rsid w:val="003B2BEC"/>
    <w:rsid w:val="003C0B3F"/>
    <w:rsid w:val="003D5500"/>
    <w:rsid w:val="003F2F14"/>
    <w:rsid w:val="004159A9"/>
    <w:rsid w:val="00421151"/>
    <w:rsid w:val="00425812"/>
    <w:rsid w:val="00447DBB"/>
    <w:rsid w:val="004B13F4"/>
    <w:rsid w:val="004C4591"/>
    <w:rsid w:val="00500FDD"/>
    <w:rsid w:val="00511D99"/>
    <w:rsid w:val="00544494"/>
    <w:rsid w:val="0059474C"/>
    <w:rsid w:val="005A65E1"/>
    <w:rsid w:val="005A7358"/>
    <w:rsid w:val="005B1F35"/>
    <w:rsid w:val="005B571F"/>
    <w:rsid w:val="005E1F19"/>
    <w:rsid w:val="005F0D4C"/>
    <w:rsid w:val="00670D41"/>
    <w:rsid w:val="006A238B"/>
    <w:rsid w:val="006B4019"/>
    <w:rsid w:val="007333E3"/>
    <w:rsid w:val="007560ED"/>
    <w:rsid w:val="007612ED"/>
    <w:rsid w:val="0078158F"/>
    <w:rsid w:val="008061E3"/>
    <w:rsid w:val="0084672F"/>
    <w:rsid w:val="00853390"/>
    <w:rsid w:val="00863CFC"/>
    <w:rsid w:val="00864C79"/>
    <w:rsid w:val="0087401A"/>
    <w:rsid w:val="00875A63"/>
    <w:rsid w:val="008B3059"/>
    <w:rsid w:val="008C6CCD"/>
    <w:rsid w:val="008D4F05"/>
    <w:rsid w:val="00905621"/>
    <w:rsid w:val="00912D83"/>
    <w:rsid w:val="00914C8E"/>
    <w:rsid w:val="009504DA"/>
    <w:rsid w:val="00952C45"/>
    <w:rsid w:val="009667E3"/>
    <w:rsid w:val="009956EB"/>
    <w:rsid w:val="009B62AE"/>
    <w:rsid w:val="009C1225"/>
    <w:rsid w:val="009D07F4"/>
    <w:rsid w:val="009E2DA1"/>
    <w:rsid w:val="00A03336"/>
    <w:rsid w:val="00A1718E"/>
    <w:rsid w:val="00A25F2B"/>
    <w:rsid w:val="00A430CA"/>
    <w:rsid w:val="00A43E9E"/>
    <w:rsid w:val="00A47071"/>
    <w:rsid w:val="00A53CDA"/>
    <w:rsid w:val="00A72F97"/>
    <w:rsid w:val="00A91069"/>
    <w:rsid w:val="00AB08DD"/>
    <w:rsid w:val="00AF4317"/>
    <w:rsid w:val="00B01FA6"/>
    <w:rsid w:val="00B12514"/>
    <w:rsid w:val="00B37C4A"/>
    <w:rsid w:val="00B964A3"/>
    <w:rsid w:val="00BB3C11"/>
    <w:rsid w:val="00BB73AC"/>
    <w:rsid w:val="00BD03E9"/>
    <w:rsid w:val="00C14EE5"/>
    <w:rsid w:val="00C1739E"/>
    <w:rsid w:val="00C21374"/>
    <w:rsid w:val="00C27F64"/>
    <w:rsid w:val="00C54938"/>
    <w:rsid w:val="00C844D0"/>
    <w:rsid w:val="00CC128E"/>
    <w:rsid w:val="00CF1A0F"/>
    <w:rsid w:val="00D17C36"/>
    <w:rsid w:val="00D4302B"/>
    <w:rsid w:val="00D47E45"/>
    <w:rsid w:val="00D57892"/>
    <w:rsid w:val="00D67F3D"/>
    <w:rsid w:val="00D80385"/>
    <w:rsid w:val="00D95144"/>
    <w:rsid w:val="00DB3050"/>
    <w:rsid w:val="00DB6329"/>
    <w:rsid w:val="00E3260B"/>
    <w:rsid w:val="00E401B9"/>
    <w:rsid w:val="00E73445"/>
    <w:rsid w:val="00EA282A"/>
    <w:rsid w:val="00EB5DD3"/>
    <w:rsid w:val="00ED0E64"/>
    <w:rsid w:val="00EE3CF5"/>
    <w:rsid w:val="00EF7D56"/>
    <w:rsid w:val="00F032AA"/>
    <w:rsid w:val="00F13930"/>
    <w:rsid w:val="00F32401"/>
    <w:rsid w:val="00F32651"/>
    <w:rsid w:val="00F80D79"/>
    <w:rsid w:val="00F9170B"/>
    <w:rsid w:val="00FB65F8"/>
    <w:rsid w:val="00FD59F7"/>
    <w:rsid w:val="00FF0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9146718"/>
  <w15:chartTrackingRefBased/>
  <w15:docId w15:val="{5DE460CD-610E-4C85-9CAE-05589F12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325641"/>
    <w:pPr>
      <w:pageBreakBefore w:val="0"/>
      <w:numPr>
        <w:ilvl w:val="1"/>
      </w:numPr>
      <w:outlineLvl w:val="1"/>
    </w:pPr>
    <w:rPr>
      <w:sz w:val="22"/>
    </w:rPr>
  </w:style>
  <w:style w:type="character" w:customStyle="1" w:styleId="IEEEStdsLevel2HeaderChar">
    <w:name w:val="IEEEStds Level 2 Header Char"/>
    <w:link w:val="IEEEStdsLevel2Header"/>
    <w:rsid w:val="00325641"/>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5B1F35"/>
    <w:pPr>
      <w:ind w:left="720"/>
      <w:contextualSpacing/>
    </w:pPr>
  </w:style>
  <w:style w:type="paragraph" w:customStyle="1" w:styleId="IEEEStdsRegularFigureCaption">
    <w:name w:val="IEEEStds Regular Figure Caption"/>
    <w:basedOn w:val="Normal"/>
    <w:next w:val="Normal"/>
    <w:rsid w:val="00A91069"/>
    <w:pPr>
      <w:keepLines/>
      <w:tabs>
        <w:tab w:val="left" w:pos="403"/>
        <w:tab w:val="left" w:pos="475"/>
        <w:tab w:val="left" w:pos="547"/>
      </w:tabs>
      <w:suppressAutoHyphens/>
      <w:spacing w:before="120" w:after="36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11</Pages>
  <Words>1861</Words>
  <Characters>9606</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&lt;street address&gt;_x000d_
TELEPHONE: &lt;phone#&gt;_x000d_
FAX: &lt;fax#&gt;_x000d_
EMAIL: &lt;email&gt;</dc:description>
  <cp:lastModifiedBy>Bober, Kai Lennert</cp:lastModifiedBy>
  <cp:revision>39</cp:revision>
  <cp:lastPrinted>1899-12-31T23:00:00Z</cp:lastPrinted>
  <dcterms:created xsi:type="dcterms:W3CDTF">2021-03-11T08:33:00Z</dcterms:created>
  <dcterms:modified xsi:type="dcterms:W3CDTF">2021-05-31T08:57:00Z</dcterms:modified>
  <cp:category>15-21-0194-03-0013</cp:category>
</cp:coreProperties>
</file>