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6C" w:rsidRDefault="00497799">
      <w:r>
        <w:t>IEEE P802.15</w:t>
      </w:r>
    </w:p>
    <w:p w:rsidR="009C766C" w:rsidRDefault="00497799">
      <w:r>
        <w:t>Wireless Personal Area Networks</w:t>
      </w:r>
    </w:p>
    <w:p w:rsidR="009C766C" w:rsidRDefault="009C766C"/>
    <w:tbl>
      <w:tblPr>
        <w:tblW w:w="9450" w:type="dxa"/>
        <w:tblBorders>
          <w:top w:val="single" w:sz="6" w:space="0" w:color="000000"/>
        </w:tblBorders>
        <w:tblLook w:val="0000" w:firstRow="0" w:lastRow="0" w:firstColumn="0" w:lastColumn="0" w:noHBand="0" w:noVBand="0"/>
      </w:tblPr>
      <w:tblGrid>
        <w:gridCol w:w="1260"/>
        <w:gridCol w:w="4050"/>
        <w:gridCol w:w="4140"/>
      </w:tblGrid>
      <w:tr w:rsidR="009C766C">
        <w:tc>
          <w:tcPr>
            <w:tcW w:w="1260" w:type="dxa"/>
            <w:tcBorders>
              <w:top w:val="single" w:sz="6" w:space="0" w:color="000000"/>
            </w:tcBorders>
            <w:shd w:val="clear" w:color="auto" w:fill="auto"/>
          </w:tcPr>
          <w:p w:rsidR="009C766C" w:rsidRDefault="00497799">
            <w:pPr>
              <w:pStyle w:val="covertext"/>
            </w:pPr>
            <w:r>
              <w:t>Project</w:t>
            </w:r>
          </w:p>
        </w:tc>
        <w:tc>
          <w:tcPr>
            <w:tcW w:w="8190" w:type="dxa"/>
            <w:gridSpan w:val="2"/>
            <w:tcBorders>
              <w:top w:val="single" w:sz="6" w:space="0" w:color="000000"/>
            </w:tcBorders>
            <w:shd w:val="clear" w:color="auto" w:fill="auto"/>
          </w:tcPr>
          <w:p w:rsidR="009C766C" w:rsidRDefault="00497799">
            <w:pPr>
              <w:pStyle w:val="covertext"/>
            </w:pPr>
            <w:r>
              <w:t>IEEE P802.15 Working Group for Wireless Personal Area Networks (WPANs)</w:t>
            </w:r>
          </w:p>
        </w:tc>
      </w:tr>
      <w:tr w:rsidR="009C766C">
        <w:tc>
          <w:tcPr>
            <w:tcW w:w="1260" w:type="dxa"/>
            <w:tcBorders>
              <w:top w:val="single" w:sz="6" w:space="0" w:color="000000"/>
            </w:tcBorders>
            <w:shd w:val="clear" w:color="auto" w:fill="auto"/>
          </w:tcPr>
          <w:p w:rsidR="009C766C" w:rsidRDefault="00497799">
            <w:pPr>
              <w:pStyle w:val="covertext"/>
            </w:pPr>
            <w:r>
              <w:t>Title</w:t>
            </w:r>
          </w:p>
        </w:tc>
        <w:tc>
          <w:tcPr>
            <w:tcW w:w="8190" w:type="dxa"/>
            <w:gridSpan w:val="2"/>
            <w:tcBorders>
              <w:top w:val="single" w:sz="6" w:space="0" w:color="000000"/>
            </w:tcBorders>
            <w:shd w:val="clear" w:color="auto" w:fill="auto"/>
          </w:tcPr>
          <w:p w:rsidR="009C766C" w:rsidRDefault="00497799" w:rsidP="004462D9">
            <w:pPr>
              <w:pStyle w:val="covertext"/>
            </w:pPr>
            <w:r>
              <w:t xml:space="preserve">TG9ma </w:t>
            </w:r>
            <w:r w:rsidR="004462D9">
              <w:t>March 2021 Plenary Meeting Minutes</w:t>
            </w:r>
          </w:p>
        </w:tc>
      </w:tr>
      <w:tr w:rsidR="009C766C">
        <w:tc>
          <w:tcPr>
            <w:tcW w:w="1260" w:type="dxa"/>
            <w:tcBorders>
              <w:top w:val="single" w:sz="6" w:space="0" w:color="000000"/>
            </w:tcBorders>
            <w:shd w:val="clear" w:color="auto" w:fill="auto"/>
          </w:tcPr>
          <w:p w:rsidR="009C766C" w:rsidRDefault="00497799">
            <w:pPr>
              <w:pStyle w:val="covertext"/>
            </w:pPr>
            <w:r>
              <w:t>Date Submitted</w:t>
            </w:r>
          </w:p>
        </w:tc>
        <w:tc>
          <w:tcPr>
            <w:tcW w:w="8190" w:type="dxa"/>
            <w:gridSpan w:val="2"/>
            <w:tcBorders>
              <w:top w:val="single" w:sz="6" w:space="0" w:color="000000"/>
            </w:tcBorders>
            <w:shd w:val="clear" w:color="auto" w:fill="auto"/>
          </w:tcPr>
          <w:p w:rsidR="009C766C" w:rsidRDefault="004462D9" w:rsidP="004462D9">
            <w:pPr>
              <w:pStyle w:val="covertext"/>
            </w:pPr>
            <w:r>
              <w:t>16</w:t>
            </w:r>
            <w:r w:rsidR="00497799">
              <w:t xml:space="preserve"> </w:t>
            </w:r>
            <w:r>
              <w:t>March</w:t>
            </w:r>
            <w:r w:rsidR="002D2CBD">
              <w:t xml:space="preserve"> 2021</w:t>
            </w:r>
          </w:p>
        </w:tc>
      </w:tr>
      <w:tr w:rsidR="009C766C">
        <w:tc>
          <w:tcPr>
            <w:tcW w:w="1260" w:type="dxa"/>
            <w:tcBorders>
              <w:top w:val="single" w:sz="4" w:space="0" w:color="000000"/>
              <w:bottom w:val="single" w:sz="4" w:space="0" w:color="000000"/>
            </w:tcBorders>
            <w:shd w:val="clear" w:color="auto" w:fill="auto"/>
          </w:tcPr>
          <w:p w:rsidR="009C766C" w:rsidRDefault="00497799">
            <w:pPr>
              <w:pStyle w:val="covertext"/>
            </w:pPr>
            <w:r>
              <w:t>Source</w:t>
            </w:r>
          </w:p>
        </w:tc>
        <w:tc>
          <w:tcPr>
            <w:tcW w:w="4050" w:type="dxa"/>
            <w:tcBorders>
              <w:top w:val="single" w:sz="4" w:space="0" w:color="000000"/>
              <w:bottom w:val="single" w:sz="4" w:space="0" w:color="000000"/>
            </w:tcBorders>
            <w:shd w:val="clear" w:color="auto" w:fill="auto"/>
          </w:tcPr>
          <w:p w:rsidR="009C766C" w:rsidRDefault="002D2CBD">
            <w:pPr>
              <w:pStyle w:val="covertext"/>
            </w:pPr>
            <w:r>
              <w:t>Peter Yee</w:t>
            </w:r>
          </w:p>
        </w:tc>
        <w:tc>
          <w:tcPr>
            <w:tcW w:w="4140" w:type="dxa"/>
            <w:tcBorders>
              <w:top w:val="single" w:sz="4" w:space="0" w:color="000000"/>
              <w:bottom w:val="single" w:sz="4" w:space="0" w:color="000000"/>
            </w:tcBorders>
            <w:shd w:val="clear" w:color="auto" w:fill="auto"/>
          </w:tcPr>
          <w:p w:rsidR="009C766C" w:rsidRDefault="00497799" w:rsidP="002D2CBD">
            <w:pPr>
              <w:pStyle w:val="covertext"/>
            </w:pPr>
            <w:r>
              <w:t>E-mail:</w:t>
            </w:r>
            <w:r>
              <w:tab/>
            </w:r>
            <w:r w:rsidR="002D2CBD">
              <w:t>peter@akayla.com</w:t>
            </w:r>
          </w:p>
        </w:tc>
      </w:tr>
      <w:tr w:rsidR="009C766C">
        <w:tc>
          <w:tcPr>
            <w:tcW w:w="1260" w:type="dxa"/>
            <w:tcBorders>
              <w:top w:val="single" w:sz="6" w:space="0" w:color="000000"/>
            </w:tcBorders>
            <w:shd w:val="clear" w:color="auto" w:fill="auto"/>
          </w:tcPr>
          <w:p w:rsidR="009C766C" w:rsidRDefault="00497799">
            <w:pPr>
              <w:pStyle w:val="covertext"/>
            </w:pPr>
            <w:r>
              <w:t>Re:</w:t>
            </w:r>
          </w:p>
        </w:tc>
        <w:tc>
          <w:tcPr>
            <w:tcW w:w="8190" w:type="dxa"/>
            <w:gridSpan w:val="2"/>
            <w:tcBorders>
              <w:top w:val="single" w:sz="6" w:space="0" w:color="000000"/>
            </w:tcBorders>
            <w:shd w:val="clear" w:color="auto" w:fill="auto"/>
          </w:tcPr>
          <w:p w:rsidR="009C766C" w:rsidRDefault="002D2CBD" w:rsidP="002D2CBD">
            <w:pPr>
              <w:pStyle w:val="covertext"/>
            </w:pPr>
            <w:r>
              <w:t>January 2021</w:t>
            </w:r>
            <w:r w:rsidR="00497799">
              <w:t xml:space="preserve"> TG9ma meeting</w:t>
            </w:r>
          </w:p>
        </w:tc>
      </w:tr>
      <w:tr w:rsidR="009C766C">
        <w:tc>
          <w:tcPr>
            <w:tcW w:w="1260" w:type="dxa"/>
            <w:tcBorders>
              <w:top w:val="single" w:sz="6" w:space="0" w:color="000000"/>
            </w:tcBorders>
            <w:shd w:val="clear" w:color="auto" w:fill="auto"/>
          </w:tcPr>
          <w:p w:rsidR="009C766C" w:rsidRDefault="00497799">
            <w:pPr>
              <w:pStyle w:val="covertext"/>
            </w:pPr>
            <w:r>
              <w:t>Abstract</w:t>
            </w:r>
          </w:p>
        </w:tc>
        <w:tc>
          <w:tcPr>
            <w:tcW w:w="8190" w:type="dxa"/>
            <w:gridSpan w:val="2"/>
            <w:tcBorders>
              <w:top w:val="single" w:sz="6" w:space="0" w:color="000000"/>
            </w:tcBorders>
            <w:shd w:val="clear" w:color="auto" w:fill="auto"/>
          </w:tcPr>
          <w:p w:rsidR="009C766C" w:rsidRDefault="00497799" w:rsidP="004462D9">
            <w:pPr>
              <w:pStyle w:val="covertext"/>
            </w:pPr>
            <w:r>
              <w:t xml:space="preserve">Meeting minutes for the </w:t>
            </w:r>
            <w:r w:rsidR="002D2CBD">
              <w:t>January 2021</w:t>
            </w:r>
            <w:r>
              <w:t xml:space="preserve"> virtual </w:t>
            </w:r>
            <w:r w:rsidR="004462D9">
              <w:t>plenary</w:t>
            </w:r>
            <w:r>
              <w:t xml:space="preserve"> meeting</w:t>
            </w:r>
          </w:p>
        </w:tc>
      </w:tr>
      <w:tr w:rsidR="009C766C">
        <w:tc>
          <w:tcPr>
            <w:tcW w:w="1260" w:type="dxa"/>
            <w:tcBorders>
              <w:top w:val="single" w:sz="6" w:space="0" w:color="000000"/>
            </w:tcBorders>
            <w:shd w:val="clear" w:color="auto" w:fill="auto"/>
          </w:tcPr>
          <w:p w:rsidR="009C766C" w:rsidRDefault="00497799">
            <w:pPr>
              <w:pStyle w:val="covertext"/>
            </w:pPr>
            <w:r>
              <w:t>Purpose</w:t>
            </w:r>
          </w:p>
        </w:tc>
        <w:tc>
          <w:tcPr>
            <w:tcW w:w="8190" w:type="dxa"/>
            <w:gridSpan w:val="2"/>
            <w:tcBorders>
              <w:top w:val="single" w:sz="6" w:space="0" w:color="000000"/>
            </w:tcBorders>
            <w:shd w:val="clear" w:color="auto" w:fill="auto"/>
          </w:tcPr>
          <w:p w:rsidR="009C766C" w:rsidRDefault="00497799">
            <w:pPr>
              <w:pStyle w:val="covertext"/>
            </w:pPr>
            <w:r>
              <w:t>Provide meeting minutes</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Notice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Release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The contributor acknowledges and accepts that this contribution becomes the property of IEEE and may be made publicly available by P802.15.</w:t>
            </w:r>
          </w:p>
        </w:tc>
      </w:tr>
    </w:tbl>
    <w:p w:rsidR="009C766C" w:rsidRDefault="00497799">
      <w:r>
        <w:br w:type="page"/>
      </w:r>
    </w:p>
    <w:p w:rsidR="009C766C" w:rsidRDefault="00497799">
      <w:pPr>
        <w:pStyle w:val="Heading1"/>
        <w:numPr>
          <w:ilvl w:val="0"/>
          <w:numId w:val="2"/>
        </w:numPr>
      </w:pPr>
      <w:r>
        <w:lastRenderedPageBreak/>
        <w:t>IEEE 802.15 Task Group 9ma (KMP Transport Updates)</w:t>
      </w:r>
    </w:p>
    <w:p w:rsidR="009C766C" w:rsidRDefault="002D2CBD">
      <w:pPr>
        <w:pStyle w:val="Heading2"/>
        <w:numPr>
          <w:ilvl w:val="1"/>
          <w:numId w:val="2"/>
        </w:numPr>
      </w:pPr>
      <w:r>
        <w:t>Monday</w:t>
      </w:r>
      <w:r w:rsidR="00497799">
        <w:t xml:space="preserve">, </w:t>
      </w:r>
      <w:r w:rsidR="005F3299">
        <w:t>March 15</w:t>
      </w:r>
      <w:r>
        <w:t>, 2021</w:t>
      </w:r>
    </w:p>
    <w:p w:rsidR="002D2CBD" w:rsidRDefault="009C32C8" w:rsidP="001D0B1D">
      <w:pPr>
        <w:pStyle w:val="ListParagraph"/>
        <w:numPr>
          <w:ilvl w:val="0"/>
          <w:numId w:val="2"/>
        </w:numPr>
        <w:spacing w:before="120" w:after="120"/>
        <w:ind w:left="0" w:firstLine="0"/>
        <w:contextualSpacing w:val="0"/>
      </w:pPr>
      <w:r>
        <w:t xml:space="preserve">The </w:t>
      </w:r>
      <w:r w:rsidR="005552F2">
        <w:t>task group chair, Tero Kivinen</w:t>
      </w:r>
      <w:r>
        <w:t xml:space="preserve">, called the meeting to order at </w:t>
      </w:r>
      <w:r w:rsidR="005F3299">
        <w:t>12:04 p.m. ED</w:t>
      </w:r>
      <w:r w:rsidR="002D2CBD">
        <w:t>T on 1</w:t>
      </w:r>
      <w:r w:rsidR="005F3299">
        <w:t>5</w:t>
      </w:r>
      <w:r w:rsidR="002D2CBD">
        <w:t xml:space="preserve"> </w:t>
      </w:r>
      <w:r w:rsidR="005F3299">
        <w:t>March</w:t>
      </w:r>
      <w:r w:rsidR="002D2CBD">
        <w:t xml:space="preserve"> 2021. </w:t>
      </w:r>
      <w:r>
        <w:t>Kivinen made a</w:t>
      </w:r>
      <w:r w:rsidR="002D2CBD">
        <w:t xml:space="preserve"> call for essential </w:t>
      </w:r>
      <w:r w:rsidR="005552F2">
        <w:t>patents;</w:t>
      </w:r>
      <w:r w:rsidR="002D2CBD">
        <w:t xml:space="preserve"> however no one offered anything in response.</w:t>
      </w:r>
    </w:p>
    <w:p w:rsidR="002D2CBD" w:rsidRDefault="002D2CBD" w:rsidP="001D0B1D">
      <w:pPr>
        <w:pStyle w:val="ListParagraph"/>
        <w:numPr>
          <w:ilvl w:val="0"/>
          <w:numId w:val="2"/>
        </w:numPr>
        <w:spacing w:before="120" w:after="120"/>
        <w:ind w:left="0" w:firstLine="0"/>
        <w:contextualSpacing w:val="0"/>
      </w:pPr>
      <w:r>
        <w:t>The agenda (</w:t>
      </w:r>
      <w:hyperlink r:id="rId8" w:history="1">
        <w:r w:rsidR="001D0B1D">
          <w:rPr>
            <w:rStyle w:val="Hyperlink"/>
          </w:rPr>
          <w:t>15-21/0144r00</w:t>
        </w:r>
      </w:hyperlink>
      <w:r>
        <w:t xml:space="preserve">) was agreed to by unanimous consent. </w:t>
      </w:r>
      <w:r w:rsidR="001D0B1D">
        <w:t>A</w:t>
      </w:r>
      <w:r>
        <w:t xml:space="preserve"> motion </w:t>
      </w:r>
      <w:r w:rsidR="001D0B1D">
        <w:t>to confirm the minutes (</w:t>
      </w:r>
      <w:hyperlink r:id="rId9" w:history="1">
        <w:r w:rsidR="001D0B1D">
          <w:rPr>
            <w:rStyle w:val="Hyperlink"/>
          </w:rPr>
          <w:t>15-21/0092r00</w:t>
        </w:r>
      </w:hyperlink>
      <w:r w:rsidR="001D0B1D">
        <w:t xml:space="preserve">) of the January interim meeting </w:t>
      </w:r>
      <w:r>
        <w:t>was approved by unanimous consent.</w:t>
      </w:r>
      <w:r w:rsidR="001D0B1D">
        <w:t xml:space="preserve"> The minutes (</w:t>
      </w:r>
      <w:hyperlink r:id="rId10" w:history="1">
        <w:r w:rsidR="001D0B1D" w:rsidRPr="001D0B1D">
          <w:rPr>
            <w:rStyle w:val="Hyperlink"/>
          </w:rPr>
          <w:t>15-21/0094r02</w:t>
        </w:r>
      </w:hyperlink>
      <w:r w:rsidR="001D0B1D">
        <w:t xml:space="preserve">, </w:t>
      </w:r>
      <w:hyperlink r:id="rId11" w:history="1">
        <w:r w:rsidR="001D0B1D" w:rsidRPr="001D0B1D">
          <w:rPr>
            <w:rStyle w:val="Hyperlink"/>
          </w:rPr>
          <w:t>15-21/0095r00</w:t>
        </w:r>
      </w:hyperlink>
      <w:r w:rsidR="001D0B1D">
        <w:t xml:space="preserve">, </w:t>
      </w:r>
      <w:hyperlink r:id="rId12" w:history="1">
        <w:r w:rsidR="001D0B1D" w:rsidRPr="001D0B1D">
          <w:rPr>
            <w:rStyle w:val="Hyperlink"/>
          </w:rPr>
          <w:t>15-21/0119r00</w:t>
        </w:r>
      </w:hyperlink>
      <w:r w:rsidR="001D0B1D">
        <w:t xml:space="preserve">, and </w:t>
      </w:r>
      <w:hyperlink r:id="rId13" w:history="1">
        <w:r w:rsidR="001D0B1D" w:rsidRPr="001D0B1D">
          <w:rPr>
            <w:rStyle w:val="Hyperlink"/>
          </w:rPr>
          <w:t>15-21/0127r01</w:t>
        </w:r>
      </w:hyperlink>
      <w:r w:rsidR="001D0B1D">
        <w:t>) of the intervening CRG meetings were likely approved by unanimous consent.</w:t>
      </w:r>
    </w:p>
    <w:p w:rsidR="001D0B1D" w:rsidRDefault="001D0B1D" w:rsidP="001D0B1D">
      <w:pPr>
        <w:pStyle w:val="ListParagraph"/>
        <w:numPr>
          <w:ilvl w:val="0"/>
          <w:numId w:val="2"/>
        </w:numPr>
        <w:spacing w:before="120" w:after="120"/>
        <w:ind w:left="0" w:firstLine="0"/>
        <w:contextualSpacing w:val="0"/>
      </w:pPr>
      <w:r>
        <w:t>Ever s</w:t>
      </w:r>
      <w:r>
        <w:t>ince the initial SA ballot, one balloter has not changed his vote to “approve” despite having those comments addressed and Kivinen sending a note to the balloter inquiring if he</w:t>
      </w:r>
      <w:r>
        <w:t xml:space="preserve"> is willing to change his vote. Thus, while all comments have been addressed and there is no further work to do on the specification nor is there a further ballot to be run, it will have to be forwarded to IEEE </w:t>
      </w:r>
      <w:proofErr w:type="spellStart"/>
      <w:r>
        <w:t>RevCom</w:t>
      </w:r>
      <w:proofErr w:type="spellEnd"/>
      <w:r>
        <w:t xml:space="preserve"> (Review Committee) with one sustained “no” vote.</w:t>
      </w:r>
    </w:p>
    <w:p w:rsidR="001D0B1D" w:rsidRDefault="001D0B1D" w:rsidP="001D0B1D">
      <w:pPr>
        <w:spacing w:before="120" w:after="120"/>
      </w:pPr>
      <w:r w:rsidRPr="001D0B1D">
        <w:t>A motion was made</w:t>
      </w:r>
      <w:r>
        <w:t xml:space="preserve"> by Peter Yee and seconded by Don Sturek</w:t>
      </w:r>
      <w:r w:rsidRPr="001D0B1D">
        <w:t xml:space="preserve"> to form a CRG just in case there are issues that need to be addressed</w:t>
      </w:r>
      <w:r>
        <w:t xml:space="preserve"> going forward</w:t>
      </w:r>
      <w:r w:rsidRPr="001D0B1D">
        <w:t xml:space="preserve">. The CRG will be Kivinen, </w:t>
      </w:r>
      <w:r w:rsidR="005552F2">
        <w:t xml:space="preserve">Benjamin </w:t>
      </w:r>
      <w:r w:rsidRPr="001D0B1D">
        <w:t xml:space="preserve">Rolfe, Sturek, </w:t>
      </w:r>
      <w:r w:rsidR="005552F2">
        <w:t xml:space="preserve">Pat </w:t>
      </w:r>
      <w:r w:rsidRPr="001D0B1D">
        <w:t>Kinney, and Yee. A matching working group motion will be made during the closing plenary. The motion was passed by unanimous consent.</w:t>
      </w:r>
    </w:p>
    <w:p w:rsidR="002D2CBD" w:rsidRDefault="002D2CBD" w:rsidP="001D0B1D">
      <w:pPr>
        <w:pStyle w:val="ListParagraph"/>
        <w:numPr>
          <w:ilvl w:val="0"/>
          <w:numId w:val="2"/>
        </w:numPr>
        <w:spacing w:before="120" w:after="120"/>
        <w:ind w:left="0" w:firstLine="0"/>
        <w:contextualSpacing w:val="0"/>
      </w:pPr>
      <w:r>
        <w:t xml:space="preserve">The call was recessed at </w:t>
      </w:r>
      <w:r w:rsidR="005552F2">
        <w:t>12:20</w:t>
      </w:r>
      <w:r>
        <w:t xml:space="preserve"> p.m. E</w:t>
      </w:r>
      <w:r w:rsidR="005552F2">
        <w:t>D</w:t>
      </w:r>
      <w:r>
        <w:t>T.</w:t>
      </w:r>
      <w:bookmarkStart w:id="0" w:name="_GoBack"/>
      <w:bookmarkEnd w:id="0"/>
    </w:p>
    <w:p w:rsidR="002D2CBD" w:rsidRDefault="009C32C8" w:rsidP="009C32C8">
      <w:pPr>
        <w:pStyle w:val="Heading2"/>
        <w:numPr>
          <w:ilvl w:val="1"/>
          <w:numId w:val="2"/>
        </w:numPr>
      </w:pPr>
      <w:r>
        <w:t xml:space="preserve">Tuesday, </w:t>
      </w:r>
      <w:r w:rsidR="005F3299">
        <w:t>March</w:t>
      </w:r>
      <w:r>
        <w:t xml:space="preserve"> 19, 2021</w:t>
      </w:r>
    </w:p>
    <w:p w:rsidR="002D2CBD" w:rsidRDefault="002D2CBD" w:rsidP="005552F2">
      <w:pPr>
        <w:pStyle w:val="ListParagraph"/>
        <w:numPr>
          <w:ilvl w:val="0"/>
          <w:numId w:val="2"/>
        </w:numPr>
        <w:spacing w:before="120" w:after="120"/>
        <w:ind w:left="0" w:firstLine="0"/>
        <w:contextualSpacing w:val="0"/>
      </w:pPr>
      <w:r>
        <w:t>Kivinen called the meeting back into session at 12:0</w:t>
      </w:r>
      <w:r w:rsidR="005552F2">
        <w:t>4</w:t>
      </w:r>
      <w:r>
        <w:t xml:space="preserve"> p.m. E</w:t>
      </w:r>
      <w:r w:rsidR="005552F2">
        <w:t>D</w:t>
      </w:r>
      <w:r>
        <w:t>T</w:t>
      </w:r>
      <w:r w:rsidR="005552F2">
        <w:t>.</w:t>
      </w:r>
    </w:p>
    <w:p w:rsidR="009C32C8" w:rsidRDefault="005552F2" w:rsidP="005552F2">
      <w:pPr>
        <w:pStyle w:val="ListParagraph"/>
        <w:numPr>
          <w:ilvl w:val="0"/>
          <w:numId w:val="2"/>
        </w:numPr>
        <w:spacing w:before="120" w:after="120"/>
        <w:ind w:left="0" w:firstLine="0"/>
        <w:contextualSpacing w:val="0"/>
      </w:pPr>
      <w:r>
        <w:t>He</w:t>
      </w:r>
      <w:r w:rsidRPr="005552F2">
        <w:t xml:space="preserve"> displayed the closing report (</w:t>
      </w:r>
      <w:hyperlink r:id="rId14" w:history="1">
        <w:r w:rsidRPr="005552F2">
          <w:rPr>
            <w:rStyle w:val="Hyperlink"/>
          </w:rPr>
          <w:t>15-21/0147r01</w:t>
        </w:r>
      </w:hyperlink>
      <w:r w:rsidRPr="005552F2">
        <w:t xml:space="preserve">). Based on a lack of comments, the specification will be forwarded to </w:t>
      </w:r>
      <w:proofErr w:type="spellStart"/>
      <w:r w:rsidRPr="005552F2">
        <w:t>RevCom</w:t>
      </w:r>
      <w:proofErr w:type="spellEnd"/>
      <w:r w:rsidRPr="005552F2">
        <w:t xml:space="preserve"> for publication approval. CRG calls are planned to start 30 March 2021, but most will be cancelled unless some issue </w:t>
      </w:r>
      <w:r>
        <w:t>are</w:t>
      </w:r>
      <w:r w:rsidRPr="005552F2">
        <w:t xml:space="preserve"> surfaced during the approval of IEEE </w:t>
      </w:r>
      <w:proofErr w:type="spellStart"/>
      <w:proofErr w:type="gramStart"/>
      <w:r w:rsidRPr="005552F2">
        <w:t>Std</w:t>
      </w:r>
      <w:proofErr w:type="spellEnd"/>
      <w:proofErr w:type="gramEnd"/>
      <w:r w:rsidRPr="005552F2">
        <w:t xml:space="preserve"> 802.15.9.</w:t>
      </w:r>
    </w:p>
    <w:p w:rsidR="009C766C" w:rsidRDefault="002D2CBD" w:rsidP="005552F2">
      <w:pPr>
        <w:pStyle w:val="ListParagraph"/>
        <w:numPr>
          <w:ilvl w:val="0"/>
          <w:numId w:val="2"/>
        </w:numPr>
        <w:spacing w:before="120" w:after="120"/>
        <w:ind w:left="0" w:firstLine="0"/>
        <w:contextualSpacing w:val="0"/>
      </w:pPr>
      <w:r>
        <w:t>The meeting was adjourned at 1</w:t>
      </w:r>
      <w:r w:rsidR="005552F2">
        <w:t>2</w:t>
      </w:r>
      <w:r>
        <w:t>:</w:t>
      </w:r>
      <w:r w:rsidR="005552F2">
        <w:t>12 p.m. ED</w:t>
      </w:r>
      <w:r>
        <w:t>T.</w:t>
      </w:r>
    </w:p>
    <w:sectPr w:rsidR="009C766C">
      <w:headerReference w:type="default" r:id="rId15"/>
      <w:footerReference w:type="default" r:id="rId16"/>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C7" w:rsidRDefault="006636C7">
      <w:pPr>
        <w:spacing w:before="0"/>
      </w:pPr>
      <w:r>
        <w:separator/>
      </w:r>
    </w:p>
  </w:endnote>
  <w:endnote w:type="continuationSeparator" w:id="0">
    <w:p w:rsidR="006636C7" w:rsidRDefault="006636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panose1 w:val="020B0606030804020204"/>
    <w:charset w:val="00"/>
    <w:family w:val="swiss"/>
    <w:pitch w:val="variable"/>
    <w:sig w:usb0="A00002AF" w:usb1="4000205B" w:usb2="00000028" w:usb3="00000000" w:csb0="000000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rsidR="005552F2">
      <w:rPr>
        <w:noProof/>
      </w:rPr>
      <w:t>2</w:t>
    </w:r>
    <w:r>
      <w:fldChar w:fldCharType="end"/>
    </w:r>
    <w:r>
      <w:tab/>
    </w:r>
    <w:r w:rsidR="005552F2">
      <w:t>Peter Yee (NSA-CSD)</w:t>
    </w:r>
    <w:r>
      <w:t xml:space="preserve"> </w:t>
    </w:r>
    <w:r>
      <w:fldChar w:fldCharType="begin"/>
    </w:r>
    <w:r>
      <w:instrText>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C7" w:rsidRDefault="006636C7">
      <w:pPr>
        <w:spacing w:before="0"/>
      </w:pPr>
      <w:r>
        <w:separator/>
      </w:r>
    </w:p>
  </w:footnote>
  <w:footnote w:type="continuationSeparator" w:id="0">
    <w:p w:rsidR="006636C7" w:rsidRDefault="006636C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5552F2">
      <w:rPr>
        <w:b/>
        <w:noProof/>
        <w:sz w:val="28"/>
      </w:rPr>
      <w:t>Mar 2021</w:t>
    </w:r>
    <w:r>
      <w:rPr>
        <w:b/>
        <w:sz w:val="28"/>
      </w:rPr>
      <w:fldChar w:fldCharType="end"/>
    </w:r>
    <w:r>
      <w:rPr>
        <w:b/>
        <w:sz w:val="28"/>
      </w:rPr>
      <w:tab/>
      <w:t xml:space="preserve"> I</w:t>
    </w:r>
    <w:r w:rsidR="002D2CBD">
      <w:rPr>
        <w:b/>
        <w:sz w:val="28"/>
      </w:rPr>
      <w:t>EEE P802.15 - 15-2</w:t>
    </w:r>
    <w:r w:rsidR="004462D9">
      <w:rPr>
        <w:b/>
        <w:sz w:val="28"/>
      </w:rPr>
      <w:t>1</w:t>
    </w:r>
    <w:r w:rsidR="002D2CBD">
      <w:rPr>
        <w:b/>
        <w:sz w:val="28"/>
      </w:rPr>
      <w:t>-0</w:t>
    </w:r>
    <w:r w:rsidR="005552F2">
      <w:rPr>
        <w:b/>
        <w:sz w:val="28"/>
      </w:rPr>
      <w:t>187</w:t>
    </w:r>
    <w:r>
      <w:rPr>
        <w:b/>
        <w:sz w:val="28"/>
      </w:rPr>
      <w:t>-00-09ma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70CF"/>
    <w:multiLevelType w:val="multilevel"/>
    <w:tmpl w:val="0BFAD7D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1">
    <w:nsid w:val="48BB658A"/>
    <w:multiLevelType w:val="multilevel"/>
    <w:tmpl w:val="3C7487F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408"/>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C766C"/>
    <w:rsid w:val="001D0B1D"/>
    <w:rsid w:val="002D2CBD"/>
    <w:rsid w:val="004462D9"/>
    <w:rsid w:val="00497799"/>
    <w:rsid w:val="005552F2"/>
    <w:rsid w:val="005F3299"/>
    <w:rsid w:val="006636C7"/>
    <w:rsid w:val="009C32C8"/>
    <w:rsid w:val="009C76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customStyle="1" w:styleId="InternetLink">
    <w:name w:val="Internet Link"/>
    <w:basedOn w:val="DefaultParagraphFont"/>
    <w:uiPriority w:val="99"/>
    <w:unhideWhenUsed/>
    <w:rsid w:val="00F10AC5"/>
    <w:rPr>
      <w:color w:val="0000FF"/>
      <w:u w:val="single"/>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C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144-00-09ma-tg9ma-march-agenda.pptx" TargetMode="External"/><Relationship Id="rId13" Type="http://schemas.openxmlformats.org/officeDocument/2006/relationships/hyperlink" Target="https://mentor.ieee.org/802.15/dcn/21/15-21-0127-01-09ma-tg9ma-crg-march-2-2021-meeting-minutes.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ntor.ieee.org/802.15/dcn/21/15-21-0119-00-09ma-tg9ma-crg-february-23-2021-meeting-minutes.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5/dcn/21/15-21-0095-00-09ma-tg9ma-crg-february-2-2021-meeting-minutes.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5/dcn/21/15-21-0094-02-09ma-tg9ma-crg-january-26-2021-meeting-minutes.docx" TargetMode="External"/><Relationship Id="rId4" Type="http://schemas.openxmlformats.org/officeDocument/2006/relationships/settings" Target="settings.xml"/><Relationship Id="rId9" Type="http://schemas.openxmlformats.org/officeDocument/2006/relationships/hyperlink" Target="https://mentor.ieee.org/802.15/dcn/21/15-21-0092-00-09ma-tg9ma-january-2021-minutes.docx" TargetMode="External"/><Relationship Id="rId14" Type="http://schemas.openxmlformats.org/officeDocument/2006/relationships/hyperlink" Target="https://mentor.ieee.org/802.15/dcn/21/15-21-0147-01-09ma-tg9ma-march-closing.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Peter E. Yee</cp:lastModifiedBy>
  <cp:revision>77</cp:revision>
  <dcterms:created xsi:type="dcterms:W3CDTF">2014-05-15T09:21:00Z</dcterms:created>
  <dcterms:modified xsi:type="dcterms:W3CDTF">2021-03-16T23:12:00Z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