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6C" w:rsidRDefault="00497799">
      <w:r>
        <w:t>IEEE P802.15</w:t>
      </w:r>
    </w:p>
    <w:p w:rsidR="009C766C" w:rsidRDefault="00497799">
      <w:r>
        <w:t>Wireless Personal Area Networks</w:t>
      </w:r>
    </w:p>
    <w:p w:rsidR="009C766C" w:rsidRDefault="009C766C"/>
    <w:tbl>
      <w:tblPr>
        <w:tblW w:w="9450" w:type="dxa"/>
        <w:tblBorders>
          <w:top w:val="single" w:sz="6" w:space="0" w:color="000000"/>
        </w:tblBorders>
        <w:tblLook w:val="0000" w:firstRow="0" w:lastRow="0" w:firstColumn="0" w:lastColumn="0" w:noHBand="0" w:noVBand="0"/>
      </w:tblPr>
      <w:tblGrid>
        <w:gridCol w:w="1260"/>
        <w:gridCol w:w="4050"/>
        <w:gridCol w:w="4140"/>
      </w:tblGrid>
      <w:tr w:rsidR="009C766C">
        <w:tc>
          <w:tcPr>
            <w:tcW w:w="1260" w:type="dxa"/>
            <w:tcBorders>
              <w:top w:val="single" w:sz="6" w:space="0" w:color="000000"/>
            </w:tcBorders>
            <w:shd w:val="clear" w:color="auto" w:fill="auto"/>
          </w:tcPr>
          <w:p w:rsidR="009C766C" w:rsidRDefault="00497799">
            <w:pPr>
              <w:pStyle w:val="covertext"/>
            </w:pPr>
            <w:r>
              <w:t>Project</w:t>
            </w:r>
          </w:p>
        </w:tc>
        <w:tc>
          <w:tcPr>
            <w:tcW w:w="8190" w:type="dxa"/>
            <w:gridSpan w:val="2"/>
            <w:tcBorders>
              <w:top w:val="single" w:sz="6" w:space="0" w:color="000000"/>
            </w:tcBorders>
            <w:shd w:val="clear" w:color="auto" w:fill="auto"/>
          </w:tcPr>
          <w:p w:rsidR="009C766C" w:rsidRDefault="00497799">
            <w:pPr>
              <w:pStyle w:val="covertext"/>
            </w:pPr>
            <w:r>
              <w:t>IEEE P802.15 Working Group for Wireless Personal Area Networks (WPANs)</w:t>
            </w:r>
          </w:p>
        </w:tc>
      </w:tr>
      <w:tr w:rsidR="009C766C">
        <w:tc>
          <w:tcPr>
            <w:tcW w:w="1260" w:type="dxa"/>
            <w:tcBorders>
              <w:top w:val="single" w:sz="6" w:space="0" w:color="000000"/>
            </w:tcBorders>
            <w:shd w:val="clear" w:color="auto" w:fill="auto"/>
          </w:tcPr>
          <w:p w:rsidR="009C766C" w:rsidRDefault="00497799">
            <w:pPr>
              <w:pStyle w:val="covertext"/>
            </w:pPr>
            <w:r>
              <w:t>Title</w:t>
            </w:r>
          </w:p>
        </w:tc>
        <w:tc>
          <w:tcPr>
            <w:tcW w:w="8190" w:type="dxa"/>
            <w:gridSpan w:val="2"/>
            <w:tcBorders>
              <w:top w:val="single" w:sz="6" w:space="0" w:color="000000"/>
            </w:tcBorders>
            <w:shd w:val="clear" w:color="auto" w:fill="auto"/>
          </w:tcPr>
          <w:p w:rsidR="009C766C" w:rsidRDefault="00497799" w:rsidP="002D2CBD">
            <w:pPr>
              <w:pStyle w:val="covertext"/>
            </w:pPr>
            <w:r>
              <w:t xml:space="preserve">TG9ma </w:t>
            </w:r>
            <w:r w:rsidR="002D2CBD">
              <w:t>January 2021</w:t>
            </w:r>
          </w:p>
        </w:tc>
      </w:tr>
      <w:tr w:rsidR="009C766C">
        <w:tc>
          <w:tcPr>
            <w:tcW w:w="1260" w:type="dxa"/>
            <w:tcBorders>
              <w:top w:val="single" w:sz="6" w:space="0" w:color="000000"/>
            </w:tcBorders>
            <w:shd w:val="clear" w:color="auto" w:fill="auto"/>
          </w:tcPr>
          <w:p w:rsidR="009C766C" w:rsidRDefault="00497799">
            <w:pPr>
              <w:pStyle w:val="covertext"/>
            </w:pPr>
            <w:r>
              <w:t>Date Submitted</w:t>
            </w:r>
          </w:p>
        </w:tc>
        <w:tc>
          <w:tcPr>
            <w:tcW w:w="8190" w:type="dxa"/>
            <w:gridSpan w:val="2"/>
            <w:tcBorders>
              <w:top w:val="single" w:sz="6" w:space="0" w:color="000000"/>
            </w:tcBorders>
            <w:shd w:val="clear" w:color="auto" w:fill="auto"/>
          </w:tcPr>
          <w:p w:rsidR="009C766C" w:rsidRDefault="002D2CBD" w:rsidP="002D2CBD">
            <w:pPr>
              <w:pStyle w:val="covertext"/>
            </w:pPr>
            <w:r>
              <w:t>4</w:t>
            </w:r>
            <w:r w:rsidR="00497799">
              <w:t xml:space="preserve"> </w:t>
            </w:r>
            <w:r>
              <w:t>February 2021</w:t>
            </w:r>
          </w:p>
        </w:tc>
      </w:tr>
      <w:tr w:rsidR="009C766C">
        <w:tc>
          <w:tcPr>
            <w:tcW w:w="1260" w:type="dxa"/>
            <w:tcBorders>
              <w:top w:val="single" w:sz="4" w:space="0" w:color="000000"/>
              <w:bottom w:val="single" w:sz="4" w:space="0" w:color="000000"/>
            </w:tcBorders>
            <w:shd w:val="clear" w:color="auto" w:fill="auto"/>
          </w:tcPr>
          <w:p w:rsidR="009C766C" w:rsidRDefault="00497799">
            <w:pPr>
              <w:pStyle w:val="covertext"/>
            </w:pPr>
            <w:r>
              <w:t>Source</w:t>
            </w:r>
          </w:p>
        </w:tc>
        <w:tc>
          <w:tcPr>
            <w:tcW w:w="4050" w:type="dxa"/>
            <w:tcBorders>
              <w:top w:val="single" w:sz="4" w:space="0" w:color="000000"/>
              <w:bottom w:val="single" w:sz="4" w:space="0" w:color="000000"/>
            </w:tcBorders>
            <w:shd w:val="clear" w:color="auto" w:fill="auto"/>
          </w:tcPr>
          <w:p w:rsidR="009C766C" w:rsidRDefault="002D2CBD">
            <w:pPr>
              <w:pStyle w:val="covertext"/>
            </w:pPr>
            <w:r>
              <w:t>Peter Yee</w:t>
            </w:r>
          </w:p>
        </w:tc>
        <w:tc>
          <w:tcPr>
            <w:tcW w:w="4140" w:type="dxa"/>
            <w:tcBorders>
              <w:top w:val="single" w:sz="4" w:space="0" w:color="000000"/>
              <w:bottom w:val="single" w:sz="4" w:space="0" w:color="000000"/>
            </w:tcBorders>
            <w:shd w:val="clear" w:color="auto" w:fill="auto"/>
          </w:tcPr>
          <w:p w:rsidR="009C766C" w:rsidRDefault="00497799" w:rsidP="002D2CBD">
            <w:pPr>
              <w:pStyle w:val="covertext"/>
            </w:pPr>
            <w:r>
              <w:t>E-mail:</w:t>
            </w:r>
            <w:r>
              <w:tab/>
            </w:r>
            <w:r w:rsidR="002D2CBD">
              <w:t>peter@akayla.com</w:t>
            </w:r>
          </w:p>
        </w:tc>
      </w:tr>
      <w:tr w:rsidR="009C766C">
        <w:tc>
          <w:tcPr>
            <w:tcW w:w="1260" w:type="dxa"/>
            <w:tcBorders>
              <w:top w:val="single" w:sz="6" w:space="0" w:color="000000"/>
            </w:tcBorders>
            <w:shd w:val="clear" w:color="auto" w:fill="auto"/>
          </w:tcPr>
          <w:p w:rsidR="009C766C" w:rsidRDefault="00497799">
            <w:pPr>
              <w:pStyle w:val="covertext"/>
            </w:pPr>
            <w:r>
              <w:t>Re:</w:t>
            </w:r>
          </w:p>
        </w:tc>
        <w:tc>
          <w:tcPr>
            <w:tcW w:w="8190" w:type="dxa"/>
            <w:gridSpan w:val="2"/>
            <w:tcBorders>
              <w:top w:val="single" w:sz="6" w:space="0" w:color="000000"/>
            </w:tcBorders>
            <w:shd w:val="clear" w:color="auto" w:fill="auto"/>
          </w:tcPr>
          <w:p w:rsidR="009C766C" w:rsidRDefault="002D2CBD" w:rsidP="002D2CBD">
            <w:pPr>
              <w:pStyle w:val="covertext"/>
            </w:pPr>
            <w:r>
              <w:t>January 2021</w:t>
            </w:r>
            <w:r w:rsidR="00497799">
              <w:t xml:space="preserve"> TG9ma meeting</w:t>
            </w:r>
          </w:p>
        </w:tc>
      </w:tr>
      <w:tr w:rsidR="009C766C">
        <w:tc>
          <w:tcPr>
            <w:tcW w:w="1260" w:type="dxa"/>
            <w:tcBorders>
              <w:top w:val="single" w:sz="6" w:space="0" w:color="000000"/>
            </w:tcBorders>
            <w:shd w:val="clear" w:color="auto" w:fill="auto"/>
          </w:tcPr>
          <w:p w:rsidR="009C766C" w:rsidRDefault="00497799">
            <w:pPr>
              <w:pStyle w:val="covertext"/>
            </w:pPr>
            <w:r>
              <w:t>Abstract</w:t>
            </w:r>
          </w:p>
        </w:tc>
        <w:tc>
          <w:tcPr>
            <w:tcW w:w="8190" w:type="dxa"/>
            <w:gridSpan w:val="2"/>
            <w:tcBorders>
              <w:top w:val="single" w:sz="6" w:space="0" w:color="000000"/>
            </w:tcBorders>
            <w:shd w:val="clear" w:color="auto" w:fill="auto"/>
          </w:tcPr>
          <w:p w:rsidR="009C766C" w:rsidRDefault="00497799" w:rsidP="002D2CBD">
            <w:pPr>
              <w:pStyle w:val="covertext"/>
            </w:pPr>
            <w:r>
              <w:t xml:space="preserve">Meeting minutes for the </w:t>
            </w:r>
            <w:r w:rsidR="002D2CBD">
              <w:t>January 2021</w:t>
            </w:r>
            <w:r>
              <w:t xml:space="preserve"> virtual </w:t>
            </w:r>
            <w:r w:rsidR="002D2CBD">
              <w:t>interim</w:t>
            </w:r>
            <w:r>
              <w:t xml:space="preserve"> meeting</w:t>
            </w:r>
          </w:p>
        </w:tc>
      </w:tr>
      <w:tr w:rsidR="009C766C">
        <w:tc>
          <w:tcPr>
            <w:tcW w:w="1260" w:type="dxa"/>
            <w:tcBorders>
              <w:top w:val="single" w:sz="6" w:space="0" w:color="000000"/>
            </w:tcBorders>
            <w:shd w:val="clear" w:color="auto" w:fill="auto"/>
          </w:tcPr>
          <w:p w:rsidR="009C766C" w:rsidRDefault="00497799">
            <w:pPr>
              <w:pStyle w:val="covertext"/>
            </w:pPr>
            <w:r>
              <w:t>Purpose</w:t>
            </w:r>
          </w:p>
        </w:tc>
        <w:tc>
          <w:tcPr>
            <w:tcW w:w="8190" w:type="dxa"/>
            <w:gridSpan w:val="2"/>
            <w:tcBorders>
              <w:top w:val="single" w:sz="6" w:space="0" w:color="000000"/>
            </w:tcBorders>
            <w:shd w:val="clear" w:color="auto" w:fill="auto"/>
          </w:tcPr>
          <w:p w:rsidR="009C766C" w:rsidRDefault="00497799">
            <w:pPr>
              <w:pStyle w:val="covertext"/>
            </w:pPr>
            <w:r>
              <w:t>Provide meeting minutes</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Notice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 xml:space="preserve">This document has been prepared to assist the IEEE P802.15. It is offered as a basis for discussion and is not binding on </w:t>
            </w:r>
            <w:r>
              <w:t>the contributing individual(s) or organization(s). The material in this document is subject to change in form and content after further study. The contributor(s) reserve(s) the right to add, amend, or withdraw material contained herein.</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Release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The contri</w:t>
            </w:r>
            <w:r>
              <w:t>butor acknowledges and accepts that this contribution becomes the property of IEEE and may be made publicly available by P802.15.</w:t>
            </w:r>
          </w:p>
        </w:tc>
      </w:tr>
    </w:tbl>
    <w:p w:rsidR="009C766C" w:rsidRDefault="00497799">
      <w:r>
        <w:br w:type="page"/>
      </w:r>
    </w:p>
    <w:p w:rsidR="009C766C" w:rsidRDefault="00497799">
      <w:pPr>
        <w:pStyle w:val="Heading1"/>
        <w:numPr>
          <w:ilvl w:val="0"/>
          <w:numId w:val="2"/>
        </w:numPr>
      </w:pPr>
      <w:r>
        <w:lastRenderedPageBreak/>
        <w:t>IEEE 802.15 Task Group 9ma (KMP Transport Updates)</w:t>
      </w:r>
    </w:p>
    <w:p w:rsidR="009C766C" w:rsidRDefault="002D2CBD">
      <w:pPr>
        <w:pStyle w:val="Heading2"/>
        <w:numPr>
          <w:ilvl w:val="1"/>
          <w:numId w:val="2"/>
        </w:numPr>
      </w:pPr>
      <w:r>
        <w:t>Monday</w:t>
      </w:r>
      <w:r w:rsidR="00497799">
        <w:t xml:space="preserve">, </w:t>
      </w:r>
      <w:r>
        <w:t>January 18, 2021</w:t>
      </w:r>
    </w:p>
    <w:p w:rsidR="002D2CBD" w:rsidRDefault="009C32C8" w:rsidP="002D2CBD">
      <w:pPr>
        <w:pStyle w:val="ListParagraph"/>
        <w:numPr>
          <w:ilvl w:val="0"/>
          <w:numId w:val="2"/>
        </w:numPr>
        <w:ind w:left="0" w:firstLine="0"/>
      </w:pPr>
      <w:r>
        <w:t xml:space="preserve">The task group chair, Tero Kivinen (self), called the meeting to order at </w:t>
      </w:r>
      <w:r w:rsidR="002D2CBD">
        <w:t xml:space="preserve">12:05 p.m. EST on 18 January 2021. </w:t>
      </w:r>
      <w:r>
        <w:t>Kivinen made a</w:t>
      </w:r>
      <w:r w:rsidR="002D2CBD">
        <w:t xml:space="preserve"> call for essential </w:t>
      </w:r>
      <w:proofErr w:type="gramStart"/>
      <w:r w:rsidR="002D2CBD">
        <w:t>patents,</w:t>
      </w:r>
      <w:proofErr w:type="gramEnd"/>
      <w:r w:rsidR="002D2CBD">
        <w:t xml:space="preserve"> however no one offered anything in response.</w:t>
      </w:r>
    </w:p>
    <w:p w:rsidR="009C32C8" w:rsidRDefault="009C32C8" w:rsidP="002D2CBD">
      <w:pPr>
        <w:pStyle w:val="ListParagraph"/>
        <w:numPr>
          <w:ilvl w:val="0"/>
          <w:numId w:val="2"/>
        </w:numPr>
        <w:ind w:left="0" w:firstLine="0"/>
      </w:pPr>
    </w:p>
    <w:p w:rsidR="002D2CBD" w:rsidRDefault="002D2CBD" w:rsidP="002D2CBD">
      <w:pPr>
        <w:pStyle w:val="ListParagraph"/>
        <w:numPr>
          <w:ilvl w:val="0"/>
          <w:numId w:val="2"/>
        </w:numPr>
        <w:ind w:left="0" w:firstLine="0"/>
      </w:pPr>
      <w:r>
        <w:t>The Standards Association ballot for IEEE 802.15.9ma closed on 13 January. There were three disapproval votes and many comments received.</w:t>
      </w:r>
    </w:p>
    <w:p w:rsidR="009C32C8" w:rsidRDefault="009C32C8" w:rsidP="002D2CBD">
      <w:pPr>
        <w:pStyle w:val="ListParagraph"/>
        <w:numPr>
          <w:ilvl w:val="0"/>
          <w:numId w:val="2"/>
        </w:numPr>
        <w:ind w:left="0" w:firstLine="0"/>
      </w:pPr>
    </w:p>
    <w:p w:rsidR="002D2CBD" w:rsidRDefault="002D2CBD" w:rsidP="002D2CBD">
      <w:pPr>
        <w:pStyle w:val="ListParagraph"/>
        <w:numPr>
          <w:ilvl w:val="0"/>
          <w:numId w:val="2"/>
        </w:numPr>
        <w:ind w:left="0" w:firstLine="0"/>
      </w:pPr>
      <w:r>
        <w:t>The agenda (</w:t>
      </w:r>
      <w:hyperlink r:id="rId8" w:history="1">
        <w:r w:rsidRPr="00B76EC0">
          <w:rPr>
            <w:rStyle w:val="Hyperlink"/>
          </w:rPr>
          <w:t>15-21/0018r00</w:t>
        </w:r>
      </w:hyperlink>
      <w:r>
        <w:t>) was agreed to by unanimous consent. A motion to approve the minutes (</w:t>
      </w:r>
      <w:hyperlink r:id="rId9" w:history="1">
        <w:r w:rsidRPr="00B76EC0">
          <w:rPr>
            <w:rStyle w:val="Hyperlink"/>
          </w:rPr>
          <w:t>15-21/0324r00</w:t>
        </w:r>
      </w:hyperlink>
      <w:r>
        <w:t xml:space="preserve">) of the November meeting was made by </w:t>
      </w:r>
      <w:proofErr w:type="spellStart"/>
      <w:r>
        <w:t>Kunal</w:t>
      </w:r>
      <w:proofErr w:type="spellEnd"/>
      <w:r>
        <w:t xml:space="preserve"> Shah</w:t>
      </w:r>
      <w:r w:rsidR="009C32C8">
        <w:t xml:space="preserve"> (</w:t>
      </w:r>
      <w:proofErr w:type="spellStart"/>
      <w:r w:rsidR="009C32C8">
        <w:t>Itron</w:t>
      </w:r>
      <w:proofErr w:type="spellEnd"/>
      <w:r w:rsidR="009C32C8">
        <w:t>)</w:t>
      </w:r>
      <w:r>
        <w:t xml:space="preserve"> and seconded by Ben Rolfe</w:t>
      </w:r>
      <w:r w:rsidR="009C32C8">
        <w:t xml:space="preserve"> (Blind Creek Associates)</w:t>
      </w:r>
      <w:r>
        <w:t>. The motion was approved by unanimous consent.</w:t>
      </w:r>
    </w:p>
    <w:p w:rsidR="009C32C8" w:rsidRDefault="009C32C8" w:rsidP="002D2CBD">
      <w:pPr>
        <w:pStyle w:val="ListParagraph"/>
        <w:numPr>
          <w:ilvl w:val="0"/>
          <w:numId w:val="2"/>
        </w:numPr>
        <w:ind w:left="0" w:firstLine="0"/>
      </w:pPr>
    </w:p>
    <w:p w:rsidR="002D2CBD" w:rsidRDefault="002D2CBD" w:rsidP="002D2CBD">
      <w:pPr>
        <w:pStyle w:val="ListParagraph"/>
        <w:numPr>
          <w:ilvl w:val="0"/>
          <w:numId w:val="2"/>
        </w:numPr>
        <w:ind w:left="0" w:firstLine="0"/>
      </w:pPr>
      <w:r>
        <w:t>The Comment Resolution Group (CRG) will consist of the following volunteers: Kivinen, Rolfe, Don Sturek</w:t>
      </w:r>
      <w:r w:rsidR="009C32C8">
        <w:t xml:space="preserve"> (</w:t>
      </w:r>
      <w:proofErr w:type="spellStart"/>
      <w:r w:rsidR="009C32C8">
        <w:t>Itron</w:t>
      </w:r>
      <w:proofErr w:type="spellEnd"/>
      <w:r w:rsidR="009C32C8">
        <w:t>)</w:t>
      </w:r>
      <w:r>
        <w:t>, Pat Kinney (Kinney Consulting), and Peter Yee</w:t>
      </w:r>
      <w:r w:rsidR="009C32C8">
        <w:t xml:space="preserve"> (NSA-CSD)</w:t>
      </w:r>
      <w:r>
        <w:t>. A task group motion to approve the CRG membership and their authority was moved by Sturek and seconded by Yee. It was approved by unanimous consent. Kivinen has also prepared a matching WG motion for the closing plenary session.</w:t>
      </w:r>
    </w:p>
    <w:p w:rsidR="009C32C8" w:rsidRDefault="009C32C8" w:rsidP="002D2CBD">
      <w:pPr>
        <w:pStyle w:val="ListParagraph"/>
        <w:numPr>
          <w:ilvl w:val="0"/>
          <w:numId w:val="2"/>
        </w:numPr>
        <w:ind w:left="0" w:firstLine="0"/>
      </w:pPr>
    </w:p>
    <w:p w:rsidR="002D2CBD" w:rsidRDefault="002D2CBD" w:rsidP="002D2CBD">
      <w:pPr>
        <w:pStyle w:val="ListParagraph"/>
        <w:numPr>
          <w:ilvl w:val="0"/>
          <w:numId w:val="2"/>
        </w:numPr>
        <w:ind w:left="0" w:firstLine="0"/>
      </w:pPr>
      <w:r>
        <w:t xml:space="preserve">The SA ballot comments are found in </w:t>
      </w:r>
      <w:hyperlink r:id="rId10" w:history="1">
        <w:r w:rsidRPr="00D02CAC">
          <w:rPr>
            <w:rStyle w:val="Hyperlink"/>
          </w:rPr>
          <w:t>15-21/0032r00</w:t>
        </w:r>
      </w:hyperlink>
      <w:r>
        <w:t xml:space="preserve">. Kivinen has taken a first pass at categorizing and marking up the comments received. He went through the individual comments and interactively began their resolution. </w:t>
      </w:r>
    </w:p>
    <w:p w:rsidR="009C32C8" w:rsidRDefault="009C32C8" w:rsidP="002D2CBD">
      <w:pPr>
        <w:pStyle w:val="ListParagraph"/>
        <w:numPr>
          <w:ilvl w:val="0"/>
          <w:numId w:val="2"/>
        </w:numPr>
        <w:ind w:left="0" w:firstLine="0"/>
      </w:pPr>
    </w:p>
    <w:p w:rsidR="002D2CBD" w:rsidRDefault="002D2CBD" w:rsidP="002D2CBD">
      <w:pPr>
        <w:pStyle w:val="ListParagraph"/>
        <w:numPr>
          <w:ilvl w:val="0"/>
          <w:numId w:val="2"/>
        </w:numPr>
        <w:ind w:left="0" w:firstLine="0"/>
      </w:pPr>
      <w:r>
        <w:t>The call was recessed at 2:55 p.m. E</w:t>
      </w:r>
      <w:r w:rsidR="009C32C8">
        <w:t>S</w:t>
      </w:r>
      <w:r>
        <w:t>T. Kivinen will circulate the updated comments spreadsheet, which shows how far comment resolution has progressed.</w:t>
      </w:r>
    </w:p>
    <w:p w:rsidR="002D2CBD" w:rsidRDefault="009C32C8" w:rsidP="009C32C8">
      <w:pPr>
        <w:pStyle w:val="Heading2"/>
        <w:numPr>
          <w:ilvl w:val="1"/>
          <w:numId w:val="2"/>
        </w:numPr>
      </w:pPr>
      <w:r>
        <w:t>Tuesday</w:t>
      </w:r>
      <w:r>
        <w:t xml:space="preserve">, </w:t>
      </w:r>
      <w:r>
        <w:t>January 19</w:t>
      </w:r>
      <w:r>
        <w:t>, 2021</w:t>
      </w:r>
    </w:p>
    <w:p w:rsidR="002D2CBD" w:rsidRDefault="002D2CBD" w:rsidP="002D2CBD">
      <w:pPr>
        <w:pStyle w:val="ListParagraph"/>
        <w:numPr>
          <w:ilvl w:val="0"/>
          <w:numId w:val="2"/>
        </w:numPr>
        <w:ind w:left="0" w:firstLine="0"/>
      </w:pPr>
      <w:r>
        <w:t>Kivinen called the meeting back into session at 12:02 p.m. E</w:t>
      </w:r>
      <w:r w:rsidR="009C32C8">
        <w:t>S</w:t>
      </w:r>
      <w:r>
        <w:t xml:space="preserve">T. He then continued discussing proposed comment resolutions as given in </w:t>
      </w:r>
      <w:hyperlink r:id="rId11" w:history="1">
        <w:r w:rsidRPr="00D02CAC">
          <w:rPr>
            <w:rStyle w:val="Hyperlink"/>
          </w:rPr>
          <w:t>15-21/0032r01</w:t>
        </w:r>
      </w:hyperlink>
      <w:r>
        <w:t>. All comment resolutions were discussed, with some assigned to the participants who were to get input from colleagues who weren’t able to make the call.</w:t>
      </w:r>
    </w:p>
    <w:p w:rsidR="009C32C8" w:rsidRDefault="009C32C8" w:rsidP="002D2CBD">
      <w:pPr>
        <w:pStyle w:val="ListParagraph"/>
        <w:numPr>
          <w:ilvl w:val="0"/>
          <w:numId w:val="2"/>
        </w:numPr>
        <w:ind w:left="0" w:firstLine="0"/>
      </w:pPr>
    </w:p>
    <w:p w:rsidR="002D2CBD" w:rsidRDefault="002D2CBD" w:rsidP="002D2CBD">
      <w:pPr>
        <w:pStyle w:val="ListParagraph"/>
        <w:numPr>
          <w:ilvl w:val="0"/>
          <w:numId w:val="2"/>
        </w:numPr>
        <w:ind w:left="0" w:firstLine="0"/>
      </w:pPr>
      <w:r>
        <w:t>Kivinen displayed the draft closing report (</w:t>
      </w:r>
      <w:hyperlink r:id="rId12" w:history="1">
        <w:r w:rsidRPr="005A07E4">
          <w:rPr>
            <w:rStyle w:val="Hyperlink"/>
          </w:rPr>
          <w:t>15-21/0017r01</w:t>
        </w:r>
      </w:hyperlink>
      <w:r>
        <w:t xml:space="preserve">). He updated the report to match the meeting’s achievements (see </w:t>
      </w:r>
      <w:hyperlink r:id="rId13" w:history="1">
        <w:r w:rsidRPr="005A07E4">
          <w:rPr>
            <w:rStyle w:val="Hyperlink"/>
          </w:rPr>
          <w:t>15-21/0017r02</w:t>
        </w:r>
      </w:hyperlink>
      <w:r>
        <w:t>).</w:t>
      </w:r>
    </w:p>
    <w:p w:rsidR="009C32C8" w:rsidRDefault="009C32C8" w:rsidP="002D2CBD">
      <w:pPr>
        <w:pStyle w:val="ListParagraph"/>
        <w:numPr>
          <w:ilvl w:val="0"/>
          <w:numId w:val="2"/>
        </w:numPr>
        <w:ind w:left="0" w:firstLine="0"/>
      </w:pPr>
    </w:p>
    <w:p w:rsidR="002D2CBD" w:rsidRDefault="002D2CBD" w:rsidP="002D2CBD">
      <w:pPr>
        <w:pStyle w:val="ListParagraph"/>
        <w:numPr>
          <w:ilvl w:val="0"/>
          <w:numId w:val="2"/>
        </w:numPr>
        <w:ind w:left="0" w:firstLine="0"/>
      </w:pPr>
      <w:r>
        <w:t>Since all comments were dealt with, Kivinen cancelled the session that was planned for the 20</w:t>
      </w:r>
      <w:r w:rsidRPr="002D2CBD">
        <w:rPr>
          <w:vertAlign w:val="superscript"/>
        </w:rPr>
        <w:t>th</w:t>
      </w:r>
      <w:r>
        <w:t>.</w:t>
      </w:r>
    </w:p>
    <w:p w:rsidR="009C766C" w:rsidRDefault="002D2CBD" w:rsidP="009C32C8">
      <w:pPr>
        <w:pStyle w:val="ListParagraph"/>
        <w:numPr>
          <w:ilvl w:val="0"/>
          <w:numId w:val="2"/>
        </w:numPr>
        <w:ind w:left="0" w:firstLine="0"/>
      </w:pPr>
      <w:r>
        <w:t>The meeting was adjourned at 1:30 p.m. EST.</w:t>
      </w:r>
      <w:bookmarkStart w:id="0" w:name="_GoBack"/>
      <w:bookmarkEnd w:id="0"/>
    </w:p>
    <w:sectPr w:rsidR="009C766C">
      <w:headerReference w:type="default" r:id="rId14"/>
      <w:footerReference w:type="default" r:id="rId15"/>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799" w:rsidRDefault="00497799">
      <w:pPr>
        <w:spacing w:before="0"/>
      </w:pPr>
      <w:r>
        <w:separator/>
      </w:r>
    </w:p>
  </w:endnote>
  <w:endnote w:type="continuationSeparator" w:id="0">
    <w:p w:rsidR="00497799" w:rsidRDefault="0049779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panose1 w:val="020B0606030804020204"/>
    <w:charset w:val="00"/>
    <w:family w:val="swiss"/>
    <w:pitch w:val="variable"/>
    <w:sig w:usb0="A00002AF" w:usb1="4000205B" w:usb2="00000028" w:usb3="00000000" w:csb0="0000009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Palatino">
    <w:altName w:val="Book Antiqua"/>
    <w:charset w:val="00"/>
    <w:family w:val="roman"/>
    <w:pitch w:val="variable"/>
  </w:font>
  <w:font w:name="New Century Schlbk;Century Scho">
    <w:altName w:val="Times New Roman"/>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rsidR="009C32C8">
      <w:rPr>
        <w:noProof/>
      </w:rPr>
      <w:t>1</w:t>
    </w:r>
    <w:r>
      <w:fldChar w:fldCharType="end"/>
    </w:r>
    <w:r>
      <w:tab/>
      <w:t xml:space="preserve">Tero Kivinen (Self) </w:t>
    </w:r>
    <w:r>
      <w:fldChar w:fldCharType="begin"/>
    </w:r>
    <w:r>
      <w:instrText>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799" w:rsidRDefault="00497799">
      <w:pPr>
        <w:spacing w:before="0"/>
      </w:pPr>
      <w:r>
        <w:separator/>
      </w:r>
    </w:p>
  </w:footnote>
  <w:footnote w:type="continuationSeparator" w:id="0">
    <w:p w:rsidR="00497799" w:rsidRDefault="0049779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2D2CBD">
      <w:rPr>
        <w:b/>
        <w:noProof/>
        <w:sz w:val="28"/>
      </w:rPr>
      <w:t>Feb 2021</w:t>
    </w:r>
    <w:r>
      <w:rPr>
        <w:b/>
        <w:sz w:val="28"/>
      </w:rPr>
      <w:fldChar w:fldCharType="end"/>
    </w:r>
    <w:r>
      <w:rPr>
        <w:b/>
        <w:sz w:val="28"/>
      </w:rPr>
      <w:tab/>
      <w:t xml:space="preserve"> I</w:t>
    </w:r>
    <w:r w:rsidR="002D2CBD">
      <w:rPr>
        <w:b/>
        <w:sz w:val="28"/>
      </w:rPr>
      <w:t>EEE P802.15 - 15-20-0092</w:t>
    </w:r>
    <w:r>
      <w:rPr>
        <w:b/>
        <w:sz w:val="28"/>
      </w:rPr>
      <w:t>-00-09ma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70CF"/>
    <w:multiLevelType w:val="multilevel"/>
    <w:tmpl w:val="0BFAD7D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1">
    <w:nsid w:val="48BB658A"/>
    <w:multiLevelType w:val="multilevel"/>
    <w:tmpl w:val="3C7487F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408"/>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C766C"/>
    <w:rsid w:val="002D2CBD"/>
    <w:rsid w:val="00497799"/>
    <w:rsid w:val="009C32C8"/>
    <w:rsid w:val="009C76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numPr>
        <w:numId w:val="1"/>
      </w:numPr>
      <w:spacing w:before="288" w:after="288"/>
      <w:outlineLvl w:val="0"/>
    </w:pPr>
    <w:rPr>
      <w:rFonts w:ascii="Arial" w:hAnsi="Arial" w:cs="Arial"/>
      <w:b/>
      <w:kern w:val="2"/>
      <w:sz w:val="28"/>
    </w:rPr>
  </w:style>
  <w:style w:type="paragraph" w:styleId="Heading2">
    <w:name w:val="heading 2"/>
    <w:basedOn w:val="Normal"/>
    <w:next w:val="Normal"/>
    <w:qFormat/>
    <w:pPr>
      <w:keepNext/>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numPr>
        <w:ilvl w:val="2"/>
        <w:numId w:val="1"/>
      </w:numPr>
      <w:tabs>
        <w:tab w:val="left" w:pos="792"/>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ind w:left="360" w:firstLine="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customStyle="1" w:styleId="InternetLink">
    <w:name w:val="Internet Link"/>
    <w:basedOn w:val="DefaultParagraphFont"/>
    <w:uiPriority w:val="99"/>
    <w:unhideWhenUsed/>
    <w:rsid w:val="00F10AC5"/>
    <w:rPr>
      <w:color w:val="0000FF"/>
      <w:u w:val="single"/>
    </w:rPr>
  </w:style>
  <w:style w:type="character" w:customStyle="1" w:styleId="ListLabel1">
    <w:name w:val="ListLabel 1"/>
    <w:qFormat/>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C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018-00-09ma-tg9ma-january-agenda.pptx" TargetMode="External"/><Relationship Id="rId13" Type="http://schemas.openxmlformats.org/officeDocument/2006/relationships/hyperlink" Target="https://mentor.ieee.org/802.15/dcn/21/15-21-0017-02-09ma-tg9ma-january-closing.ppt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ntor.ieee.org/802.15/dcn/21/15-21-0017-01-09ma-tg9ma-january-closing.ppt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5/dcn/21/15-21-0032-01-09ma-sa-ballot-comments.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5/dcn/21/15-21-0032-00-09ma-sa-ballot-comments.xlsx" TargetMode="External"/><Relationship Id="rId4" Type="http://schemas.openxmlformats.org/officeDocument/2006/relationships/settings" Target="settings.xml"/><Relationship Id="rId9" Type="http://schemas.openxmlformats.org/officeDocument/2006/relationships/hyperlink" Target="https://mentor.ieee.org/802.15/dcn/20/15-20-0324-00-09ma-tg9ma-november-minutes.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Peter E. Yee</cp:lastModifiedBy>
  <cp:revision>76</cp:revision>
  <dcterms:created xsi:type="dcterms:W3CDTF">2014-05-15T09:21:00Z</dcterms:created>
  <dcterms:modified xsi:type="dcterms:W3CDTF">2021-02-05T04:36:00Z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