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FC636C"/>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D3F214C" w:rsidR="005615A6" w:rsidRDefault="001070E5" w:rsidP="003B5F7C">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3B5F7C">
              <w:rPr>
                <w:b/>
                <w:sz w:val="28"/>
              </w:rPr>
              <w:t>July 2020 Plenary</w:t>
            </w:r>
            <w:r w:rsidR="0087286E">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5AA6959D" w:rsidR="005615A6" w:rsidRDefault="005615A6" w:rsidP="00E0643C">
            <w:pPr>
              <w:pStyle w:val="covertext"/>
            </w:pPr>
            <w:r>
              <w:t>[</w:t>
            </w:r>
            <w:r w:rsidR="005C0454">
              <w:t>Ju</w:t>
            </w:r>
            <w:r w:rsidR="00E5369D">
              <w:t>ly</w:t>
            </w:r>
            <w:r w:rsidR="00112907">
              <w:t xml:space="preserve"> </w:t>
            </w:r>
            <w:r w:rsidR="001E2710">
              <w:t>1</w:t>
            </w:r>
            <w:r w:rsidR="00E0643C">
              <w:t>5</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2A1C723E" w:rsidR="005615A6" w:rsidRDefault="005615A6" w:rsidP="00E06E39">
            <w:pPr>
              <w:pStyle w:val="covertext"/>
            </w:pPr>
            <w:r>
              <w:t>[IEEE 802.15</w:t>
            </w:r>
            <w:r w:rsidR="003B5F7C">
              <w:t>.</w:t>
            </w:r>
            <w:r w:rsidR="00F736B5">
              <w:t>4y SECN</w:t>
            </w:r>
            <w:r w:rsidR="001B390B">
              <w:t xml:space="preserve"> </w:t>
            </w:r>
            <w:r w:rsidR="003B5F7C">
              <w:t>July 2020 Plenary Teleconference</w:t>
            </w:r>
            <w:r w:rsidR="00F50806">
              <w:t xml:space="preserv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603C86D" w:rsidR="00010C42" w:rsidRDefault="00010C42" w:rsidP="00010C42">
      <w:pPr>
        <w:jc w:val="center"/>
        <w:rPr>
          <w:sz w:val="32"/>
        </w:rPr>
      </w:pPr>
      <w:r>
        <w:rPr>
          <w:sz w:val="32"/>
        </w:rPr>
        <w:lastRenderedPageBreak/>
        <w:t>IEEE 802.15</w:t>
      </w:r>
      <w:r w:rsidR="00F736B5">
        <w:rPr>
          <w:sz w:val="32"/>
        </w:rPr>
        <w:t xml:space="preserve">.4y SECN </w:t>
      </w:r>
      <w:r w:rsidR="003B5F7C">
        <w:rPr>
          <w:sz w:val="32"/>
        </w:rPr>
        <w:t>July 2020 Plenary</w:t>
      </w:r>
      <w:r w:rsidR="00F50806">
        <w:rPr>
          <w:sz w:val="32"/>
        </w:rPr>
        <w:t xml:space="preserve">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63C497AC" w14:textId="77777777" w:rsidR="00C97B92" w:rsidRDefault="00C97B92" w:rsidP="00010C42">
      <w:pPr>
        <w:rPr>
          <w:sz w:val="32"/>
        </w:rPr>
      </w:pPr>
    </w:p>
    <w:p w14:paraId="1DA310AF" w14:textId="13C3CA51" w:rsidR="008D6353" w:rsidRDefault="008D6353" w:rsidP="00010C42">
      <w:pPr>
        <w:rPr>
          <w:sz w:val="32"/>
        </w:rPr>
      </w:pPr>
      <w:r>
        <w:rPr>
          <w:sz w:val="32"/>
        </w:rPr>
        <w:t>(Session 1)</w:t>
      </w:r>
    </w:p>
    <w:p w14:paraId="5A2CBF15" w14:textId="41E43AA9" w:rsidR="003B5F7C" w:rsidRDefault="003B5F7C" w:rsidP="00010C42">
      <w:pPr>
        <w:rPr>
          <w:sz w:val="32"/>
        </w:rPr>
      </w:pPr>
      <w:r>
        <w:rPr>
          <w:sz w:val="32"/>
        </w:rPr>
        <w:t xml:space="preserve">Ayman </w:t>
      </w:r>
      <w:proofErr w:type="spellStart"/>
      <w:r w:rsidRPr="003B5F7C">
        <w:rPr>
          <w:sz w:val="32"/>
        </w:rPr>
        <w:t>Naguib</w:t>
      </w:r>
      <w:proofErr w:type="spellEnd"/>
      <w:r>
        <w:rPr>
          <w:sz w:val="32"/>
        </w:rPr>
        <w:t xml:space="preserve"> (Apple)</w:t>
      </w:r>
    </w:p>
    <w:p w14:paraId="4FF0BEFF" w14:textId="68EF76A8" w:rsidR="00FE31C9" w:rsidRDefault="00FE31C9" w:rsidP="00010C42">
      <w:pPr>
        <w:rPr>
          <w:sz w:val="32"/>
        </w:rPr>
      </w:pPr>
      <w:r>
        <w:rPr>
          <w:sz w:val="32"/>
        </w:rPr>
        <w:t>Tero Kivinen (self)</w:t>
      </w:r>
    </w:p>
    <w:p w14:paraId="5AE1ABC6" w14:textId="77777777" w:rsid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4E545757" w14:textId="30696C37" w:rsidR="00FE31C9" w:rsidRDefault="00FE31C9" w:rsidP="003756AD">
      <w:pPr>
        <w:rPr>
          <w:sz w:val="32"/>
        </w:rPr>
      </w:pPr>
      <w:r>
        <w:rPr>
          <w:sz w:val="32"/>
        </w:rPr>
        <w:t>Ruben Salazar (</w:t>
      </w:r>
      <w:proofErr w:type="spellStart"/>
      <w:r w:rsidR="0045793B" w:rsidRPr="0045793B">
        <w:rPr>
          <w:sz w:val="32"/>
        </w:rPr>
        <w:t>Landis+Gyr</w:t>
      </w:r>
      <w:proofErr w:type="spellEnd"/>
      <w:r>
        <w:rPr>
          <w:sz w:val="32"/>
        </w:rPr>
        <w:t>)</w:t>
      </w:r>
    </w:p>
    <w:p w14:paraId="18DE539A" w14:textId="243A0B32"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Default="003756AD" w:rsidP="003756AD">
      <w:pPr>
        <w:rPr>
          <w:sz w:val="32"/>
        </w:rPr>
      </w:pPr>
      <w:r w:rsidRPr="003756AD">
        <w:rPr>
          <w:sz w:val="32"/>
        </w:rPr>
        <w:t>Peter Yee (NSA-CSD)</w:t>
      </w:r>
    </w:p>
    <w:p w14:paraId="74E0604C" w14:textId="77777777" w:rsidR="008D6353" w:rsidRDefault="008D6353" w:rsidP="003756AD">
      <w:pPr>
        <w:rPr>
          <w:sz w:val="32"/>
        </w:rPr>
      </w:pPr>
    </w:p>
    <w:p w14:paraId="5A2C88BE" w14:textId="7986C99F" w:rsidR="008D6353" w:rsidRDefault="008D6353" w:rsidP="003756AD">
      <w:pPr>
        <w:rPr>
          <w:sz w:val="32"/>
        </w:rPr>
      </w:pPr>
      <w:r>
        <w:rPr>
          <w:sz w:val="32"/>
        </w:rPr>
        <w:t>(Session 2)</w:t>
      </w:r>
    </w:p>
    <w:p w14:paraId="6AFFD825" w14:textId="21A2C7CF" w:rsidR="005630AA" w:rsidRDefault="005630AA" w:rsidP="003756AD">
      <w:pPr>
        <w:rPr>
          <w:sz w:val="32"/>
        </w:rPr>
      </w:pPr>
      <w:r>
        <w:rPr>
          <w:sz w:val="32"/>
        </w:rPr>
        <w:t>Chris Calvert</w:t>
      </w:r>
      <w:r w:rsidR="00892944">
        <w:rPr>
          <w:sz w:val="32"/>
        </w:rPr>
        <w:t xml:space="preserve"> (</w:t>
      </w:r>
      <w:proofErr w:type="spellStart"/>
      <w:r w:rsidR="00892944">
        <w:rPr>
          <w:sz w:val="32"/>
        </w:rPr>
        <w:t>Landis+Gyr</w:t>
      </w:r>
      <w:proofErr w:type="spellEnd"/>
      <w:r w:rsidR="00892944">
        <w:rPr>
          <w:sz w:val="32"/>
        </w:rPr>
        <w:t>)</w:t>
      </w:r>
    </w:p>
    <w:p w14:paraId="287CD265" w14:textId="19B72212" w:rsidR="008D6353" w:rsidRDefault="008D6353" w:rsidP="003756AD">
      <w:pPr>
        <w:rPr>
          <w:sz w:val="32"/>
        </w:rPr>
      </w:pPr>
      <w:r>
        <w:rPr>
          <w:sz w:val="32"/>
        </w:rPr>
        <w:t xml:space="preserve">Chris </w:t>
      </w:r>
      <w:proofErr w:type="spellStart"/>
      <w:r>
        <w:rPr>
          <w:sz w:val="32"/>
        </w:rPr>
        <w:t>Hett</w:t>
      </w:r>
      <w:proofErr w:type="spellEnd"/>
      <w:r w:rsidR="00892944">
        <w:rPr>
          <w:sz w:val="32"/>
        </w:rPr>
        <w:t xml:space="preserve"> (</w:t>
      </w:r>
      <w:proofErr w:type="spellStart"/>
      <w:r w:rsidR="00892944">
        <w:rPr>
          <w:sz w:val="32"/>
        </w:rPr>
        <w:t>Landis+</w:t>
      </w:r>
      <w:r w:rsidR="00CD76C7">
        <w:rPr>
          <w:sz w:val="32"/>
        </w:rPr>
        <w:t>Gyr</w:t>
      </w:r>
      <w:proofErr w:type="spellEnd"/>
      <w:r w:rsidR="00CD76C7">
        <w:rPr>
          <w:sz w:val="32"/>
        </w:rPr>
        <w:t>)</w:t>
      </w:r>
    </w:p>
    <w:p w14:paraId="3B41EC21" w14:textId="6B0C7398" w:rsidR="005630AA" w:rsidRDefault="005630AA" w:rsidP="003756AD">
      <w:pPr>
        <w:rPr>
          <w:sz w:val="32"/>
        </w:rPr>
      </w:pPr>
      <w:r>
        <w:rPr>
          <w:sz w:val="32"/>
        </w:rPr>
        <w:t>Tero Kivinen</w:t>
      </w:r>
    </w:p>
    <w:p w14:paraId="35D95977" w14:textId="28D88966" w:rsidR="008D6353" w:rsidRDefault="008D6353" w:rsidP="003756AD">
      <w:pPr>
        <w:rPr>
          <w:sz w:val="32"/>
        </w:rPr>
      </w:pPr>
      <w:r>
        <w:rPr>
          <w:sz w:val="32"/>
        </w:rPr>
        <w:t>Ann Krieger</w:t>
      </w:r>
    </w:p>
    <w:p w14:paraId="5EDB3114" w14:textId="19F6B4A5" w:rsidR="008D6353" w:rsidRDefault="008D6353" w:rsidP="003756AD">
      <w:pPr>
        <w:rPr>
          <w:sz w:val="32"/>
        </w:rPr>
      </w:pPr>
      <w:r>
        <w:rPr>
          <w:sz w:val="32"/>
        </w:rPr>
        <w:t>Miguel Lopez</w:t>
      </w:r>
    </w:p>
    <w:p w14:paraId="219B505C" w14:textId="504967D0" w:rsidR="00850D74" w:rsidRDefault="00850D74" w:rsidP="003756AD">
      <w:pPr>
        <w:rPr>
          <w:sz w:val="32"/>
        </w:rPr>
      </w:pPr>
      <w:proofErr w:type="spellStart"/>
      <w:r>
        <w:rPr>
          <w:sz w:val="32"/>
        </w:rPr>
        <w:t>Jarek</w:t>
      </w:r>
      <w:proofErr w:type="spellEnd"/>
      <w:r>
        <w:rPr>
          <w:sz w:val="32"/>
        </w:rPr>
        <w:t xml:space="preserve"> </w:t>
      </w:r>
      <w:proofErr w:type="spellStart"/>
      <w:r>
        <w:rPr>
          <w:sz w:val="32"/>
        </w:rPr>
        <w:t>Niewczas</w:t>
      </w:r>
      <w:proofErr w:type="spellEnd"/>
      <w:r>
        <w:rPr>
          <w:sz w:val="32"/>
        </w:rPr>
        <w:t xml:space="preserve"> (</w:t>
      </w:r>
      <w:proofErr w:type="spellStart"/>
      <w:r>
        <w:rPr>
          <w:sz w:val="32"/>
        </w:rPr>
        <w:t>Decawave</w:t>
      </w:r>
      <w:proofErr w:type="spellEnd"/>
      <w:r>
        <w:rPr>
          <w:sz w:val="32"/>
        </w:rPr>
        <w:t>)</w:t>
      </w:r>
    </w:p>
    <w:p w14:paraId="55F79252" w14:textId="15B52B88" w:rsidR="00892944" w:rsidRDefault="00892944" w:rsidP="003756AD">
      <w:pPr>
        <w:rPr>
          <w:sz w:val="32"/>
        </w:rPr>
      </w:pPr>
      <w:r>
        <w:rPr>
          <w:sz w:val="32"/>
        </w:rPr>
        <w:t>Ruben Salazar</w:t>
      </w:r>
    </w:p>
    <w:p w14:paraId="4E65E306" w14:textId="17A722E6" w:rsidR="003055DD" w:rsidRDefault="003055DD" w:rsidP="003756AD">
      <w:pPr>
        <w:rPr>
          <w:sz w:val="32"/>
        </w:rPr>
      </w:pPr>
      <w:r>
        <w:rPr>
          <w:sz w:val="32"/>
        </w:rPr>
        <w:t xml:space="preserve">Jonas </w:t>
      </w:r>
      <w:proofErr w:type="spellStart"/>
      <w:r>
        <w:rPr>
          <w:sz w:val="32"/>
        </w:rPr>
        <w:t>Sedin</w:t>
      </w:r>
      <w:proofErr w:type="spellEnd"/>
      <w:r w:rsidR="00AB2B80">
        <w:rPr>
          <w:sz w:val="32"/>
        </w:rPr>
        <w:t xml:space="preserve"> (Ericsson)</w:t>
      </w:r>
    </w:p>
    <w:p w14:paraId="278843DA" w14:textId="319FCED9" w:rsidR="008D6353" w:rsidRDefault="008D6353" w:rsidP="003756AD">
      <w:pPr>
        <w:rPr>
          <w:sz w:val="32"/>
        </w:rPr>
      </w:pPr>
      <w:r>
        <w:rPr>
          <w:sz w:val="32"/>
        </w:rPr>
        <w:t>Don Sturek</w:t>
      </w:r>
    </w:p>
    <w:p w14:paraId="161BE473" w14:textId="7825A9B3" w:rsidR="008D6353" w:rsidRDefault="008D6353" w:rsidP="003756AD">
      <w:pPr>
        <w:rPr>
          <w:sz w:val="32"/>
        </w:rPr>
      </w:pPr>
      <w:proofErr w:type="spellStart"/>
      <w:r>
        <w:rPr>
          <w:sz w:val="32"/>
        </w:rPr>
        <w:t>Kunal</w:t>
      </w:r>
      <w:proofErr w:type="spellEnd"/>
      <w:r>
        <w:rPr>
          <w:sz w:val="32"/>
        </w:rPr>
        <w:t xml:space="preserve"> Shah</w:t>
      </w:r>
    </w:p>
    <w:p w14:paraId="03B562C8" w14:textId="609B4F92" w:rsidR="00CD76C7" w:rsidRDefault="00CD76C7" w:rsidP="003756AD">
      <w:pPr>
        <w:rPr>
          <w:sz w:val="32"/>
        </w:rPr>
      </w:pPr>
      <w:r>
        <w:rPr>
          <w:sz w:val="32"/>
        </w:rPr>
        <w:t xml:space="preserve">Leif </w:t>
      </w:r>
      <w:proofErr w:type="spellStart"/>
      <w:r>
        <w:rPr>
          <w:sz w:val="32"/>
        </w:rPr>
        <w:t>Wilhelmsson</w:t>
      </w:r>
      <w:proofErr w:type="spellEnd"/>
      <w:r>
        <w:rPr>
          <w:sz w:val="32"/>
        </w:rPr>
        <w:t xml:space="preserve"> (Ericsson)</w:t>
      </w:r>
    </w:p>
    <w:p w14:paraId="4717D3D0" w14:textId="57EC41BF" w:rsidR="008D6353" w:rsidRPr="003756AD" w:rsidRDefault="008D6353" w:rsidP="003756AD">
      <w:pPr>
        <w:rPr>
          <w:sz w:val="32"/>
        </w:rPr>
      </w:pPr>
      <w:r>
        <w:rPr>
          <w:sz w:val="32"/>
        </w:rPr>
        <w:t>Peter Yee</w:t>
      </w:r>
    </w:p>
    <w:p w14:paraId="58F60BC3" w14:textId="77777777" w:rsidR="006E6AE9" w:rsidRDefault="006E6AE9" w:rsidP="006E6AE9">
      <w:pPr>
        <w:rPr>
          <w:sz w:val="32"/>
        </w:rPr>
      </w:pPr>
    </w:p>
    <w:p w14:paraId="16654D59" w14:textId="27018AB1" w:rsidR="0031110A" w:rsidRDefault="0032579C" w:rsidP="0031110A">
      <w:pPr>
        <w:spacing w:after="120"/>
      </w:pPr>
      <w:r>
        <w:t>The chair, Don Sturek</w:t>
      </w:r>
      <w:r w:rsidR="0031110A">
        <w:t>, c</w:t>
      </w:r>
      <w:r w:rsidR="00DD3644">
        <w:t>alled the meeting to order at 17:0</w:t>
      </w:r>
      <w:r w:rsidR="001E2710">
        <w:t>2</w:t>
      </w:r>
      <w:r w:rsidR="0031110A">
        <w:t xml:space="preserve"> ET</w:t>
      </w:r>
      <w:r w:rsidR="00063DB0">
        <w:t xml:space="preserve"> on Tuesday, July 14, 2020</w:t>
      </w:r>
      <w:r w:rsidR="0031110A">
        <w:t xml:space="preserve">. </w:t>
      </w:r>
      <w:r w:rsidR="001E2710">
        <w:t>Sturek display</w:t>
      </w:r>
      <w:r w:rsidR="00C97B92">
        <w:t>ed</w:t>
      </w:r>
      <w:r w:rsidR="001E2710">
        <w:t xml:space="preserve"> the agenda (</w:t>
      </w:r>
      <w:hyperlink r:id="rId9" w:history="1">
        <w:r w:rsidR="001E2710" w:rsidRPr="00C97B92">
          <w:rPr>
            <w:rStyle w:val="Hyperlink"/>
          </w:rPr>
          <w:t>15-20/0180r00</w:t>
        </w:r>
      </w:hyperlink>
      <w:r w:rsidR="001E2710">
        <w:t>). He</w:t>
      </w:r>
      <w:r w:rsidR="0031110A">
        <w:t xml:space="preserve"> asked if any of the teleconference participants had any essential patents to disclose. No one did. </w:t>
      </w:r>
      <w:r w:rsidR="001E2710">
        <w:t>There will be two sessions during this virtual plenary meeting. The minutes (</w:t>
      </w:r>
      <w:hyperlink r:id="rId10" w:history="1">
        <w:r w:rsidR="001E2710" w:rsidRPr="001E2710">
          <w:rPr>
            <w:rStyle w:val="Hyperlink"/>
          </w:rPr>
          <w:t>15-20/0033r00</w:t>
        </w:r>
      </w:hyperlink>
      <w:r w:rsidR="001E2710">
        <w:t xml:space="preserve">) of the interim meeting in Irvine were approved by unanimous consent. </w:t>
      </w:r>
      <w:r w:rsidR="0031110A">
        <w:t>The minutes</w:t>
      </w:r>
      <w:r w:rsidR="00E5369D">
        <w:t xml:space="preserve"> (</w:t>
      </w:r>
      <w:hyperlink r:id="rId11" w:history="1">
        <w:r w:rsidR="001E2710">
          <w:rPr>
            <w:rStyle w:val="Hyperlink"/>
          </w:rPr>
          <w:t>15-20/0170r00</w:t>
        </w:r>
      </w:hyperlink>
      <w:r w:rsidR="00E5369D">
        <w:t>)</w:t>
      </w:r>
      <w:r w:rsidR="0031110A">
        <w:t xml:space="preserve"> of the </w:t>
      </w:r>
      <w:r w:rsidR="001E2710">
        <w:t>July</w:t>
      </w:r>
      <w:r w:rsidR="0031110A">
        <w:t xml:space="preserve"> </w:t>
      </w:r>
      <w:r w:rsidR="001E2710">
        <w:t>7</w:t>
      </w:r>
      <w:r w:rsidR="00365EF1" w:rsidRPr="00365EF1">
        <w:rPr>
          <w:vertAlign w:val="superscript"/>
        </w:rPr>
        <w:t>th</w:t>
      </w:r>
      <w:r w:rsidR="00365EF1">
        <w:t xml:space="preserve"> </w:t>
      </w:r>
      <w:r w:rsidR="001E2710">
        <w:t xml:space="preserve">CRG </w:t>
      </w:r>
      <w:r w:rsidR="0031110A">
        <w:t>meeting wer</w:t>
      </w:r>
      <w:r w:rsidR="00DD3644">
        <w:t xml:space="preserve">e </w:t>
      </w:r>
      <w:r w:rsidR="001E2710">
        <w:t xml:space="preserve">also </w:t>
      </w:r>
      <w:r w:rsidR="00365EF1">
        <w:t xml:space="preserve">approved by </w:t>
      </w:r>
      <w:r w:rsidR="001E2710">
        <w:t>unanimous consent.</w:t>
      </w:r>
    </w:p>
    <w:p w14:paraId="2042868E" w14:textId="21920DB2" w:rsidR="0046380D" w:rsidRDefault="00DD3644" w:rsidP="0032579C">
      <w:pPr>
        <w:spacing w:after="120"/>
      </w:pPr>
      <w:r>
        <w:lastRenderedPageBreak/>
        <w:t>Sturek displayed the current state of the comment resolution spreadsheet (</w:t>
      </w:r>
      <w:hyperlink r:id="rId12" w:history="1">
        <w:r w:rsidR="003B5F7C">
          <w:rPr>
            <w:rStyle w:val="Hyperlink"/>
          </w:rPr>
          <w:t>15-20/0103r07</w:t>
        </w:r>
      </w:hyperlink>
      <w:r w:rsidR="00365EF1">
        <w:t>). Comme</w:t>
      </w:r>
      <w:r w:rsidR="003B5F7C">
        <w:t>nt resolution resumed at CID 147.</w:t>
      </w:r>
    </w:p>
    <w:p w14:paraId="44542718" w14:textId="7C95EC9B" w:rsidR="003B5F7C" w:rsidRDefault="003B5F7C" w:rsidP="0032579C">
      <w:pPr>
        <w:spacing w:after="120"/>
      </w:pPr>
      <w:r>
        <w:t xml:space="preserve">CID 147: </w:t>
      </w:r>
      <w:r w:rsidR="007A0021">
        <w:t>t</w:t>
      </w:r>
      <w:r>
        <w:t>he editing instructions will be amended to use the allowable verb “Replace” and the reference to the paragraph in question will be clarified. This resolution also applied to CIDs 84 and 38.</w:t>
      </w:r>
    </w:p>
    <w:p w14:paraId="38E46087" w14:textId="420F2C89" w:rsidR="000E0137" w:rsidRDefault="000E0137" w:rsidP="0032579C">
      <w:pPr>
        <w:spacing w:after="120"/>
      </w:pPr>
      <w:r>
        <w:t>CID 39 is covered by the multiline resolution for CID 147.</w:t>
      </w:r>
    </w:p>
    <w:p w14:paraId="4382F472" w14:textId="4CE55FD0" w:rsidR="000E0137" w:rsidRDefault="000E0137" w:rsidP="0032579C">
      <w:pPr>
        <w:spacing w:after="120"/>
      </w:pPr>
      <w:r>
        <w:t>CID 87 is accepted.</w:t>
      </w:r>
    </w:p>
    <w:p w14:paraId="16999332" w14:textId="7C6740EB" w:rsidR="000E0137" w:rsidRDefault="000E0137" w:rsidP="0032579C">
      <w:pPr>
        <w:spacing w:after="120"/>
      </w:pPr>
      <w:r>
        <w:t>CID 88 is resolved along the same lines as CID 147.</w:t>
      </w:r>
    </w:p>
    <w:p w14:paraId="017BE988" w14:textId="73DF74CA" w:rsidR="006B2087" w:rsidRDefault="006B2087" w:rsidP="0032579C">
      <w:pPr>
        <w:spacing w:after="120"/>
      </w:pPr>
      <w:r>
        <w:t>CID 41 is accepted in revised form.</w:t>
      </w:r>
    </w:p>
    <w:p w14:paraId="09BAC31A" w14:textId="388752BC" w:rsidR="006B2087" w:rsidRDefault="006B2087" w:rsidP="0032579C">
      <w:pPr>
        <w:spacing w:after="120"/>
      </w:pPr>
      <w:r>
        <w:t>CID 146</w:t>
      </w:r>
      <w:r w:rsidR="007A0021">
        <w:t xml:space="preserve">: the enumeration type for </w:t>
      </w:r>
      <w:proofErr w:type="spellStart"/>
      <w:r w:rsidR="007A0021">
        <w:t>s</w:t>
      </w:r>
      <w:r>
        <w:t>ecAeadAlgorithm</w:t>
      </w:r>
      <w:proofErr w:type="spellEnd"/>
      <w:r>
        <w:t xml:space="preserve"> in Table 9-10</w:t>
      </w:r>
      <w:r w:rsidR="007A0021">
        <w:t xml:space="preserve"> will be changed to an integer type. The range column for </w:t>
      </w:r>
      <w:proofErr w:type="spellStart"/>
      <w:r w:rsidR="007A0021">
        <w:t>secAeadAlgorithm</w:t>
      </w:r>
      <w:proofErr w:type="spellEnd"/>
      <w:r w:rsidR="007A0021">
        <w:t xml:space="preserve"> in Table 9-10 will then point to Table 9-8a, which will itself see its first column header changed to “Name”.</w:t>
      </w:r>
      <w:r w:rsidR="00932C3C">
        <w:t xml:space="preserve"> This resolution applies to CID 44 also.</w:t>
      </w:r>
    </w:p>
    <w:p w14:paraId="68CB9DDE" w14:textId="1426B50A" w:rsidR="007A0021" w:rsidRDefault="007A0021" w:rsidP="0032579C">
      <w:pPr>
        <w:spacing w:after="120"/>
      </w:pPr>
      <w:r>
        <w:t>CID 91 is accepted to add a note indicating the difference between AES-128-CCM and AES-128-CCM*.</w:t>
      </w:r>
    </w:p>
    <w:p w14:paraId="1D03D2E2" w14:textId="317A3671" w:rsidR="00932C3C" w:rsidRDefault="007A0021" w:rsidP="0032579C">
      <w:pPr>
        <w:spacing w:after="120"/>
      </w:pPr>
      <w:r>
        <w:t xml:space="preserve">CID 43 requests correction of the changes to Table 9-10 to show what’s being deleted, what’s added, and what’s being modified. </w:t>
      </w:r>
      <w:r w:rsidR="00932C3C">
        <w:t>It is accepted in revised form. The resolution applies to CIDs 92 and 149.</w:t>
      </w:r>
    </w:p>
    <w:p w14:paraId="0B879656" w14:textId="575DEEDD" w:rsidR="003B5F7C" w:rsidRDefault="00932C3C" w:rsidP="0032579C">
      <w:pPr>
        <w:spacing w:after="120"/>
      </w:pPr>
      <w:r>
        <w:t xml:space="preserve">CID 45 is accepted to improve the description of </w:t>
      </w:r>
      <w:proofErr w:type="spellStart"/>
      <w:r>
        <w:t>secAeadAlgorithm</w:t>
      </w:r>
      <w:proofErr w:type="spellEnd"/>
      <w:r>
        <w:t>.</w:t>
      </w:r>
    </w:p>
    <w:p w14:paraId="7BE33B11" w14:textId="477EED34" w:rsidR="00932C3C" w:rsidRDefault="00932C3C" w:rsidP="0032579C">
      <w:pPr>
        <w:spacing w:after="120"/>
      </w:pPr>
      <w:r>
        <w:t>CID 95 is rejected as unnecessary, with the consent of the comment submitter.</w:t>
      </w:r>
    </w:p>
    <w:p w14:paraId="2B1B0AED" w14:textId="716C3978" w:rsidR="00932C3C" w:rsidRDefault="00932C3C" w:rsidP="0032579C">
      <w:pPr>
        <w:spacing w:after="120"/>
      </w:pPr>
      <w:r>
        <w:t>CID 93 is accepted as it is covered by the resolution to CID 43.</w:t>
      </w:r>
    </w:p>
    <w:p w14:paraId="0AB9B234" w14:textId="4AE4B759" w:rsidR="003B5F7C" w:rsidRDefault="00932C3C" w:rsidP="0032579C">
      <w:pPr>
        <w:spacing w:after="120"/>
      </w:pPr>
      <w:r>
        <w:t xml:space="preserve">CID 46 </w:t>
      </w:r>
      <w:r w:rsidR="00B94BDC">
        <w:t>makes similar changes to Table 9-15 as were applied to Table 9-10 by CID 43. It is accepted in revised form.</w:t>
      </w:r>
    </w:p>
    <w:p w14:paraId="6EA0D6F4" w14:textId="5D283B81" w:rsidR="00B15DCD" w:rsidRDefault="00B15DCD" w:rsidP="0032579C">
      <w:pPr>
        <w:spacing w:after="120"/>
      </w:pPr>
      <w:r>
        <w:t xml:space="preserve">Sturek uploaded the revised comment spreadsheet as </w:t>
      </w:r>
      <w:hyperlink r:id="rId13" w:history="1">
        <w:r w:rsidRPr="00B15DCD">
          <w:rPr>
            <w:rStyle w:val="Hyperlink"/>
          </w:rPr>
          <w:t>15-20/0103r08</w:t>
        </w:r>
      </w:hyperlink>
      <w:r>
        <w:t>.</w:t>
      </w:r>
    </w:p>
    <w:p w14:paraId="6DDCCE56" w14:textId="2B814C06" w:rsidR="00B94BDC" w:rsidRDefault="00B94BDC" w:rsidP="0032579C">
      <w:pPr>
        <w:spacing w:after="120"/>
      </w:pPr>
      <w:r>
        <w:t xml:space="preserve">The meeting was </w:t>
      </w:r>
      <w:r w:rsidR="00011845">
        <w:t>recessed</w:t>
      </w:r>
      <w:r>
        <w:t xml:space="preserve"> at 18:02 ET.</w:t>
      </w:r>
    </w:p>
    <w:p w14:paraId="42F1C87B" w14:textId="7035936A" w:rsidR="008D6353" w:rsidRDefault="008D6353" w:rsidP="0032579C">
      <w:pPr>
        <w:spacing w:after="120"/>
      </w:pPr>
      <w:r>
        <w:t>The meeting was reconvened at 1</w:t>
      </w:r>
      <w:r w:rsidR="00921EA1">
        <w:t xml:space="preserve">3:33 </w:t>
      </w:r>
      <w:r>
        <w:t>ET on Wednesday, July 15, 2020.</w:t>
      </w:r>
    </w:p>
    <w:p w14:paraId="391D7904" w14:textId="2AC17B7A" w:rsidR="00CD76C7" w:rsidRDefault="00CD76C7" w:rsidP="0032579C">
      <w:pPr>
        <w:spacing w:after="120"/>
      </w:pPr>
      <w:r>
        <w:t>The closing report (</w:t>
      </w:r>
      <w:hyperlink r:id="rId14" w:history="1">
        <w:r w:rsidRPr="00CD76C7">
          <w:rPr>
            <w:rStyle w:val="Hyperlink"/>
          </w:rPr>
          <w:t>15-20/0186r00</w:t>
        </w:r>
      </w:hyperlink>
      <w:r w:rsidR="00AE5E93">
        <w:t xml:space="preserve">, </w:t>
      </w:r>
      <w:r w:rsidR="00C97B92">
        <w:t>which was</w:t>
      </w:r>
      <w:r w:rsidR="00AE5E93">
        <w:t xml:space="preserve"> updated after the meeting to </w:t>
      </w:r>
      <w:hyperlink r:id="rId15" w:history="1">
        <w:r w:rsidR="00AE5E93" w:rsidRPr="00AE5E93">
          <w:rPr>
            <w:rStyle w:val="Hyperlink"/>
          </w:rPr>
          <w:t>15-20/0186r01</w:t>
        </w:r>
      </w:hyperlink>
      <w:r>
        <w:t xml:space="preserve">) has been posted. The plan before the next meeting will be to complete comment resolution from LB167 and generate a new draft. A stable version of IEEE 802.15.4-2020 would help in that regard. A recirculation ballot will be held and then comment resolution on that ballot will take place. The timeline will push the next WG ballot </w:t>
      </w:r>
      <w:r w:rsidR="00C97B92">
        <w:t xml:space="preserve">from July </w:t>
      </w:r>
      <w:r>
        <w:t>to August.</w:t>
      </w:r>
    </w:p>
    <w:p w14:paraId="5606B3D5" w14:textId="3B5A4437" w:rsidR="00CD76C7" w:rsidRDefault="00CD76C7" w:rsidP="0032579C">
      <w:pPr>
        <w:spacing w:after="120"/>
      </w:pPr>
      <w:proofErr w:type="spellStart"/>
      <w:r>
        <w:t>Kunal</w:t>
      </w:r>
      <w:proofErr w:type="spellEnd"/>
      <w:r>
        <w:t xml:space="preserve"> Shah moved and Chris </w:t>
      </w:r>
      <w:proofErr w:type="spellStart"/>
      <w:r>
        <w:t>Hett</w:t>
      </w:r>
      <w:proofErr w:type="spellEnd"/>
      <w:r>
        <w:t xml:space="preserve"> seconded a task group motion to start a WG recirculation letter ballot requesting approval to forward the output of that recirculation ballot and its comment resolution for a Standards Association ballot. The motion passed with unanimous consent.</w:t>
      </w:r>
      <w:r w:rsidR="005630AA">
        <w:t xml:space="preserve"> A matching WG motion will be made during the closing plenary session.</w:t>
      </w:r>
    </w:p>
    <w:p w14:paraId="2100EB94" w14:textId="5BAABCC7" w:rsidR="005630AA" w:rsidRDefault="005630AA" w:rsidP="0032579C">
      <w:pPr>
        <w:spacing w:after="120"/>
      </w:pPr>
      <w:proofErr w:type="spellStart"/>
      <w:r>
        <w:lastRenderedPageBreak/>
        <w:t>Kunal</w:t>
      </w:r>
      <w:proofErr w:type="spellEnd"/>
      <w:r>
        <w:t xml:space="preserve"> Shah moved and Tero Kivinen seconded a motion for the next CRG to comprise Don Sturek, Tero Kivinen, Peter Yee, and Ruben Salazar.</w:t>
      </w:r>
      <w:r w:rsidR="00C97B92">
        <w:t xml:space="preserve"> There was no objection.</w:t>
      </w:r>
    </w:p>
    <w:p w14:paraId="57BB849B" w14:textId="31EF587D" w:rsidR="005630AA" w:rsidRDefault="005630AA" w:rsidP="0032579C">
      <w:pPr>
        <w:spacing w:after="120"/>
      </w:pPr>
      <w:r>
        <w:t>CID 98 is rejected as the requested strikethrough has been covered elsewhere.</w:t>
      </w:r>
    </w:p>
    <w:p w14:paraId="5258C0F5" w14:textId="32A0AF51" w:rsidR="005630AA" w:rsidRDefault="005630AA" w:rsidP="0032579C">
      <w:pPr>
        <w:spacing w:after="120"/>
      </w:pPr>
      <w:r>
        <w:t>CID 150 is covered by the resolution to CID 46.</w:t>
      </w:r>
    </w:p>
    <w:p w14:paraId="59728480" w14:textId="131AF088" w:rsidR="005630AA" w:rsidRDefault="005630AA" w:rsidP="0032579C">
      <w:pPr>
        <w:spacing w:after="120"/>
      </w:pPr>
      <w:r>
        <w:t>CID 94 is accepted, although it’s really covered by CID 46 as well.</w:t>
      </w:r>
    </w:p>
    <w:p w14:paraId="39E14B85" w14:textId="09F748A6" w:rsidR="005630AA" w:rsidRDefault="005630AA" w:rsidP="0032579C">
      <w:pPr>
        <w:spacing w:after="120"/>
      </w:pPr>
      <w:r>
        <w:t xml:space="preserve">CID 96 </w:t>
      </w:r>
      <w:r w:rsidR="00892944">
        <w:t>is withdrawn.</w:t>
      </w:r>
    </w:p>
    <w:p w14:paraId="7CD81DAC" w14:textId="254F0C36" w:rsidR="00892944" w:rsidRDefault="00892944" w:rsidP="0032579C">
      <w:pPr>
        <w:spacing w:after="120"/>
      </w:pPr>
      <w:r>
        <w:t>CID 97 is also resolved by the resolution to CID 46.</w:t>
      </w:r>
    </w:p>
    <w:p w14:paraId="6EAAB0D7" w14:textId="649440DE" w:rsidR="00892944" w:rsidRDefault="00892944" w:rsidP="0032579C">
      <w:pPr>
        <w:spacing w:after="120"/>
      </w:pPr>
      <w:r>
        <w:t>CID 99 is accepted as it correctly modifies Table 9-16.</w:t>
      </w:r>
    </w:p>
    <w:p w14:paraId="268968E8" w14:textId="52F084D2" w:rsidR="00892944" w:rsidRDefault="00892944" w:rsidP="0032579C">
      <w:pPr>
        <w:spacing w:after="120"/>
      </w:pPr>
      <w:r>
        <w:t>CID 101 is accepted.</w:t>
      </w:r>
    </w:p>
    <w:p w14:paraId="008A411C" w14:textId="3BE36376" w:rsidR="00892944" w:rsidRDefault="00892944" w:rsidP="0032579C">
      <w:pPr>
        <w:spacing w:after="120"/>
      </w:pPr>
      <w:r>
        <w:t>CID 152 is revised as it is the opposite of what the group intends. The commenter asks to retain Annex B, whereas the group wishes to draw text in from the Annex B to clause 9. The editing instruction correction is, however, correct.</w:t>
      </w:r>
    </w:p>
    <w:p w14:paraId="7568431B" w14:textId="561565A1" w:rsidR="00892944" w:rsidRDefault="00892944" w:rsidP="0032579C">
      <w:pPr>
        <w:spacing w:after="120"/>
      </w:pPr>
      <w:r>
        <w:t xml:space="preserve">CID 100 </w:t>
      </w:r>
      <w:r w:rsidR="00F8678B">
        <w:t>corrects the editing instructions to show that they refer to the title of Annex B.</w:t>
      </w:r>
      <w:r w:rsidR="000829E0">
        <w:t xml:space="preserve"> This is already fixed in CID 185. That resolution also applies to CID 153.</w:t>
      </w:r>
    </w:p>
    <w:p w14:paraId="0DE8B1A0" w14:textId="2EC6D4A5" w:rsidR="000829E0" w:rsidRDefault="000829E0" w:rsidP="0032579C">
      <w:pPr>
        <w:spacing w:after="120"/>
      </w:pPr>
      <w:r>
        <w:t>CID 102 is accepted.</w:t>
      </w:r>
    </w:p>
    <w:p w14:paraId="32F2FC53" w14:textId="722EF4A0" w:rsidR="000829E0" w:rsidRDefault="000829E0" w:rsidP="0032579C">
      <w:pPr>
        <w:spacing w:after="120"/>
      </w:pPr>
      <w:r>
        <w:t>CID 186 refers to the same item as CID 102 and the CID 102 resolution applies.</w:t>
      </w:r>
    </w:p>
    <w:p w14:paraId="389CCB45" w14:textId="70365885" w:rsidR="000829E0" w:rsidRDefault="000829E0" w:rsidP="0032579C">
      <w:pPr>
        <w:spacing w:after="120"/>
      </w:pPr>
      <w:r>
        <w:t>CID 155 is accepted in revised form, with the editing instructions amended to show the set of steps necessary to modify the upcoming version of IEEE 802.15.4.</w:t>
      </w:r>
    </w:p>
    <w:p w14:paraId="0F4BF658" w14:textId="37813C71" w:rsidR="000829E0" w:rsidRDefault="00DA1312" w:rsidP="0032579C">
      <w:pPr>
        <w:spacing w:after="120"/>
      </w:pPr>
      <w:r>
        <w:t>CID 104 is covered by the resolution to CID 155.</w:t>
      </w:r>
    </w:p>
    <w:p w14:paraId="135B7AC3" w14:textId="65231AE4" w:rsidR="00DA1312" w:rsidRDefault="00DA1312" w:rsidP="0032579C">
      <w:pPr>
        <w:spacing w:after="120"/>
      </w:pPr>
      <w:r>
        <w:t>CID 49 will be resolved by deleting the word “these”. This resolution will cause the resolution to CID 59 to be revised as well.</w:t>
      </w:r>
    </w:p>
    <w:p w14:paraId="7AFDDC6B" w14:textId="401906BE" w:rsidR="00DA1312" w:rsidRDefault="00DA1312" w:rsidP="0032579C">
      <w:pPr>
        <w:spacing w:after="120"/>
      </w:pPr>
      <w:r>
        <w:t xml:space="preserve">CID 156 notes that not all of the changes in B.3.2 (now </w:t>
      </w:r>
      <w:r w:rsidR="00C97B92">
        <w:t xml:space="preserve">renumbered to </w:t>
      </w:r>
      <w:r>
        <w:t>B.3.3)</w:t>
      </w:r>
      <w:r w:rsidR="00AF4ED5">
        <w:t xml:space="preserve"> are properly delineated. This comment is resolved by extensive new instructions. This causes the resolution for CID 13 to be revised in a similar fashion.</w:t>
      </w:r>
    </w:p>
    <w:p w14:paraId="1A0A053C" w14:textId="389548F5" w:rsidR="00AF4ED5" w:rsidRDefault="00AF4ED5" w:rsidP="0032579C">
      <w:pPr>
        <w:spacing w:after="120"/>
      </w:pPr>
      <w:r>
        <w:t>CID 106 is rejected as it’s incorrect.</w:t>
      </w:r>
    </w:p>
    <w:p w14:paraId="30F16AA7" w14:textId="7A248042" w:rsidR="00AF4ED5" w:rsidRDefault="00AF4ED5" w:rsidP="0032579C">
      <w:pPr>
        <w:spacing w:after="120"/>
      </w:pPr>
      <w:r>
        <w:t>CIDs 107 and 108 are accepted.</w:t>
      </w:r>
    </w:p>
    <w:p w14:paraId="59ED2800" w14:textId="2B296F35" w:rsidR="00AF4ED5" w:rsidRDefault="00AF4ED5" w:rsidP="0032579C">
      <w:pPr>
        <w:spacing w:after="120"/>
      </w:pPr>
      <w:r>
        <w:t xml:space="preserve">CID 109 </w:t>
      </w:r>
      <w:r w:rsidR="00787CBD">
        <w:t>is revised to change the editing instructions to indicate that the change applies to the first sentence of the first paragraph.</w:t>
      </w:r>
    </w:p>
    <w:p w14:paraId="59ED2800" w14:textId="2B296F35" w:rsidR="00787CBD" w:rsidRDefault="00787CBD" w:rsidP="0032579C">
      <w:pPr>
        <w:spacing w:after="120"/>
      </w:pPr>
      <w:r>
        <w:t>CID 111 is correct and is accepted. This and many of the following changes deal with renumbering issues that are confused in the editing instructions in the balloted draft.</w:t>
      </w:r>
    </w:p>
    <w:p w14:paraId="0E37396D" w14:textId="7D0739A4" w:rsidR="00787CBD" w:rsidRDefault="00787CBD" w:rsidP="0032579C">
      <w:pPr>
        <w:spacing w:after="120"/>
      </w:pPr>
      <w:r>
        <w:t>CID 112 is resolved by the resolution to CID 111.</w:t>
      </w:r>
    </w:p>
    <w:p w14:paraId="49A293A7" w14:textId="2655C476" w:rsidR="00787CBD" w:rsidRDefault="00787CBD" w:rsidP="0032579C">
      <w:pPr>
        <w:spacing w:after="120"/>
      </w:pPr>
      <w:r>
        <w:t>CID 113 is accepted.</w:t>
      </w:r>
    </w:p>
    <w:p w14:paraId="1D321B80" w14:textId="2E191CBD" w:rsidR="00787CBD" w:rsidRDefault="00787CBD" w:rsidP="0032579C">
      <w:pPr>
        <w:spacing w:after="120"/>
      </w:pPr>
      <w:r>
        <w:t>CID 114 is accepted.</w:t>
      </w:r>
    </w:p>
    <w:p w14:paraId="77AC7533" w14:textId="21C6E1D0" w:rsidR="00787CBD" w:rsidRDefault="00787CBD" w:rsidP="0032579C">
      <w:pPr>
        <w:spacing w:after="120"/>
      </w:pPr>
      <w:r>
        <w:t>CID 117 is accepted to add a title to a hanging paragraph.</w:t>
      </w:r>
    </w:p>
    <w:p w14:paraId="34F478B1" w14:textId="4FC2D7E1" w:rsidR="00787CBD" w:rsidRDefault="00787CBD" w:rsidP="0032579C">
      <w:pPr>
        <w:spacing w:after="120"/>
      </w:pPr>
      <w:r>
        <w:lastRenderedPageBreak/>
        <w:t>CID 118 is accepted.</w:t>
      </w:r>
    </w:p>
    <w:p w14:paraId="3924B1B9" w14:textId="53A37F99" w:rsidR="00787CBD" w:rsidRDefault="00787CBD" w:rsidP="0032579C">
      <w:pPr>
        <w:spacing w:after="120"/>
      </w:pPr>
      <w:r>
        <w:t>CID 119 is accepted in revised form – it adds CCM to the existing text that only covers CCM*.</w:t>
      </w:r>
    </w:p>
    <w:p w14:paraId="0422E481" w14:textId="3ACC469A" w:rsidR="007138CB" w:rsidRDefault="007138CB" w:rsidP="0032579C">
      <w:pPr>
        <w:spacing w:after="120"/>
      </w:pPr>
      <w:r>
        <w:t xml:space="preserve">CID 120 </w:t>
      </w:r>
      <w:r w:rsidR="00FD6B4E">
        <w:t>is accepted in revised form – it was covered by an editorial comment as well.</w:t>
      </w:r>
    </w:p>
    <w:p w14:paraId="792C7D35" w14:textId="43466227" w:rsidR="00FD6B4E" w:rsidRDefault="00FD6B4E" w:rsidP="0032579C">
      <w:pPr>
        <w:spacing w:after="120"/>
      </w:pPr>
      <w:r>
        <w:t>CID 168 is rejected because the ANA database will include the references.</w:t>
      </w:r>
    </w:p>
    <w:p w14:paraId="72CB9627" w14:textId="1AB64B9D" w:rsidR="0059313F" w:rsidRDefault="00FD6B4E" w:rsidP="0032579C">
      <w:pPr>
        <w:spacing w:after="120"/>
      </w:pPr>
      <w:r>
        <w:t xml:space="preserve">CID 170 </w:t>
      </w:r>
      <w:r w:rsidR="0059313F">
        <w:t>is accepted. It deletes some historical context that is not required to be in the standard. That resolution affects the resolutions of CIDs 169 and 63.</w:t>
      </w:r>
    </w:p>
    <w:p w14:paraId="1D2E77CA" w14:textId="6E1713AD" w:rsidR="0059313F" w:rsidRDefault="0059313F" w:rsidP="0032579C">
      <w:pPr>
        <w:spacing w:after="120"/>
      </w:pPr>
      <w:r>
        <w:t>CID 171 is accepted.</w:t>
      </w:r>
    </w:p>
    <w:p w14:paraId="3FE92401" w14:textId="4491D79D" w:rsidR="0059313F" w:rsidRDefault="0059313F" w:rsidP="0032579C">
      <w:pPr>
        <w:spacing w:after="120"/>
      </w:pPr>
      <w:r>
        <w:t>CID 172’s proposed resolution is accepted in revised form.</w:t>
      </w:r>
    </w:p>
    <w:p w14:paraId="33685501" w14:textId="1D1D66EC" w:rsidR="0059313F" w:rsidRDefault="0059313F" w:rsidP="0032579C">
      <w:pPr>
        <w:spacing w:after="120"/>
      </w:pPr>
      <w:r>
        <w:t>CID 51 is correct but also covered by the CID 172 resolution.</w:t>
      </w:r>
    </w:p>
    <w:p w14:paraId="4638D0B2" w14:textId="64903C83" w:rsidR="0059313F" w:rsidRDefault="0059313F" w:rsidP="0032579C">
      <w:pPr>
        <w:spacing w:after="120"/>
      </w:pPr>
      <w:r>
        <w:t>CID 174 is rejected as the annex is informative and describes how to add new algorithms and their requirements.</w:t>
      </w:r>
    </w:p>
    <w:p w14:paraId="0C022E20" w14:textId="7D935341" w:rsidR="0059313F" w:rsidRDefault="0059313F" w:rsidP="0032579C">
      <w:pPr>
        <w:spacing w:after="120"/>
      </w:pPr>
      <w:r>
        <w:t>CID 175 is also rejected as there will be links in Annex B to documents which describe the algorithms.</w:t>
      </w:r>
    </w:p>
    <w:p w14:paraId="3E708461" w14:textId="27F93A97" w:rsidR="0059313F" w:rsidRDefault="0059313F" w:rsidP="0032579C">
      <w:pPr>
        <w:spacing w:after="120"/>
      </w:pPr>
      <w:r>
        <w:t xml:space="preserve">CID </w:t>
      </w:r>
      <w:r w:rsidR="00850D74">
        <w:t>176 is rejected as it gives no proposed resolution and the CRG does not understand what is desired.</w:t>
      </w:r>
    </w:p>
    <w:p w14:paraId="5CBBB41A" w14:textId="447C6316" w:rsidR="00850D74" w:rsidRDefault="00850D74" w:rsidP="0032579C">
      <w:pPr>
        <w:spacing w:after="120"/>
      </w:pPr>
      <w:r>
        <w:t>CID 177 is rejected since the items it asks to delete are informative to anyone trying to add a new algorithm in the future.</w:t>
      </w:r>
    </w:p>
    <w:p w14:paraId="5F7FCA2F" w14:textId="1B2488CF" w:rsidR="00850D74" w:rsidRDefault="00850D74" w:rsidP="0032579C">
      <w:pPr>
        <w:spacing w:after="120"/>
      </w:pPr>
      <w:r>
        <w:t xml:space="preserve">CID 53 is revised to be resolved </w:t>
      </w:r>
      <w:r w:rsidR="00C97B92">
        <w:t xml:space="preserve">using </w:t>
      </w:r>
      <w:r>
        <w:t xml:space="preserve">the text suggested in </w:t>
      </w:r>
      <w:bookmarkStart w:id="0" w:name="_GoBack"/>
      <w:bookmarkEnd w:id="0"/>
      <w:r>
        <w:t>CID 66.</w:t>
      </w:r>
    </w:p>
    <w:p w14:paraId="209D89A0" w14:textId="1596A3A1" w:rsidR="00850D74" w:rsidRDefault="00850D74" w:rsidP="0032579C">
      <w:pPr>
        <w:spacing w:after="120"/>
      </w:pPr>
      <w:r>
        <w:t>CID 66 itself corrects the abstract and is accepted.</w:t>
      </w:r>
    </w:p>
    <w:p w14:paraId="0C75930A" w14:textId="5FA03EEF" w:rsidR="00850D74" w:rsidRDefault="00850D74" w:rsidP="0032579C">
      <w:pPr>
        <w:spacing w:after="120"/>
      </w:pPr>
      <w:r>
        <w:t>CID 68 is accepted in revised form. It adds explanatory text to the introduction indicating that this specification is bits-on-the-wire compatible with existing IEEE 802.15.4 operations.</w:t>
      </w:r>
    </w:p>
    <w:p w14:paraId="041508DC" w14:textId="129A0107" w:rsidR="00FB599F" w:rsidRDefault="00FB599F" w:rsidP="0032579C">
      <w:pPr>
        <w:spacing w:after="120"/>
      </w:pPr>
      <w:r>
        <w:t>The comment resolution process has been completed. Sturek post</w:t>
      </w:r>
      <w:r w:rsidR="005D32A3">
        <w:t>ed</w:t>
      </w:r>
      <w:r>
        <w:t xml:space="preserve"> the spreadsheet showing all of the resolutions as </w:t>
      </w:r>
      <w:hyperlink r:id="rId16" w:history="1">
        <w:r w:rsidRPr="00FB599F">
          <w:rPr>
            <w:rStyle w:val="Hyperlink"/>
          </w:rPr>
          <w:t>15-20/0103r09</w:t>
        </w:r>
      </w:hyperlink>
      <w:r>
        <w:t xml:space="preserve">. Sturek will bring the CRG together in a couple weeks’ time once a new draft </w:t>
      </w:r>
      <w:r w:rsidR="005D32A3">
        <w:t xml:space="preserve">is </w:t>
      </w:r>
      <w:r>
        <w:t>ready. The CRG can then help verify that he has applied the resolutions correctly.</w:t>
      </w:r>
    </w:p>
    <w:p w14:paraId="606FB005" w14:textId="635B5199" w:rsidR="005D32A3" w:rsidRDefault="005D32A3" w:rsidP="0032579C">
      <w:pPr>
        <w:spacing w:after="120"/>
      </w:pPr>
      <w:proofErr w:type="spellStart"/>
      <w:r>
        <w:t>Kunal</w:t>
      </w:r>
      <w:proofErr w:type="spellEnd"/>
      <w:r>
        <w:t xml:space="preserve"> Shah made and Chris </w:t>
      </w:r>
      <w:proofErr w:type="spellStart"/>
      <w:r>
        <w:t>Hett</w:t>
      </w:r>
      <w:proofErr w:type="spellEnd"/>
      <w:r>
        <w:t xml:space="preserve"> seconded a motion to direct the 4y editor to incorporate the resolutions in </w:t>
      </w:r>
      <w:hyperlink r:id="rId17" w:history="1">
        <w:r w:rsidRPr="00FB599F">
          <w:rPr>
            <w:rStyle w:val="Hyperlink"/>
          </w:rPr>
          <w:t>15-20/0103r09</w:t>
        </w:r>
      </w:hyperlink>
      <w:r>
        <w:t xml:space="preserve"> into a new IEEE 802.15.4y draft. The motion passed with unanimous consent.</w:t>
      </w:r>
    </w:p>
    <w:p w14:paraId="4D5534DF" w14:textId="6D673B66" w:rsidR="00921EA1" w:rsidRPr="009553BF" w:rsidRDefault="00921EA1" w:rsidP="0032579C">
      <w:pPr>
        <w:spacing w:after="120"/>
      </w:pPr>
      <w:r>
        <w:t>The meeting was adjourned at 15:29 ET.</w:t>
      </w:r>
    </w:p>
    <w:sectPr w:rsidR="00921EA1" w:rsidRPr="009553BF" w:rsidSect="00010C42">
      <w:headerReference w:type="default" r:id="rId18"/>
      <w:footerReference w:type="even"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31D57" w14:textId="77777777" w:rsidR="00FC636C" w:rsidRDefault="00FC636C" w:rsidP="00010C42">
      <w:r>
        <w:separator/>
      </w:r>
    </w:p>
  </w:endnote>
  <w:endnote w:type="continuationSeparator" w:id="0">
    <w:p w14:paraId="6CADB31F" w14:textId="77777777" w:rsidR="00FC636C" w:rsidRDefault="00FC636C"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7B92">
          <w:rPr>
            <w:rStyle w:val="PageNumber"/>
            <w:noProof/>
          </w:rPr>
          <w:t>5</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5690" w14:textId="77777777" w:rsidR="00FC636C" w:rsidRDefault="00FC636C" w:rsidP="00010C42">
      <w:r>
        <w:separator/>
      </w:r>
    </w:p>
  </w:footnote>
  <w:footnote w:type="continuationSeparator" w:id="0">
    <w:p w14:paraId="5F541D90" w14:textId="77777777" w:rsidR="00FC636C" w:rsidRDefault="00FC636C"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220F3E0F"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4F676C">
      <w:rPr>
        <w:rFonts w:ascii="Verdana" w:eastAsia="Times New Roman" w:hAnsi="Verdana" w:cs="Times New Roman"/>
        <w:b/>
        <w:bCs/>
        <w:color w:val="000000"/>
        <w:sz w:val="20"/>
        <w:szCs w:val="20"/>
        <w:shd w:val="clear" w:color="auto" w:fill="FFFFFF"/>
      </w:rPr>
      <w:t>0187</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11845"/>
    <w:rsid w:val="00035D7F"/>
    <w:rsid w:val="00041F71"/>
    <w:rsid w:val="00063DB0"/>
    <w:rsid w:val="00077A27"/>
    <w:rsid w:val="000829E0"/>
    <w:rsid w:val="00097CFB"/>
    <w:rsid w:val="000D04CA"/>
    <w:rsid w:val="000D71A9"/>
    <w:rsid w:val="000E0137"/>
    <w:rsid w:val="000E70CB"/>
    <w:rsid w:val="000E76BE"/>
    <w:rsid w:val="000F3FCA"/>
    <w:rsid w:val="001070E5"/>
    <w:rsid w:val="00112907"/>
    <w:rsid w:val="001351DE"/>
    <w:rsid w:val="001814AD"/>
    <w:rsid w:val="001B13FF"/>
    <w:rsid w:val="001B390B"/>
    <w:rsid w:val="001B44C1"/>
    <w:rsid w:val="001C4627"/>
    <w:rsid w:val="001C687A"/>
    <w:rsid w:val="001E2710"/>
    <w:rsid w:val="002012E6"/>
    <w:rsid w:val="002020AD"/>
    <w:rsid w:val="00242754"/>
    <w:rsid w:val="002A76A6"/>
    <w:rsid w:val="002A7BCF"/>
    <w:rsid w:val="002D07C0"/>
    <w:rsid w:val="002E2FF9"/>
    <w:rsid w:val="003055DD"/>
    <w:rsid w:val="0031110A"/>
    <w:rsid w:val="00312285"/>
    <w:rsid w:val="00324793"/>
    <w:rsid w:val="0032579C"/>
    <w:rsid w:val="00343617"/>
    <w:rsid w:val="003572E7"/>
    <w:rsid w:val="00364D94"/>
    <w:rsid w:val="00365EF1"/>
    <w:rsid w:val="003736CF"/>
    <w:rsid w:val="003756AD"/>
    <w:rsid w:val="00380FEE"/>
    <w:rsid w:val="0038553B"/>
    <w:rsid w:val="003A5A25"/>
    <w:rsid w:val="003B2D18"/>
    <w:rsid w:val="003B5F7C"/>
    <w:rsid w:val="003C5C24"/>
    <w:rsid w:val="003E1389"/>
    <w:rsid w:val="00400EA0"/>
    <w:rsid w:val="0041419C"/>
    <w:rsid w:val="0045793B"/>
    <w:rsid w:val="0046380D"/>
    <w:rsid w:val="004A703F"/>
    <w:rsid w:val="004C21D7"/>
    <w:rsid w:val="004D5897"/>
    <w:rsid w:val="004E2590"/>
    <w:rsid w:val="004E5E01"/>
    <w:rsid w:val="004F676C"/>
    <w:rsid w:val="00522330"/>
    <w:rsid w:val="00551323"/>
    <w:rsid w:val="005615A6"/>
    <w:rsid w:val="005630AA"/>
    <w:rsid w:val="00571177"/>
    <w:rsid w:val="00575215"/>
    <w:rsid w:val="00576FBC"/>
    <w:rsid w:val="00587A21"/>
    <w:rsid w:val="0059313F"/>
    <w:rsid w:val="005A0B49"/>
    <w:rsid w:val="005C0454"/>
    <w:rsid w:val="005C0E95"/>
    <w:rsid w:val="005D32A3"/>
    <w:rsid w:val="005E5AC9"/>
    <w:rsid w:val="00605223"/>
    <w:rsid w:val="006076D9"/>
    <w:rsid w:val="00612CA1"/>
    <w:rsid w:val="00652E43"/>
    <w:rsid w:val="006A5980"/>
    <w:rsid w:val="006B2087"/>
    <w:rsid w:val="006D150F"/>
    <w:rsid w:val="006D3065"/>
    <w:rsid w:val="006E05C3"/>
    <w:rsid w:val="006E4CC6"/>
    <w:rsid w:val="006E6AE9"/>
    <w:rsid w:val="00711752"/>
    <w:rsid w:val="007138CB"/>
    <w:rsid w:val="00787CBD"/>
    <w:rsid w:val="007A0021"/>
    <w:rsid w:val="007C177B"/>
    <w:rsid w:val="007F5683"/>
    <w:rsid w:val="008319F4"/>
    <w:rsid w:val="00850D74"/>
    <w:rsid w:val="0087286E"/>
    <w:rsid w:val="008817C0"/>
    <w:rsid w:val="00885326"/>
    <w:rsid w:val="00885627"/>
    <w:rsid w:val="00891DC1"/>
    <w:rsid w:val="00892944"/>
    <w:rsid w:val="008B073A"/>
    <w:rsid w:val="008C7259"/>
    <w:rsid w:val="008D6353"/>
    <w:rsid w:val="008E5B77"/>
    <w:rsid w:val="008F7984"/>
    <w:rsid w:val="00921EA1"/>
    <w:rsid w:val="00932C3C"/>
    <w:rsid w:val="009408D0"/>
    <w:rsid w:val="009553BF"/>
    <w:rsid w:val="0095734D"/>
    <w:rsid w:val="009706C5"/>
    <w:rsid w:val="009716B1"/>
    <w:rsid w:val="00997452"/>
    <w:rsid w:val="009B6734"/>
    <w:rsid w:val="009C411F"/>
    <w:rsid w:val="009C5854"/>
    <w:rsid w:val="00A06D41"/>
    <w:rsid w:val="00A10879"/>
    <w:rsid w:val="00A36F3A"/>
    <w:rsid w:val="00A86310"/>
    <w:rsid w:val="00A92800"/>
    <w:rsid w:val="00A96561"/>
    <w:rsid w:val="00A96702"/>
    <w:rsid w:val="00AB2B80"/>
    <w:rsid w:val="00AB2E54"/>
    <w:rsid w:val="00AD4AC7"/>
    <w:rsid w:val="00AE2369"/>
    <w:rsid w:val="00AE5E93"/>
    <w:rsid w:val="00AF4ED5"/>
    <w:rsid w:val="00B06F4D"/>
    <w:rsid w:val="00B0780C"/>
    <w:rsid w:val="00B15DCD"/>
    <w:rsid w:val="00B74299"/>
    <w:rsid w:val="00B76B40"/>
    <w:rsid w:val="00B94BDC"/>
    <w:rsid w:val="00BE3D75"/>
    <w:rsid w:val="00BE56F3"/>
    <w:rsid w:val="00BE6887"/>
    <w:rsid w:val="00BF2A12"/>
    <w:rsid w:val="00BF2F57"/>
    <w:rsid w:val="00C161F3"/>
    <w:rsid w:val="00C34FEA"/>
    <w:rsid w:val="00C6568C"/>
    <w:rsid w:val="00C76B5C"/>
    <w:rsid w:val="00C81C62"/>
    <w:rsid w:val="00C841D3"/>
    <w:rsid w:val="00C97B92"/>
    <w:rsid w:val="00CB0F5C"/>
    <w:rsid w:val="00CD76C7"/>
    <w:rsid w:val="00D06098"/>
    <w:rsid w:val="00D16149"/>
    <w:rsid w:val="00D410DC"/>
    <w:rsid w:val="00DA1312"/>
    <w:rsid w:val="00DD3644"/>
    <w:rsid w:val="00DE7A69"/>
    <w:rsid w:val="00DF174E"/>
    <w:rsid w:val="00E0643C"/>
    <w:rsid w:val="00E128D9"/>
    <w:rsid w:val="00E4506A"/>
    <w:rsid w:val="00E5369D"/>
    <w:rsid w:val="00E74565"/>
    <w:rsid w:val="00E90779"/>
    <w:rsid w:val="00EA25E1"/>
    <w:rsid w:val="00EA5EA8"/>
    <w:rsid w:val="00EB06EE"/>
    <w:rsid w:val="00EC7F45"/>
    <w:rsid w:val="00EF1CBF"/>
    <w:rsid w:val="00F3576C"/>
    <w:rsid w:val="00F41223"/>
    <w:rsid w:val="00F50806"/>
    <w:rsid w:val="00F736B5"/>
    <w:rsid w:val="00F8678B"/>
    <w:rsid w:val="00F929F5"/>
    <w:rsid w:val="00F97375"/>
    <w:rsid w:val="00FB599F"/>
    <w:rsid w:val="00FC22EE"/>
    <w:rsid w:val="00FC636C"/>
    <w:rsid w:val="00FD2AA0"/>
    <w:rsid w:val="00FD6B4E"/>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20/15-20-0103-08-004y-lb167-consolidated-comments.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entor.ieee.org/802.15/dcn/20/15-20-0103-07-004y-lb167-consolidated-comments.xlsx" TargetMode="External"/><Relationship Id="rId17" Type="http://schemas.openxmlformats.org/officeDocument/2006/relationships/hyperlink" Target="https://mentor.ieee.org/802.15/dcn/20/15-20-0103-09-004y-lb167-consolidated-comments.xlsx" TargetMode="External"/><Relationship Id="rId2" Type="http://schemas.openxmlformats.org/officeDocument/2006/relationships/numbering" Target="numbering.xml"/><Relationship Id="rId16" Type="http://schemas.openxmlformats.org/officeDocument/2006/relationships/hyperlink" Target="https://mentor.ieee.org/802.15/dcn/20/15-20-0103-09-004y-lb167-consolidated-comments.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70-00-004y-july-7-2020-crg-teleconference-minutes.docx" TargetMode="External"/><Relationship Id="rId5" Type="http://schemas.openxmlformats.org/officeDocument/2006/relationships/settings" Target="settings.xml"/><Relationship Id="rId15" Type="http://schemas.openxmlformats.org/officeDocument/2006/relationships/hyperlink" Target="https://mentor.ieee.org/802.15/dcn/20/15-20-0186-01-004y-july-2020-closing.pptx" TargetMode="External"/><Relationship Id="rId10" Type="http://schemas.openxmlformats.org/officeDocument/2006/relationships/hyperlink" Target="https://mentor.ieee.org/802.15/dcn/20/15-20-0033-00-004y-january-2020-interim-minutes.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ntor.ieee.org/802.15/dcn/20/15-20-0180-00-004y-agenda-july-2020-plenary.pptx" TargetMode="External"/><Relationship Id="rId14" Type="http://schemas.openxmlformats.org/officeDocument/2006/relationships/hyperlink" Target="https://mentor.ieee.org/802.15/dcn/20/15-20-0186-00-004y-july-2020-closing.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8741-C5C8-4917-A13A-1DABA961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50</cp:revision>
  <dcterms:created xsi:type="dcterms:W3CDTF">2020-06-09T21:20:00Z</dcterms:created>
  <dcterms:modified xsi:type="dcterms:W3CDTF">2020-07-16T05:34:00Z</dcterms:modified>
</cp:coreProperties>
</file>