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8"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06A293FC" w:rsidR="00BD2237" w:rsidRDefault="001F35C7" w:rsidP="009D09E5">
            <w:pPr>
              <w:pStyle w:val="covertext"/>
              <w:snapToGrid w:val="0"/>
              <w:rPr>
                <w:b/>
              </w:rPr>
            </w:pPr>
            <w:r>
              <w:rPr>
                <w:b/>
              </w:rPr>
              <w:t>2020-07-16</w:t>
            </w:r>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77777777" w:rsidR="00BD2237" w:rsidRDefault="00E40238" w:rsidP="00A93646">
            <w:pPr>
              <w:pStyle w:val="covertext"/>
              <w:snapToGrid w:val="0"/>
            </w:pPr>
            <w:r>
              <w:t>S</w:t>
            </w:r>
            <w:r w:rsidR="000F1E63">
              <w:t xml:space="preserve">ystem </w:t>
            </w:r>
            <w:r w:rsidR="00BD2237">
              <w:t>requirements document</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7CC1B518" w:rsidR="00137005" w:rsidRDefault="006049BA" w:rsidP="00C9662F">
      <w:pPr>
        <w:jc w:val="center"/>
        <w:rPr>
          <w:sz w:val="72"/>
        </w:rPr>
      </w:pPr>
      <w:r>
        <w:rPr>
          <w:sz w:val="72"/>
        </w:rPr>
        <w:t>R1</w:t>
      </w:r>
    </w:p>
    <w:p w14:paraId="06F6AA6C" w14:textId="208570DC" w:rsidR="00C9662F" w:rsidRDefault="00272CA8" w:rsidP="00C9662F">
      <w:pPr>
        <w:jc w:val="center"/>
        <w:rPr>
          <w:sz w:val="72"/>
        </w:rPr>
      </w:pPr>
      <w:r>
        <w:rPr>
          <w:sz w:val="72"/>
        </w:rPr>
        <w:t>July 1</w:t>
      </w:r>
      <w:r w:rsidR="00EC37C4">
        <w:rPr>
          <w:sz w:val="72"/>
        </w:rPr>
        <w:t>6</w:t>
      </w:r>
      <w:r>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220C4E76" w:rsidR="003436D2" w:rsidRDefault="00F416CB" w:rsidP="00F416CB">
      <w:r>
        <w:t xml:space="preserve">The following markets and use cases were identified in </w:t>
      </w:r>
      <w:commentRangeStart w:id="1"/>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1"/>
      <w:r w:rsidR="00543A47">
        <w:rPr>
          <w:rStyle w:val="CommentReference"/>
        </w:rPr>
        <w:commentReference w:id="1"/>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proofErr w:type="spellStart"/>
            <w:r w:rsidRPr="00F416CB">
              <w:rPr>
                <w:rFonts w:ascii="Calibri" w:eastAsia="Times New Roman" w:hAnsi="Calibri" w:cs="Calibri"/>
                <w:color w:val="000000"/>
              </w:rPr>
              <w:t>PtP</w:t>
            </w:r>
            <w:proofErr w:type="spellEnd"/>
            <w:r w:rsidRPr="00F416CB">
              <w:rPr>
                <w:rFonts w:ascii="Calibri" w:eastAsia="Times New Roman" w:hAnsi="Calibri" w:cs="Calibri"/>
                <w:color w:val="000000"/>
              </w:rPr>
              <w:t xml:space="preserve">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xml:space="preserve">Remote monitoring and systems </w:t>
            </w:r>
            <w:proofErr w:type="spellStart"/>
            <w:r w:rsidRPr="00986F06">
              <w:rPr>
                <w:rFonts w:ascii="Calibri" w:eastAsia="Times New Roman" w:hAnsi="Calibri" w:cs="Calibri"/>
                <w:color w:val="000000"/>
              </w:rPr>
              <w:t>mgmt</w:t>
            </w:r>
            <w:proofErr w:type="spellEnd"/>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r>
        <w:t xml:space="preserve">The point to multipoint modes and repeater functionality defined in 802.16-2017 are retained and supported in this amendment. These capabilities can be used for both TDD and FDD spectrum. </w:t>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5"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commentRangeStart w:id="2"/>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47E76560" w14:textId="4F30B958" w:rsidR="006A71A1" w:rsidRPr="006A71A1" w:rsidRDefault="000D05E1" w:rsidP="000D05E1">
      <w:pPr>
        <w:pStyle w:val="ListParagraph"/>
        <w:numPr>
          <w:ilvl w:val="0"/>
          <w:numId w:val="11"/>
        </w:numPr>
        <w:ind w:left="2160"/>
      </w:pPr>
      <w:r w:rsidRPr="000D05E1">
        <w:t>Support of voice/data coexistence in low utilization voice channels. Voice will have priority over data.</w:t>
      </w:r>
      <w:commentRangeEnd w:id="2"/>
      <w:r w:rsidR="00D46713">
        <w:rPr>
          <w:rStyle w:val="CommentReference"/>
        </w:rPr>
        <w:commentReference w:id="2"/>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w:t>
      </w:r>
      <w:proofErr w:type="spellStart"/>
      <w:r w:rsidR="004710A5">
        <w:t>superframe</w:t>
      </w:r>
      <w:proofErr w:type="spellEnd"/>
      <w:r w:rsidR="004710A5">
        <w:t xml:space="preserve"> timing of one out of N frames. </w:t>
      </w:r>
      <w:bookmarkStart w:id="3" w:name="_GoBack"/>
      <w:bookmarkEnd w:id="3"/>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TDD will be used in unpaired spectrum and in paired spectrum if allowed by the applicable regulation authority. A highly asymmetrical  or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79F60962" w14:textId="77777777" w:rsidR="00361E0E" w:rsidRDefault="00361E0E" w:rsidP="00361E0E">
      <w:pPr>
        <w:rPr>
          <w:b/>
        </w:rPr>
      </w:pPr>
      <w:r>
        <w:rPr>
          <w:b/>
        </w:rPr>
        <w:t>Modulation and Coding Scheme:</w:t>
      </w:r>
    </w:p>
    <w:p w14:paraId="6ED2ECDC" w14:textId="5EE39509" w:rsidR="00361E0E" w:rsidRPr="002E1FBA" w:rsidRDefault="00974498" w:rsidP="00361E0E">
      <w:r>
        <w:t>&lt;&gt;</w:t>
      </w:r>
    </w:p>
    <w:p w14:paraId="2CD5A24B" w14:textId="77777777" w:rsidR="00361E0E" w:rsidRDefault="00361E0E" w:rsidP="00361E0E">
      <w:pPr>
        <w:rPr>
          <w:b/>
        </w:rPr>
      </w:pPr>
      <w:r>
        <w:rPr>
          <w:b/>
        </w:rPr>
        <w:t>Mobility:</w:t>
      </w:r>
    </w:p>
    <w:p w14:paraId="1ABFE027" w14:textId="235EAF6D" w:rsidR="00361E0E" w:rsidRDefault="00B740EB" w:rsidP="00361E0E">
      <w:r>
        <w:t>Rail use cases require mobility. (similar capabilities to GSMR, but tailored for &lt;100 kHz channels)</w:t>
      </w:r>
      <w:r w:rsidR="00875DDF">
        <w:t xml:space="preserve">  Maximum velocity &lt;TBD&gt;</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as a means to improve overall efficiency and throughput. </w:t>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r>
        <w:rPr>
          <w:b/>
        </w:rPr>
        <w:t>One-way Latency</w:t>
      </w:r>
      <w:r w:rsidR="000D05E1">
        <w:rPr>
          <w:b/>
        </w:rPr>
        <w:t xml:space="preserve"> and </w:t>
      </w:r>
      <w:r>
        <w:rPr>
          <w:b/>
        </w:rPr>
        <w:t>Operational throughput:</w:t>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770727B7" w14:textId="0A6BFCBA" w:rsidR="002C461A" w:rsidRDefault="00974498" w:rsidP="00361E0E">
      <w:r>
        <w:t>&lt;&gt;</w:t>
      </w:r>
    </w:p>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t>Central scheduling</w:t>
      </w:r>
    </w:p>
    <w:p w14:paraId="195C5F19" w14:textId="77777777" w:rsidR="006A71A1" w:rsidRPr="006A71A1" w:rsidRDefault="006A71A1" w:rsidP="006A71A1">
      <w:pPr>
        <w:ind w:left="720"/>
      </w:pPr>
      <w:r w:rsidRPr="006A71A1">
        <w:t xml:space="preserve">QOS </w:t>
      </w:r>
    </w:p>
    <w:p w14:paraId="5CAEB1DF" w14:textId="07B8F137" w:rsidR="006A71A1" w:rsidRDefault="006A71A1" w:rsidP="006A71A1">
      <w:pPr>
        <w:ind w:left="720"/>
      </w:pPr>
      <w:r w:rsidRPr="006A71A1">
        <w:t>High Security</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77777777" w:rsidR="006A71A1" w:rsidRPr="006A71A1" w:rsidRDefault="006A71A1" w:rsidP="006A71A1">
      <w:pPr>
        <w:ind w:left="720"/>
      </w:pPr>
      <w:r w:rsidRPr="006A71A1">
        <w:t>Long range single hop coverage (e.g., up to 50+ miles cell radius):</w:t>
      </w:r>
    </w:p>
    <w:p w14:paraId="44551B90" w14:textId="77777777" w:rsidR="006A71A1" w:rsidRPr="006A71A1" w:rsidRDefault="006A71A1" w:rsidP="006A71A1">
      <w:pPr>
        <w:ind w:left="720"/>
      </w:pPr>
      <w:r w:rsidRPr="006A71A1">
        <w:t>Receiver sensitivity requirement</w:t>
      </w:r>
    </w:p>
    <w:p w14:paraId="100F4F23" w14:textId="77777777" w:rsidR="006A71A1" w:rsidRPr="006A71A1" w:rsidRDefault="006A71A1" w:rsidP="006A71A1">
      <w:pPr>
        <w:ind w:left="720"/>
      </w:pPr>
      <w:r w:rsidRPr="006A71A1">
        <w:t>TDD frame structure requirements</w:t>
      </w:r>
    </w:p>
    <w:p w14:paraId="6104B9C6" w14:textId="365BB3CD" w:rsidR="006A71A1" w:rsidRDefault="006A71A1" w:rsidP="006A71A1">
      <w:pPr>
        <w:ind w:left="720"/>
      </w:pPr>
      <w:r w:rsidRPr="006A71A1">
        <w:t>Support of repeater for range extension (?)</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1F6A358"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5E6C949" w:rsidR="005C0D38" w:rsidRDefault="00974498" w:rsidP="00974498">
      <w:pPr>
        <w:rPr>
          <w:lang w:eastAsia="ko-KR"/>
        </w:rPr>
      </w:pPr>
      <w:r>
        <w:rPr>
          <w:lang w:eastAsia="ko-KR"/>
        </w:rPr>
        <w:t>&lt;&gt;</w:t>
      </w:r>
    </w:p>
    <w:p w14:paraId="27E4FE9B" w14:textId="77777777" w:rsidR="00361E0E" w:rsidRPr="00CB7F03" w:rsidRDefault="00361E0E" w:rsidP="00361E0E">
      <w:pPr>
        <w:rPr>
          <w:b/>
          <w:lang w:eastAsia="ko-KR"/>
        </w:rPr>
      </w:pPr>
      <w:r w:rsidRPr="00CB7F03">
        <w:rPr>
          <w:b/>
          <w:lang w:eastAsia="ko-KR"/>
        </w:rPr>
        <w:lastRenderedPageBreak/>
        <w:t>Permutation:</w:t>
      </w:r>
      <w:r>
        <w:rPr>
          <w:b/>
          <w:lang w:eastAsia="ko-KR"/>
        </w:rPr>
        <w:t xml:space="preserve"> </w:t>
      </w:r>
    </w:p>
    <w:p w14:paraId="31F96935" w14:textId="405B9ABF" w:rsidR="00E053EB" w:rsidRDefault="00974498" w:rsidP="00361E0E">
      <w:pPr>
        <w:widowControl w:val="0"/>
        <w:suppressAutoHyphens/>
        <w:spacing w:before="120" w:after="120" w:line="240" w:lineRule="auto"/>
        <w:rPr>
          <w:lang w:eastAsia="ko-KR"/>
        </w:rPr>
      </w:pPr>
      <w:r>
        <w:rPr>
          <w:lang w:eastAsia="ko-KR"/>
        </w:rPr>
        <w:t>&lt;&gt;</w:t>
      </w:r>
    </w:p>
    <w:p w14:paraId="4845EE72" w14:textId="77777777" w:rsidR="00361E0E" w:rsidRDefault="00361E0E" w:rsidP="00361E0E">
      <w:pPr>
        <w:widowControl w:val="0"/>
        <w:suppressAutoHyphens/>
        <w:spacing w:before="120" w:after="120" w:line="240" w:lineRule="auto"/>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56DAAE1F" w14:textId="3DD0D791" w:rsidR="00361E0E" w:rsidRPr="00EE7C5B" w:rsidRDefault="00974498" w:rsidP="00361E0E">
      <w:pPr>
        <w:widowControl w:val="0"/>
        <w:suppressAutoHyphens/>
        <w:spacing w:before="120" w:after="120" w:line="240" w:lineRule="auto"/>
        <w:rPr>
          <w:lang w:eastAsia="ko-KR"/>
        </w:rPr>
      </w:pPr>
      <w:r>
        <w:rPr>
          <w:lang w:eastAsia="ko-KR"/>
        </w:rPr>
        <w:t>&lt;&gt;</w:t>
      </w:r>
    </w:p>
    <w:p w14:paraId="1E56C79C" w14:textId="77777777" w:rsidR="000C56B9" w:rsidRDefault="000C56B9" w:rsidP="000C56B9">
      <w:pPr>
        <w:widowControl w:val="0"/>
        <w:suppressAutoHyphens/>
        <w:spacing w:before="120" w:after="120" w:line="240" w:lineRule="auto"/>
        <w:rPr>
          <w:b/>
          <w:lang w:eastAsia="ko-KR"/>
        </w:rPr>
      </w:pPr>
      <w:r>
        <w:rPr>
          <w:b/>
          <w:lang w:eastAsia="ko-KR"/>
        </w:rPr>
        <w:t>Management / MIB</w:t>
      </w:r>
    </w:p>
    <w:p w14:paraId="0234782E" w14:textId="1017E342" w:rsidR="00361E0E" w:rsidRDefault="00974498" w:rsidP="000F1E63">
      <w:pPr>
        <w:widowControl w:val="0"/>
        <w:suppressAutoHyphens/>
        <w:spacing w:before="120" w:after="120" w:line="240" w:lineRule="auto"/>
        <w:rPr>
          <w:lang w:eastAsia="ko-KR"/>
        </w:rPr>
      </w:pPr>
      <w:r>
        <w:rPr>
          <w:lang w:eastAsia="ko-KR"/>
        </w:rPr>
        <w:t>&lt;&gt;</w:t>
      </w:r>
    </w:p>
    <w:p w14:paraId="31F31B48" w14:textId="77777777" w:rsidR="00FA3DC0" w:rsidRDefault="00FA3DC0" w:rsidP="000F1E63">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t>Cyber Security</w:t>
      </w:r>
    </w:p>
    <w:p w14:paraId="4D6B8212" w14:textId="7CF307BB" w:rsidR="00FA3DC0" w:rsidRDefault="00974498" w:rsidP="00AE0BDC">
      <w:pPr>
        <w:widowControl w:val="0"/>
        <w:suppressAutoHyphens/>
        <w:spacing w:before="120" w:after="120" w:line="240" w:lineRule="auto"/>
      </w:pPr>
      <w:r>
        <w:t>&lt;&gt;</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2" w:author="Godfrey, Tim" w:date="2020-08-13T13:40:00Z" w:initials="GT">
    <w:p w14:paraId="61BF27FC" w14:textId="4135F9ED" w:rsidR="00D46713" w:rsidRDefault="00D46713">
      <w:pPr>
        <w:pStyle w:val="CommentText"/>
      </w:pPr>
      <w:r>
        <w:rPr>
          <w:rStyle w:val="CommentReference"/>
        </w:rPr>
        <w:annotationRef/>
      </w:r>
      <w:r>
        <w:t xml:space="preserve">Bob Finch will provide revisions and updates to this section </w:t>
      </w:r>
      <w:r w:rsidR="008C54B9">
        <w:t>based on 55r4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4D1B5" w15:done="0"/>
  <w15:commentEx w15:paraId="61BF2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4D1B5" w16cid:durableId="22DFBE8F"/>
  <w16cid:commentId w16cid:paraId="61BF27FC" w16cid:durableId="22DFC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4340" w14:textId="77777777" w:rsidR="00915B90" w:rsidRDefault="00915B90" w:rsidP="00F87A52">
      <w:pPr>
        <w:spacing w:after="0" w:line="240" w:lineRule="auto"/>
      </w:pPr>
      <w:r>
        <w:separator/>
      </w:r>
    </w:p>
  </w:endnote>
  <w:endnote w:type="continuationSeparator" w:id="0">
    <w:p w14:paraId="6F9CF379" w14:textId="77777777" w:rsidR="00915B90" w:rsidRDefault="00915B90"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A99D7" w14:textId="77777777" w:rsidR="00915B90" w:rsidRDefault="00915B90" w:rsidP="00F87A52">
      <w:pPr>
        <w:spacing w:after="0" w:line="240" w:lineRule="auto"/>
      </w:pPr>
      <w:r>
        <w:separator/>
      </w:r>
    </w:p>
  </w:footnote>
  <w:footnote w:type="continuationSeparator" w:id="0">
    <w:p w14:paraId="7E62034F" w14:textId="77777777" w:rsidR="00915B90" w:rsidRDefault="00915B90"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F5DC" w14:textId="68C8945F"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67AB0" w:rsidRPr="00F87A52">
      <w:rPr>
        <w:b/>
        <w:sz w:val="24"/>
      </w:rPr>
      <w:t>0</w:t>
    </w:r>
    <w:r w:rsidR="00986F06">
      <w:rPr>
        <w:b/>
        <w:sz w:val="24"/>
      </w:rPr>
      <w:t>1</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3"/>
  </w:num>
  <w:num w:numId="5">
    <w:abstractNumId w:val="7"/>
  </w:num>
  <w:num w:numId="6">
    <w:abstractNumId w:val="9"/>
  </w:num>
  <w:num w:numId="7">
    <w:abstractNumId w:val="0"/>
  </w:num>
  <w:num w:numId="8">
    <w:abstractNumId w:val="12"/>
  </w:num>
  <w:num w:numId="9">
    <w:abstractNumId w:val="6"/>
  </w:num>
  <w:num w:numId="10">
    <w:abstractNumId w:val="3"/>
  </w:num>
  <w:num w:numId="11">
    <w:abstractNumId w:val="5"/>
  </w:num>
  <w:num w:numId="12">
    <w:abstractNumId w:val="2"/>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34244"/>
    <w:rsid w:val="000A19F6"/>
    <w:rsid w:val="000A306B"/>
    <w:rsid w:val="000C56B9"/>
    <w:rsid w:val="000D05E1"/>
    <w:rsid w:val="000D71A9"/>
    <w:rsid w:val="000F1E63"/>
    <w:rsid w:val="001110B3"/>
    <w:rsid w:val="00116D2E"/>
    <w:rsid w:val="0012591A"/>
    <w:rsid w:val="00137005"/>
    <w:rsid w:val="00155697"/>
    <w:rsid w:val="00173A22"/>
    <w:rsid w:val="00174A04"/>
    <w:rsid w:val="001B5EFD"/>
    <w:rsid w:val="001B6165"/>
    <w:rsid w:val="001C6380"/>
    <w:rsid w:val="001F35C7"/>
    <w:rsid w:val="00203689"/>
    <w:rsid w:val="00235476"/>
    <w:rsid w:val="00247E98"/>
    <w:rsid w:val="00272CA8"/>
    <w:rsid w:val="00275385"/>
    <w:rsid w:val="00283773"/>
    <w:rsid w:val="002A2EE6"/>
    <w:rsid w:val="002A6BB7"/>
    <w:rsid w:val="002C461A"/>
    <w:rsid w:val="002D0B0D"/>
    <w:rsid w:val="002D32FB"/>
    <w:rsid w:val="002E103B"/>
    <w:rsid w:val="002E1FBA"/>
    <w:rsid w:val="00322EB1"/>
    <w:rsid w:val="003436D2"/>
    <w:rsid w:val="00356012"/>
    <w:rsid w:val="00361E0E"/>
    <w:rsid w:val="003866A1"/>
    <w:rsid w:val="0039752A"/>
    <w:rsid w:val="003C4CC4"/>
    <w:rsid w:val="003C76E2"/>
    <w:rsid w:val="004102D7"/>
    <w:rsid w:val="00422059"/>
    <w:rsid w:val="00423256"/>
    <w:rsid w:val="004408B0"/>
    <w:rsid w:val="004710A5"/>
    <w:rsid w:val="00533716"/>
    <w:rsid w:val="00541BFD"/>
    <w:rsid w:val="00543A47"/>
    <w:rsid w:val="005503D2"/>
    <w:rsid w:val="005628EA"/>
    <w:rsid w:val="00563AAC"/>
    <w:rsid w:val="005648CD"/>
    <w:rsid w:val="005702FB"/>
    <w:rsid w:val="005916B6"/>
    <w:rsid w:val="00592169"/>
    <w:rsid w:val="005C0D38"/>
    <w:rsid w:val="005C3DB0"/>
    <w:rsid w:val="005D5DC1"/>
    <w:rsid w:val="006049BA"/>
    <w:rsid w:val="006314E4"/>
    <w:rsid w:val="00657C3D"/>
    <w:rsid w:val="00675904"/>
    <w:rsid w:val="006A71A1"/>
    <w:rsid w:val="00750704"/>
    <w:rsid w:val="00791AC5"/>
    <w:rsid w:val="007B0866"/>
    <w:rsid w:val="007B78C5"/>
    <w:rsid w:val="00855EF0"/>
    <w:rsid w:val="0085749A"/>
    <w:rsid w:val="00872B5B"/>
    <w:rsid w:val="00873A13"/>
    <w:rsid w:val="00875DDF"/>
    <w:rsid w:val="008C54B9"/>
    <w:rsid w:val="008F2675"/>
    <w:rsid w:val="00915B90"/>
    <w:rsid w:val="00923D32"/>
    <w:rsid w:val="00925556"/>
    <w:rsid w:val="00943274"/>
    <w:rsid w:val="009453F0"/>
    <w:rsid w:val="00952164"/>
    <w:rsid w:val="00956712"/>
    <w:rsid w:val="00967AB0"/>
    <w:rsid w:val="00974498"/>
    <w:rsid w:val="00986F06"/>
    <w:rsid w:val="009A0A3D"/>
    <w:rsid w:val="009C5AB2"/>
    <w:rsid w:val="009D09E5"/>
    <w:rsid w:val="009E1EF2"/>
    <w:rsid w:val="00A124A2"/>
    <w:rsid w:val="00A160E8"/>
    <w:rsid w:val="00A47160"/>
    <w:rsid w:val="00A57A10"/>
    <w:rsid w:val="00A73D9E"/>
    <w:rsid w:val="00A874FA"/>
    <w:rsid w:val="00A93646"/>
    <w:rsid w:val="00AE0BDC"/>
    <w:rsid w:val="00B740EB"/>
    <w:rsid w:val="00B822D1"/>
    <w:rsid w:val="00BB7CF5"/>
    <w:rsid w:val="00BC7A17"/>
    <w:rsid w:val="00BD2237"/>
    <w:rsid w:val="00BF2B60"/>
    <w:rsid w:val="00C275CA"/>
    <w:rsid w:val="00C27878"/>
    <w:rsid w:val="00C61504"/>
    <w:rsid w:val="00C62F62"/>
    <w:rsid w:val="00C9662F"/>
    <w:rsid w:val="00CB7F03"/>
    <w:rsid w:val="00CC5D65"/>
    <w:rsid w:val="00D058D0"/>
    <w:rsid w:val="00D20D3E"/>
    <w:rsid w:val="00D217B5"/>
    <w:rsid w:val="00D2252B"/>
    <w:rsid w:val="00D372A7"/>
    <w:rsid w:val="00D46713"/>
    <w:rsid w:val="00D55BF5"/>
    <w:rsid w:val="00D622CD"/>
    <w:rsid w:val="00D70A02"/>
    <w:rsid w:val="00DF05C4"/>
    <w:rsid w:val="00E053EB"/>
    <w:rsid w:val="00E105D5"/>
    <w:rsid w:val="00E24707"/>
    <w:rsid w:val="00E36D75"/>
    <w:rsid w:val="00E40238"/>
    <w:rsid w:val="00E606E4"/>
    <w:rsid w:val="00E84538"/>
    <w:rsid w:val="00EC31C3"/>
    <w:rsid w:val="00EC37C4"/>
    <w:rsid w:val="00F416CB"/>
    <w:rsid w:val="00F41A31"/>
    <w:rsid w:val="00F42C9E"/>
    <w:rsid w:val="00F60194"/>
    <w:rsid w:val="00F65233"/>
    <w:rsid w:val="00F67212"/>
    <w:rsid w:val="00F8693F"/>
    <w:rsid w:val="00F87A52"/>
    <w:rsid w:val="00FA1119"/>
    <w:rsid w:val="00FA157C"/>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5" Type="http://schemas.openxmlformats.org/officeDocument/2006/relationships/hyperlink" Target="https://mentor.ieee.org/802.15/dcn/20/15-20-0055-03-016t-frequency-band-layout.xlsx" TargetMode="External"/><Relationship Id="rId10" Type="http://schemas.openxmlformats.org/officeDocument/2006/relationships/hyperlink" Target="http://standards.ieee.org/board/pat/pat-materi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5C92-C743-4900-8E6A-D8C0FA18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4</cp:revision>
  <dcterms:created xsi:type="dcterms:W3CDTF">2020-08-13T18:31:00Z</dcterms:created>
  <dcterms:modified xsi:type="dcterms:W3CDTF">2020-08-13T18:54:00Z</dcterms:modified>
</cp:coreProperties>
</file>