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D838C3">
        <w:tc>
          <w:tcPr>
            <w:tcW w:w="1350" w:type="dxa"/>
            <w:tcBorders>
              <w:top w:val="single" w:sz="4" w:space="0" w:color="000000"/>
              <w:bottom w:val="single" w:sz="4" w:space="0" w:color="000000"/>
            </w:tcBorders>
          </w:tcPr>
          <w:p w14:paraId="23B1D57B" w14:textId="77777777"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D838C3">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8" w:history="1">
              <w:r w:rsidR="00272CA8" w:rsidRPr="0068281A">
                <w:rPr>
                  <w:rStyle w:val="Hyperlink"/>
                </w:rPr>
                <w:t>http://ieee802.org/15</w:t>
              </w:r>
            </w:hyperlink>
            <w:r>
              <w:rPr>
                <w:b/>
              </w:rPr>
              <w:t>&gt;</w:t>
            </w:r>
          </w:p>
        </w:tc>
      </w:tr>
      <w:tr w:rsidR="00BD2237" w:rsidRPr="008F0303" w14:paraId="5DD6512F" w14:textId="77777777" w:rsidTr="00D838C3">
        <w:tc>
          <w:tcPr>
            <w:tcW w:w="1350" w:type="dxa"/>
            <w:tcBorders>
              <w:bottom w:val="single" w:sz="4" w:space="0" w:color="000000"/>
            </w:tcBorders>
          </w:tcPr>
          <w:p w14:paraId="750D2DA9" w14:textId="77777777" w:rsidR="00BD2237" w:rsidRDefault="00BD2237" w:rsidP="00D838C3">
            <w:pPr>
              <w:pStyle w:val="covertext"/>
              <w:snapToGrid w:val="0"/>
            </w:pPr>
            <w:r>
              <w:t>Title</w:t>
            </w:r>
          </w:p>
        </w:tc>
        <w:tc>
          <w:tcPr>
            <w:tcW w:w="9540" w:type="dxa"/>
            <w:gridSpan w:val="2"/>
            <w:tcBorders>
              <w:bottom w:val="single" w:sz="4" w:space="0" w:color="000000"/>
            </w:tcBorders>
          </w:tcPr>
          <w:p w14:paraId="159DB285" w14:textId="5EB1C2AB"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D838C3">
        <w:tc>
          <w:tcPr>
            <w:tcW w:w="1350" w:type="dxa"/>
            <w:tcBorders>
              <w:bottom w:val="single" w:sz="4" w:space="0" w:color="000000"/>
            </w:tcBorders>
          </w:tcPr>
          <w:p w14:paraId="01F5731C"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404DB663" w14:textId="06A293FC" w:rsidR="00BD2237" w:rsidRDefault="001F35C7" w:rsidP="009D09E5">
            <w:pPr>
              <w:pStyle w:val="covertext"/>
              <w:snapToGrid w:val="0"/>
              <w:rPr>
                <w:b/>
              </w:rPr>
            </w:pPr>
            <w:r>
              <w:rPr>
                <w:b/>
              </w:rPr>
              <w:t>2020-07-16</w:t>
            </w:r>
          </w:p>
        </w:tc>
      </w:tr>
      <w:tr w:rsidR="00BD2237" w14:paraId="322909E7" w14:textId="77777777" w:rsidTr="00D838C3">
        <w:tc>
          <w:tcPr>
            <w:tcW w:w="1350" w:type="dxa"/>
            <w:tcBorders>
              <w:bottom w:val="single" w:sz="4" w:space="0" w:color="000000"/>
            </w:tcBorders>
          </w:tcPr>
          <w:p w14:paraId="38E38600" w14:textId="77777777" w:rsidR="00BD2237" w:rsidRDefault="00BD2237" w:rsidP="00D838C3">
            <w:pPr>
              <w:pStyle w:val="covertext"/>
              <w:snapToGrid w:val="0"/>
            </w:pPr>
            <w:r>
              <w:t>Source(s)</w:t>
            </w:r>
          </w:p>
        </w:tc>
        <w:tc>
          <w:tcPr>
            <w:tcW w:w="4320" w:type="dxa"/>
            <w:tcBorders>
              <w:bottom w:val="single" w:sz="4" w:space="0" w:color="000000"/>
            </w:tcBorders>
          </w:tcPr>
          <w:p w14:paraId="0B987D81" w14:textId="64C27C22" w:rsidR="00BD2237" w:rsidRDefault="00272CA8" w:rsidP="00BD2237">
            <w:pPr>
              <w:pStyle w:val="covertext"/>
              <w:snapToGrid w:val="0"/>
              <w:spacing w:after="0"/>
              <w:rPr>
                <w:rFonts w:ascii="Helvetica" w:hAnsi="Helvetica"/>
                <w:sz w:val="20"/>
              </w:rPr>
            </w:pPr>
            <w:r>
              <w:t>16t</w:t>
            </w:r>
            <w:r w:rsidR="000F1E63">
              <w:t xml:space="preserve"> Task Group</w:t>
            </w:r>
            <w:r w:rsidR="00BD2237">
              <w:br/>
            </w:r>
          </w:p>
        </w:tc>
        <w:tc>
          <w:tcPr>
            <w:tcW w:w="5220" w:type="dxa"/>
            <w:tcBorders>
              <w:bottom w:val="single" w:sz="4" w:space="0" w:color="000000"/>
            </w:tcBorders>
          </w:tcPr>
          <w:p w14:paraId="74137502" w14:textId="77777777" w:rsidR="00BD2237" w:rsidRDefault="00BD2237" w:rsidP="00D838C3">
            <w:pPr>
              <w:pStyle w:val="Default"/>
            </w:pPr>
            <w:r>
              <w:t>Voice:</w:t>
            </w:r>
            <w:r>
              <w:tab/>
            </w:r>
          </w:p>
          <w:p w14:paraId="297CC1F1" w14:textId="77777777" w:rsidR="00BD2237" w:rsidRDefault="00BD2237" w:rsidP="000F1E63">
            <w:pPr>
              <w:pStyle w:val="Default"/>
              <w:tabs>
                <w:tab w:val="left" w:pos="826"/>
              </w:tabs>
            </w:pPr>
            <w:r>
              <w:br/>
              <w:t xml:space="preserve">E-mail: </w:t>
            </w:r>
          </w:p>
        </w:tc>
      </w:tr>
      <w:tr w:rsidR="00BD2237" w14:paraId="1998E53E" w14:textId="77777777" w:rsidTr="00D838C3">
        <w:tc>
          <w:tcPr>
            <w:tcW w:w="1350" w:type="dxa"/>
            <w:tcBorders>
              <w:bottom w:val="single" w:sz="4" w:space="0" w:color="000000"/>
            </w:tcBorders>
          </w:tcPr>
          <w:p w14:paraId="6B6DA41A" w14:textId="77777777" w:rsidR="00BD2237" w:rsidRDefault="00BD2237" w:rsidP="00D838C3">
            <w:pPr>
              <w:pStyle w:val="covertext"/>
              <w:snapToGrid w:val="0"/>
            </w:pPr>
            <w:r>
              <w:t>Re:</w:t>
            </w:r>
          </w:p>
        </w:tc>
        <w:tc>
          <w:tcPr>
            <w:tcW w:w="9540" w:type="dxa"/>
            <w:gridSpan w:val="2"/>
            <w:tcBorders>
              <w:bottom w:val="single" w:sz="4" w:space="0" w:color="000000"/>
            </w:tcBorders>
          </w:tcPr>
          <w:p w14:paraId="683D7AB2" w14:textId="43B1231C" w:rsidR="00BD2237" w:rsidRDefault="00272CA8" w:rsidP="00BD2237">
            <w:pPr>
              <w:pStyle w:val="covertext"/>
              <w:snapToGrid w:val="0"/>
              <w:spacing w:before="0"/>
            </w:pPr>
            <w:r>
              <w:t>16t</w:t>
            </w:r>
            <w:r w:rsidR="00BD2237">
              <w:t xml:space="preserve"> Task Group: </w:t>
            </w:r>
            <w:r>
              <w:t>Licensed Narrowband Amendment</w:t>
            </w:r>
          </w:p>
        </w:tc>
      </w:tr>
      <w:tr w:rsidR="00BD2237" w14:paraId="6E4E8096" w14:textId="77777777" w:rsidTr="00D838C3">
        <w:tc>
          <w:tcPr>
            <w:tcW w:w="1350" w:type="dxa"/>
            <w:tcBorders>
              <w:bottom w:val="single" w:sz="4" w:space="0" w:color="000000"/>
            </w:tcBorders>
          </w:tcPr>
          <w:p w14:paraId="199F488D" w14:textId="77777777" w:rsidR="00BD2237" w:rsidRDefault="00BD2237" w:rsidP="00D838C3">
            <w:pPr>
              <w:pStyle w:val="covertext"/>
              <w:snapToGrid w:val="0"/>
            </w:pPr>
            <w:r>
              <w:t>Abstract</w:t>
            </w:r>
          </w:p>
        </w:tc>
        <w:tc>
          <w:tcPr>
            <w:tcW w:w="9540" w:type="dxa"/>
            <w:gridSpan w:val="2"/>
            <w:tcBorders>
              <w:bottom w:val="single" w:sz="4" w:space="0" w:color="000000"/>
            </w:tcBorders>
          </w:tcPr>
          <w:p w14:paraId="0EAF1893" w14:textId="77777777" w:rsidR="00BD2237" w:rsidRDefault="00E40238" w:rsidP="00A93646">
            <w:pPr>
              <w:pStyle w:val="covertext"/>
              <w:snapToGrid w:val="0"/>
            </w:pPr>
            <w:r>
              <w:t>S</w:t>
            </w:r>
            <w:r w:rsidR="000F1E63">
              <w:t xml:space="preserve">ystem </w:t>
            </w:r>
            <w:r w:rsidR="00BD2237">
              <w:t>requirements document</w:t>
            </w:r>
          </w:p>
        </w:tc>
      </w:tr>
      <w:tr w:rsidR="00BD2237" w14:paraId="5E7876F8" w14:textId="77777777" w:rsidTr="00D838C3">
        <w:tc>
          <w:tcPr>
            <w:tcW w:w="1350" w:type="dxa"/>
            <w:tcBorders>
              <w:bottom w:val="single" w:sz="4" w:space="0" w:color="000000"/>
            </w:tcBorders>
          </w:tcPr>
          <w:p w14:paraId="54A7FBBE" w14:textId="77777777" w:rsidR="00BD2237" w:rsidRDefault="00BD2237" w:rsidP="00D838C3">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D838C3">
        <w:tc>
          <w:tcPr>
            <w:tcW w:w="1350" w:type="dxa"/>
            <w:tcBorders>
              <w:bottom w:val="single" w:sz="4" w:space="0" w:color="000000"/>
            </w:tcBorders>
          </w:tcPr>
          <w:p w14:paraId="4E78FDCE" w14:textId="77777777" w:rsidR="00BD2237" w:rsidRDefault="00BD2237" w:rsidP="00D838C3">
            <w:pPr>
              <w:pStyle w:val="covertext"/>
              <w:snapToGrid w:val="0"/>
            </w:pPr>
            <w:r>
              <w:t>Notice</w:t>
            </w:r>
          </w:p>
        </w:tc>
        <w:tc>
          <w:tcPr>
            <w:tcW w:w="9540" w:type="dxa"/>
            <w:gridSpan w:val="2"/>
            <w:tcBorders>
              <w:bottom w:val="single" w:sz="4" w:space="0" w:color="000000"/>
            </w:tcBorders>
          </w:tcPr>
          <w:p w14:paraId="12ADAF64"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D838C3">
        <w:tc>
          <w:tcPr>
            <w:tcW w:w="1350" w:type="dxa"/>
            <w:tcBorders>
              <w:bottom w:val="single" w:sz="4" w:space="0" w:color="000000"/>
            </w:tcBorders>
          </w:tcPr>
          <w:p w14:paraId="05EDE8B3"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D838C3">
        <w:tc>
          <w:tcPr>
            <w:tcW w:w="1350" w:type="dxa"/>
          </w:tcPr>
          <w:p w14:paraId="3C85820B" w14:textId="77777777" w:rsidR="00BD2237" w:rsidRDefault="00BD2237" w:rsidP="00D838C3">
            <w:pPr>
              <w:pStyle w:val="covertext"/>
              <w:snapToGrid w:val="0"/>
            </w:pPr>
            <w:r>
              <w:t>Patent Policy</w:t>
            </w:r>
          </w:p>
        </w:tc>
        <w:tc>
          <w:tcPr>
            <w:tcW w:w="9540" w:type="dxa"/>
            <w:gridSpan w:val="2"/>
            <w:vAlign w:val="center"/>
          </w:tcPr>
          <w:p w14:paraId="68DABE67" w14:textId="77777777" w:rsidR="00BD2237" w:rsidRDefault="00BD2237" w:rsidP="00D838C3">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7CC1B518" w:rsidR="00137005" w:rsidRDefault="006049BA" w:rsidP="00C9662F">
      <w:pPr>
        <w:jc w:val="center"/>
        <w:rPr>
          <w:sz w:val="72"/>
        </w:rPr>
      </w:pPr>
      <w:r>
        <w:rPr>
          <w:sz w:val="72"/>
        </w:rPr>
        <w:t>R1</w:t>
      </w:r>
      <w:bookmarkStart w:id="1" w:name="_GoBack"/>
      <w:bookmarkEnd w:id="1"/>
    </w:p>
    <w:p w14:paraId="06F6AA6C" w14:textId="208570DC" w:rsidR="00C9662F" w:rsidRDefault="00272CA8" w:rsidP="00C9662F">
      <w:pPr>
        <w:jc w:val="center"/>
        <w:rPr>
          <w:sz w:val="72"/>
        </w:rPr>
      </w:pPr>
      <w:r>
        <w:rPr>
          <w:sz w:val="72"/>
        </w:rPr>
        <w:t>July 1</w:t>
      </w:r>
      <w:r w:rsidR="00EC37C4">
        <w:rPr>
          <w:sz w:val="72"/>
        </w:rPr>
        <w:t>6</w:t>
      </w:r>
      <w:r>
        <w:rPr>
          <w:sz w:val="72"/>
        </w:rPr>
        <w:t>, 2020</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220C4E76" w:rsidR="003436D2" w:rsidRDefault="00F416CB" w:rsidP="00F416CB">
      <w:r>
        <w:t xml:space="preserve">The following markets and use cases were identified in </w:t>
      </w:r>
      <w:hyperlink r:id="rId12" w:history="1">
        <w:r w:rsidRPr="00F416CB">
          <w:rPr>
            <w:rStyle w:val="Hyperlink"/>
          </w:rPr>
          <w:t>IEEE 802.15-20-0108r0</w:t>
        </w:r>
      </w:hyperlink>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Default="00361E0E" w:rsidP="00361E0E">
      <w:pPr>
        <w:pStyle w:val="Heading2"/>
      </w:pPr>
      <w:r>
        <w:t>802.16</w:t>
      </w:r>
      <w:r w:rsidR="00952164">
        <w:t>t</w:t>
      </w:r>
      <w:r>
        <w:t xml:space="preserve"> </w:t>
      </w:r>
      <w:r w:rsidR="002A6BB7">
        <w:t>Amendment</w:t>
      </w:r>
      <w: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50C09F89" w14:textId="3AE64D4C" w:rsidR="00361E0E" w:rsidRPr="00855EF0" w:rsidRDefault="00F416CB" w:rsidP="00361E0E">
      <w:r>
        <w:t>&lt;&gt;</w:t>
      </w:r>
    </w:p>
    <w:p w14:paraId="08B532EC" w14:textId="77777777" w:rsidR="00361E0E" w:rsidRDefault="00361E0E" w:rsidP="00361E0E">
      <w:pPr>
        <w:pStyle w:val="Subtitle"/>
        <w:rPr>
          <w:b/>
        </w:rPr>
      </w:pPr>
      <w:r>
        <w:rPr>
          <w:b/>
        </w:rPr>
        <w:t>Frequency Range</w:t>
      </w:r>
    </w:p>
    <w:p w14:paraId="002FA684" w14:textId="5B438237" w:rsidR="003C4CC4" w:rsidRDefault="003C4CC4" w:rsidP="00361E0E">
      <w:pPr>
        <w:pStyle w:val="Subtitle"/>
        <w:rPr>
          <w:bCs/>
        </w:rPr>
      </w:pPr>
      <w:r w:rsidRPr="003C4CC4">
        <w:rPr>
          <w:bCs/>
        </w:rPr>
        <w:t xml:space="preserve">See </w:t>
      </w:r>
      <w:hyperlink r:id="rId13" w:history="1">
        <w:r w:rsidRPr="00F416CB">
          <w:rPr>
            <w:rStyle w:val="Hyperlink"/>
            <w:bCs/>
          </w:rPr>
          <w:t>IEEE 802.15-20-0055-03-016t-frequency-band-layout.xls</w:t>
        </w:r>
      </w:hyperlink>
    </w:p>
    <w:p w14:paraId="51DD4F4F" w14:textId="77777777" w:rsidR="000D05E1" w:rsidRDefault="000D05E1" w:rsidP="000D05E1">
      <w:r>
        <w:t>(Proposed in 802.15-20-0050r0)</w:t>
      </w:r>
    </w:p>
    <w:p w14:paraId="37EAB8E3" w14:textId="7C9C8EE5" w:rsidR="000D05E1" w:rsidRPr="000D05E1" w:rsidRDefault="000D05E1" w:rsidP="000D05E1">
      <w:pPr>
        <w:ind w:left="720"/>
      </w:pPr>
      <w:r w:rsidRPr="000D05E1">
        <w:t xml:space="preserve">Operation in paired or unpaired continuous licensed bands available for private networks (e.g., AMTS, IVDS, 454 A2G, 700 MHz A-Block, RR 900 MHz, 1.4 GHz). </w:t>
      </w:r>
    </w:p>
    <w:p w14:paraId="42C3BD92" w14:textId="77777777" w:rsidR="000D05E1" w:rsidRPr="000D05E1" w:rsidRDefault="000D05E1" w:rsidP="000D05E1">
      <w:pPr>
        <w:pStyle w:val="ListParagraph"/>
        <w:numPr>
          <w:ilvl w:val="0"/>
          <w:numId w:val="12"/>
        </w:numPr>
        <w:ind w:left="2160"/>
      </w:pPr>
      <w:r w:rsidRPr="000D05E1">
        <w:t xml:space="preserve">Support for partition of these bands into multiple channels is required for frequency reuse and link budget/coverage considerations. </w:t>
      </w:r>
    </w:p>
    <w:p w14:paraId="11F66583" w14:textId="77777777" w:rsidR="000D05E1" w:rsidRPr="000D05E1" w:rsidRDefault="000D05E1" w:rsidP="000D05E1">
      <w:pPr>
        <w:ind w:left="720"/>
      </w:pPr>
      <w:r w:rsidRPr="000D05E1">
        <w:t>Operation in Private Land Mobile Radio (PLMR) bands (e.g., RR160 MHz).</w:t>
      </w:r>
    </w:p>
    <w:p w14:paraId="34A11ECB" w14:textId="77777777" w:rsidR="000D05E1" w:rsidRPr="000D05E1" w:rsidRDefault="000D05E1" w:rsidP="000D05E1">
      <w:pPr>
        <w:pStyle w:val="ListParagraph"/>
        <w:numPr>
          <w:ilvl w:val="0"/>
          <w:numId w:val="11"/>
        </w:numPr>
        <w:ind w:left="2160"/>
      </w:pPr>
      <w:r w:rsidRPr="000D05E1">
        <w:t xml:space="preserve">PLMR channels in the VHF band are available worldwide. </w:t>
      </w:r>
    </w:p>
    <w:p w14:paraId="2427212C" w14:textId="77777777" w:rsidR="000D05E1" w:rsidRPr="000D05E1" w:rsidRDefault="000D05E1" w:rsidP="000D05E1">
      <w:pPr>
        <w:pStyle w:val="ListParagraph"/>
        <w:numPr>
          <w:ilvl w:val="0"/>
          <w:numId w:val="11"/>
        </w:numPr>
        <w:ind w:left="2160"/>
      </w:pPr>
      <w:r w:rsidRPr="000D05E1">
        <w:t>Common PLMR channel bandwidth: 6.25, 12.5, 25 and 50 kHz</w:t>
      </w:r>
    </w:p>
    <w:p w14:paraId="0C305D25" w14:textId="77777777" w:rsidR="000D05E1" w:rsidRPr="000D05E1" w:rsidRDefault="000D05E1" w:rsidP="000D05E1">
      <w:pPr>
        <w:pStyle w:val="ListParagraph"/>
        <w:numPr>
          <w:ilvl w:val="0"/>
          <w:numId w:val="11"/>
        </w:numPr>
        <w:ind w:left="2160"/>
      </w:pPr>
      <w:r w:rsidRPr="000D05E1">
        <w:t xml:space="preserve">Special PLMR channel bandwidth: 5, 7.5 and 15 kHz </w:t>
      </w:r>
    </w:p>
    <w:p w14:paraId="367204D9" w14:textId="77777777" w:rsidR="000D05E1" w:rsidRPr="000D05E1" w:rsidRDefault="000D05E1" w:rsidP="000D05E1">
      <w:pPr>
        <w:pStyle w:val="ListParagraph"/>
        <w:numPr>
          <w:ilvl w:val="0"/>
          <w:numId w:val="11"/>
        </w:numPr>
        <w:ind w:left="2160"/>
      </w:pPr>
      <w:r w:rsidRPr="000D05E1">
        <w:t xml:space="preserve">Multiple adjacent or non-adjacent PLMR channels in the same band will be combined to support higher throughput services. </w:t>
      </w:r>
    </w:p>
    <w:p w14:paraId="47E76560" w14:textId="4F30B958" w:rsidR="006A71A1" w:rsidRPr="006A71A1" w:rsidRDefault="000D05E1" w:rsidP="000D05E1">
      <w:pPr>
        <w:pStyle w:val="ListParagraph"/>
        <w:numPr>
          <w:ilvl w:val="0"/>
          <w:numId w:val="11"/>
        </w:numPr>
        <w:ind w:left="2160"/>
      </w:pPr>
      <w:r w:rsidRPr="000D05E1">
        <w:t>Support of voice/data coexistence in low utilization voice channels. Voice will have priority over data.</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6C2EB8ED" w:rsidR="00361E0E" w:rsidRDefault="00974498" w:rsidP="00361E0E">
      <w:r>
        <w:t xml:space="preserve">Operation above 100 kHz is already </w:t>
      </w:r>
      <w:r w:rsidR="00FB63D1">
        <w:t>support</w:t>
      </w:r>
      <w:r w:rsidR="00174A04">
        <w:t>ed</w:t>
      </w:r>
      <w:r w:rsidR="00FB63D1">
        <w:t xml:space="preserve">. </w:t>
      </w:r>
    </w:p>
    <w:p w14:paraId="077C8E0A" w14:textId="77777777" w:rsidR="000D05E1" w:rsidRDefault="000D05E1" w:rsidP="00361E0E">
      <w:pPr>
        <w:rPr>
          <w:b/>
        </w:rPr>
      </w:pPr>
    </w:p>
    <w:p w14:paraId="6ACDE62B" w14:textId="661324ED" w:rsidR="00361E0E" w:rsidRDefault="00361E0E" w:rsidP="00361E0E">
      <w:pPr>
        <w:rPr>
          <w:b/>
        </w:rPr>
      </w:pPr>
      <w:r>
        <w:rPr>
          <w:b/>
        </w:rPr>
        <w:lastRenderedPageBreak/>
        <w:t>UL/</w:t>
      </w:r>
      <w:r w:rsidRPr="00A73D9E">
        <w:rPr>
          <w:b/>
        </w:rPr>
        <w:t>DL Ratio</w:t>
      </w:r>
    </w:p>
    <w:p w14:paraId="7803F136" w14:textId="77777777" w:rsidR="00361E0E" w:rsidRDefault="00361E0E" w:rsidP="00361E0E">
      <w:r>
        <w:t>The standard shall support configurable UL/DL ratio. The range of configuration should be 10:1 to 1:10</w:t>
      </w:r>
    </w:p>
    <w:p w14:paraId="4A498C8B" w14:textId="6C6F7131" w:rsidR="00361E0E" w:rsidRDefault="006A71A1" w:rsidP="00361E0E">
      <w:pPr>
        <w:rPr>
          <w:b/>
        </w:rPr>
      </w:pPr>
      <w:r>
        <w:rPr>
          <w:b/>
        </w:rPr>
        <w:t xml:space="preserve">Duplexing Requirements </w:t>
      </w:r>
      <w:r w:rsidR="00361E0E">
        <w:rPr>
          <w:b/>
        </w:rPr>
        <w:t>TDD or FDD</w:t>
      </w:r>
    </w:p>
    <w:p w14:paraId="299DF2FC" w14:textId="77777777" w:rsidR="006A71A1" w:rsidRDefault="006A71A1" w:rsidP="006A71A1">
      <w:r>
        <w:t>(Proposed in 802.15-20-0050r0)</w:t>
      </w:r>
    </w:p>
    <w:p w14:paraId="1A96F3A4" w14:textId="77777777" w:rsidR="006A71A1" w:rsidRPr="006A71A1" w:rsidRDefault="006A71A1" w:rsidP="006A71A1">
      <w:pPr>
        <w:ind w:left="720"/>
      </w:pPr>
      <w:r w:rsidRPr="006A71A1">
        <w:t>TDD will be used in unpaired spectrum and in paired spectrum if allowed by the applicable regulation authority. A highly asymmetrical  or reverse asymmetrical DL:UL ratio (e.g., 1:10 to 10:1) should be supported.</w:t>
      </w:r>
    </w:p>
    <w:p w14:paraId="2C0DA908" w14:textId="77777777" w:rsidR="006A71A1" w:rsidRPr="006A71A1" w:rsidRDefault="006A71A1" w:rsidP="006A71A1">
      <w:pPr>
        <w:ind w:left="720"/>
      </w:pPr>
      <w:r w:rsidRPr="006A71A1">
        <w:t>Typical IoT application is highly reverse asymmetrical.</w:t>
      </w:r>
    </w:p>
    <w:p w14:paraId="43D05481" w14:textId="77777777" w:rsidR="006A71A1" w:rsidRPr="006A71A1" w:rsidRDefault="006A71A1" w:rsidP="006A71A1">
      <w:pPr>
        <w:ind w:left="720"/>
      </w:pPr>
      <w:r w:rsidRPr="006A71A1">
        <w:t>HD-FDD or FDD will be used in paired spectrum if TDD is not allowed</w:t>
      </w:r>
    </w:p>
    <w:p w14:paraId="6F8E89DB" w14:textId="538656E6" w:rsidR="006A71A1" w:rsidRDefault="006A71A1" w:rsidP="006A71A1">
      <w:pPr>
        <w:ind w:left="720"/>
      </w:pPr>
      <w:r w:rsidRPr="006A71A1">
        <w:t>FDD will be used in paired spectrum if the latency requirements cannot be satisfied by TDD</w:t>
      </w:r>
    </w:p>
    <w:p w14:paraId="63C089B3" w14:textId="77777777" w:rsidR="006A71A1" w:rsidRDefault="006A71A1" w:rsidP="006A71A1"/>
    <w:p w14:paraId="79F60962" w14:textId="77777777" w:rsidR="00361E0E" w:rsidRDefault="00361E0E" w:rsidP="00361E0E">
      <w:pPr>
        <w:rPr>
          <w:b/>
        </w:rPr>
      </w:pPr>
      <w:r>
        <w:rPr>
          <w:b/>
        </w:rPr>
        <w:t>Modulation and Coding Scheme:</w:t>
      </w:r>
    </w:p>
    <w:p w14:paraId="6ED2ECDC" w14:textId="5EE39509" w:rsidR="00361E0E" w:rsidRPr="002E1FBA" w:rsidRDefault="00974498" w:rsidP="00361E0E">
      <w:r>
        <w:t>&lt;&gt;</w:t>
      </w:r>
    </w:p>
    <w:p w14:paraId="2CD5A24B" w14:textId="77777777" w:rsidR="00361E0E" w:rsidRDefault="00361E0E" w:rsidP="00361E0E">
      <w:pPr>
        <w:rPr>
          <w:b/>
        </w:rPr>
      </w:pPr>
      <w:r>
        <w:rPr>
          <w:b/>
        </w:rPr>
        <w:t>Mobility:</w:t>
      </w:r>
    </w:p>
    <w:p w14:paraId="1ABFE027" w14:textId="295F7291" w:rsidR="00361E0E" w:rsidRDefault="00B740EB" w:rsidP="00361E0E">
      <w:r>
        <w:t>Rail use cases require mobility. (similar capabilities to GSMR, but tailored for &lt;100 kHz channels)</w:t>
      </w:r>
      <w:r w:rsidR="00875DDF">
        <w:t xml:space="preserve">  Maximum velocity &lt;TBD&gt;</w:t>
      </w:r>
    </w:p>
    <w:p w14:paraId="4E0707E4" w14:textId="77777777" w:rsidR="00361E0E" w:rsidRDefault="00361E0E" w:rsidP="00361E0E">
      <w:pPr>
        <w:rPr>
          <w:b/>
        </w:rPr>
      </w:pPr>
      <w:r>
        <w:rPr>
          <w:b/>
        </w:rPr>
        <w:t>BS to BS Handoff:</w:t>
      </w:r>
    </w:p>
    <w:p w14:paraId="7EC699DB" w14:textId="2B2FE4E9" w:rsidR="00361E0E" w:rsidRDefault="00B740EB" w:rsidP="00361E0E">
      <w:r>
        <w:t>Handover between BS required for mobility and reliability of fixed devices</w:t>
      </w:r>
    </w:p>
    <w:p w14:paraId="1ECCFD43" w14:textId="031D25DD" w:rsidR="00361E0E" w:rsidRDefault="00361E0E" w:rsidP="00361E0E">
      <w:pPr>
        <w:rPr>
          <w:b/>
        </w:rPr>
      </w:pPr>
      <w:r>
        <w:rPr>
          <w:b/>
        </w:rPr>
        <w:t>One-way Latency</w:t>
      </w:r>
      <w:r w:rsidR="000D05E1">
        <w:rPr>
          <w:b/>
        </w:rPr>
        <w:t xml:space="preserve"> and </w:t>
      </w:r>
      <w:r>
        <w:rPr>
          <w:b/>
        </w:rPr>
        <w:t>Operational throughput:</w:t>
      </w:r>
    </w:p>
    <w:p w14:paraId="56B21F6A" w14:textId="77777777" w:rsidR="000D05E1" w:rsidRDefault="000D05E1" w:rsidP="000D05E1">
      <w:r>
        <w:t>(Proposed in 802.15-20-0050r0)</w:t>
      </w:r>
    </w:p>
    <w:p w14:paraId="31C72B3D" w14:textId="77777777" w:rsidR="000D05E1" w:rsidRPr="000D05E1" w:rsidRDefault="000D05E1" w:rsidP="000D05E1">
      <w:pPr>
        <w:ind w:left="720"/>
      </w:pPr>
      <w:r w:rsidRPr="000D05E1">
        <w:t xml:space="preserve">Throughput and latency requirements per endpoint: </w:t>
      </w:r>
    </w:p>
    <w:p w14:paraId="40D29761" w14:textId="77777777" w:rsidR="000D05E1" w:rsidRPr="000D05E1" w:rsidRDefault="000D05E1" w:rsidP="000D05E1">
      <w:pPr>
        <w:pStyle w:val="ListParagraph"/>
        <w:numPr>
          <w:ilvl w:val="0"/>
          <w:numId w:val="13"/>
        </w:numPr>
      </w:pPr>
      <w:r w:rsidRPr="000D05E1">
        <w:t>Many endpoints run low throughput non-critical latency applications. They should be served by low-end remote stations.</w:t>
      </w:r>
    </w:p>
    <w:p w14:paraId="6A06445E" w14:textId="77777777" w:rsidR="000D05E1" w:rsidRPr="000D05E1" w:rsidRDefault="000D05E1" w:rsidP="000D05E1">
      <w:pPr>
        <w:pStyle w:val="ListParagraph"/>
        <w:numPr>
          <w:ilvl w:val="0"/>
          <w:numId w:val="13"/>
        </w:numPr>
      </w:pPr>
      <w:r w:rsidRPr="000D05E1">
        <w:t>Some endpoints run substantial throughput and sometimes also low latency applications. They should be served by high-end remote stations.</w:t>
      </w:r>
    </w:p>
    <w:p w14:paraId="0D79CC14" w14:textId="77777777" w:rsidR="000D05E1" w:rsidRPr="000D05E1" w:rsidRDefault="000D05E1" w:rsidP="000D05E1">
      <w:pPr>
        <w:ind w:left="720"/>
      </w:pPr>
      <w:r w:rsidRPr="000D05E1">
        <w:t>The air interface protocol will support concurrent operation of both low-end and high-end remotes on the same sector / base station</w:t>
      </w:r>
    </w:p>
    <w:p w14:paraId="1496CD65" w14:textId="77777777" w:rsidR="000D05E1" w:rsidRPr="000D05E1" w:rsidRDefault="000D05E1" w:rsidP="000D05E1">
      <w:pPr>
        <w:ind w:left="720"/>
      </w:pPr>
      <w:r w:rsidRPr="000D05E1">
        <w:t>Low-end remote station specific requirements</w:t>
      </w:r>
    </w:p>
    <w:p w14:paraId="78526305" w14:textId="77777777" w:rsidR="000D05E1" w:rsidRPr="000D05E1" w:rsidRDefault="000D05E1" w:rsidP="000D05E1">
      <w:pPr>
        <w:pStyle w:val="ListParagraph"/>
        <w:numPr>
          <w:ilvl w:val="0"/>
          <w:numId w:val="14"/>
        </w:numPr>
      </w:pPr>
      <w:r w:rsidRPr="000D05E1">
        <w:t xml:space="preserve">Limited throughput, Limited total bandwidth, Low power consumption, Low cost </w:t>
      </w:r>
    </w:p>
    <w:p w14:paraId="0BADB406" w14:textId="77777777" w:rsidR="000D05E1" w:rsidRPr="000D05E1" w:rsidRDefault="000D05E1" w:rsidP="000D05E1">
      <w:pPr>
        <w:ind w:left="720"/>
      </w:pPr>
      <w:r w:rsidRPr="000D05E1">
        <w:t>High-end remote station specific requirements</w:t>
      </w:r>
    </w:p>
    <w:p w14:paraId="6BCB2F87" w14:textId="21E011BD" w:rsidR="000D05E1" w:rsidRDefault="000D05E1" w:rsidP="000D05E1">
      <w:pPr>
        <w:pStyle w:val="ListParagraph"/>
        <w:numPr>
          <w:ilvl w:val="0"/>
          <w:numId w:val="14"/>
        </w:numPr>
      </w:pPr>
      <w:r w:rsidRPr="000D05E1">
        <w:lastRenderedPageBreak/>
        <w:t>Support high throughput over relatively high total bandwidth. Supports low latency for time critical applications.</w:t>
      </w:r>
    </w:p>
    <w:p w14:paraId="770727B7" w14:textId="0A6BFCBA" w:rsidR="002C461A" w:rsidRDefault="00974498" w:rsidP="00361E0E">
      <w:r>
        <w:t>&lt;&gt;</w:t>
      </w:r>
    </w:p>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t>Central scheduling</w:t>
      </w:r>
    </w:p>
    <w:p w14:paraId="195C5F19" w14:textId="77777777" w:rsidR="006A71A1" w:rsidRPr="006A71A1" w:rsidRDefault="006A71A1" w:rsidP="006A71A1">
      <w:pPr>
        <w:ind w:left="720"/>
      </w:pPr>
      <w:r w:rsidRPr="006A71A1">
        <w:t xml:space="preserve">QOS </w:t>
      </w:r>
    </w:p>
    <w:p w14:paraId="5CAEB1DF" w14:textId="07B8F137" w:rsidR="006A71A1" w:rsidRDefault="006A71A1" w:rsidP="006A71A1">
      <w:pPr>
        <w:ind w:left="720"/>
      </w:pPr>
      <w:r w:rsidRPr="006A71A1">
        <w:t>High Security</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77777777" w:rsidR="006A71A1" w:rsidRPr="006A71A1" w:rsidRDefault="006A71A1" w:rsidP="006A71A1">
      <w:pPr>
        <w:ind w:left="720"/>
      </w:pPr>
      <w:r w:rsidRPr="006A71A1">
        <w:t>Long range single hop coverage (e.g., up to 50+ miles cell radius):</w:t>
      </w:r>
    </w:p>
    <w:p w14:paraId="44551B90" w14:textId="77777777" w:rsidR="006A71A1" w:rsidRPr="006A71A1" w:rsidRDefault="006A71A1" w:rsidP="006A71A1">
      <w:pPr>
        <w:ind w:left="720"/>
      </w:pPr>
      <w:r w:rsidRPr="006A71A1">
        <w:t>Receiver sensitivity requirement</w:t>
      </w:r>
    </w:p>
    <w:p w14:paraId="100F4F23" w14:textId="77777777" w:rsidR="006A71A1" w:rsidRPr="006A71A1" w:rsidRDefault="006A71A1" w:rsidP="006A71A1">
      <w:pPr>
        <w:ind w:left="720"/>
      </w:pPr>
      <w:r w:rsidRPr="006A71A1">
        <w:t>TDD frame structure requirements</w:t>
      </w:r>
    </w:p>
    <w:p w14:paraId="6104B9C6" w14:textId="365BB3CD" w:rsidR="006A71A1" w:rsidRDefault="006A71A1" w:rsidP="006A71A1">
      <w:pPr>
        <w:ind w:left="720"/>
      </w:pPr>
      <w:r w:rsidRPr="006A71A1">
        <w:t>Support of repeater for range extension (?)</w:t>
      </w:r>
    </w:p>
    <w:p w14:paraId="6C8D289B" w14:textId="340046CC" w:rsidR="000D05E1" w:rsidRDefault="000D05E1" w:rsidP="00361E0E">
      <w:pPr>
        <w:rPr>
          <w:b/>
        </w:rPr>
      </w:pPr>
      <w:r>
        <w:rPr>
          <w:b/>
        </w:rPr>
        <w:t>Endpoints:</w:t>
      </w:r>
    </w:p>
    <w:p w14:paraId="56C47766" w14:textId="77777777" w:rsidR="000D05E1" w:rsidRDefault="000D05E1" w:rsidP="000D05E1">
      <w:r>
        <w:t>(Proposed in 802.15-20-0050r0)</w:t>
      </w:r>
    </w:p>
    <w:p w14:paraId="61256092" w14:textId="77777777" w:rsidR="000D05E1" w:rsidRPr="000D05E1" w:rsidRDefault="000D05E1" w:rsidP="000D05E1">
      <w:pPr>
        <w:ind w:left="720"/>
        <w:rPr>
          <w:bCs/>
        </w:rPr>
      </w:pPr>
      <w:r w:rsidRPr="000D05E1">
        <w:rPr>
          <w:bCs/>
        </w:rPr>
        <w:t>Support for 1000’s of endpoint devices per sector (known as “massive connectivity”) in a Point to Multi-Point architecture</w:t>
      </w:r>
    </w:p>
    <w:p w14:paraId="09A8C5B9" w14:textId="71F6A358" w:rsidR="000D05E1" w:rsidRPr="000D05E1" w:rsidRDefault="000D05E1" w:rsidP="000D05E1">
      <w:pPr>
        <w:ind w:left="720"/>
        <w:rPr>
          <w:bCs/>
        </w:rPr>
      </w:pPr>
      <w:r w:rsidRPr="000D05E1">
        <w:rPr>
          <w:bCs/>
        </w:rPr>
        <w:t>An example of massive connectivity requirement includes rapid reconnection of all remotes in a sector after a base station failure has occurred.</w:t>
      </w:r>
    </w:p>
    <w:p w14:paraId="20CC12B7" w14:textId="77777777" w:rsidR="000D05E1" w:rsidRDefault="000D05E1" w:rsidP="00361E0E">
      <w:pPr>
        <w:rPr>
          <w:b/>
        </w:rPr>
      </w:pPr>
    </w:p>
    <w:p w14:paraId="688B8553" w14:textId="7E5BBF6F" w:rsidR="00361E0E" w:rsidRDefault="00361E0E" w:rsidP="00361E0E">
      <w:pPr>
        <w:rPr>
          <w:b/>
        </w:rPr>
      </w:pPr>
      <w:r>
        <w:rPr>
          <w:b/>
        </w:rPr>
        <w:t>Throughput maximization, reduction of overhead:</w:t>
      </w:r>
    </w:p>
    <w:p w14:paraId="7FDBA20E" w14:textId="45E6C949" w:rsidR="005C0D38" w:rsidRDefault="00974498" w:rsidP="00974498">
      <w:pPr>
        <w:rPr>
          <w:lang w:eastAsia="ko-KR"/>
        </w:rPr>
      </w:pPr>
      <w:r>
        <w:rPr>
          <w:lang w:eastAsia="ko-KR"/>
        </w:rPr>
        <w:t>&lt;&gt;</w:t>
      </w:r>
    </w:p>
    <w:p w14:paraId="27E4FE9B" w14:textId="77777777" w:rsidR="00361E0E" w:rsidRPr="00CB7F03" w:rsidRDefault="00361E0E" w:rsidP="00361E0E">
      <w:pPr>
        <w:rPr>
          <w:b/>
          <w:lang w:eastAsia="ko-KR"/>
        </w:rPr>
      </w:pPr>
      <w:r w:rsidRPr="00CB7F03">
        <w:rPr>
          <w:b/>
          <w:lang w:eastAsia="ko-KR"/>
        </w:rPr>
        <w:t>Permutation:</w:t>
      </w:r>
      <w:r>
        <w:rPr>
          <w:b/>
          <w:lang w:eastAsia="ko-KR"/>
        </w:rPr>
        <w:t xml:space="preserve"> </w:t>
      </w:r>
    </w:p>
    <w:p w14:paraId="31F96935" w14:textId="405B9ABF" w:rsidR="00E053EB" w:rsidRDefault="00974498" w:rsidP="00361E0E">
      <w:pPr>
        <w:widowControl w:val="0"/>
        <w:suppressAutoHyphens/>
        <w:spacing w:before="120" w:after="120" w:line="240" w:lineRule="auto"/>
        <w:rPr>
          <w:lang w:eastAsia="ko-KR"/>
        </w:rPr>
      </w:pPr>
      <w:r>
        <w:rPr>
          <w:lang w:eastAsia="ko-KR"/>
        </w:rPr>
        <w:t>&lt;&gt;</w:t>
      </w:r>
    </w:p>
    <w:p w14:paraId="4845EE72" w14:textId="77777777" w:rsidR="00361E0E" w:rsidRDefault="00361E0E" w:rsidP="00361E0E">
      <w:pPr>
        <w:widowControl w:val="0"/>
        <w:suppressAutoHyphens/>
        <w:spacing w:before="120" w:after="120" w:line="240" w:lineRule="auto"/>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56DAAE1F" w14:textId="3DD0D791" w:rsidR="00361E0E" w:rsidRPr="00EE7C5B" w:rsidRDefault="00974498" w:rsidP="00361E0E">
      <w:pPr>
        <w:widowControl w:val="0"/>
        <w:suppressAutoHyphens/>
        <w:spacing w:before="120" w:after="120" w:line="240" w:lineRule="auto"/>
        <w:rPr>
          <w:lang w:eastAsia="ko-KR"/>
        </w:rPr>
      </w:pPr>
      <w:r>
        <w:rPr>
          <w:lang w:eastAsia="ko-KR"/>
        </w:rPr>
        <w:t>&lt;&gt;</w:t>
      </w:r>
    </w:p>
    <w:p w14:paraId="1E56C79C" w14:textId="77777777" w:rsidR="000C56B9" w:rsidRDefault="000C56B9" w:rsidP="000C56B9">
      <w:pPr>
        <w:widowControl w:val="0"/>
        <w:suppressAutoHyphens/>
        <w:spacing w:before="120" w:after="120" w:line="240" w:lineRule="auto"/>
        <w:rPr>
          <w:b/>
          <w:lang w:eastAsia="ko-KR"/>
        </w:rPr>
      </w:pPr>
      <w:r>
        <w:rPr>
          <w:b/>
          <w:lang w:eastAsia="ko-KR"/>
        </w:rPr>
        <w:lastRenderedPageBreak/>
        <w:t>Management / MIB</w:t>
      </w:r>
    </w:p>
    <w:p w14:paraId="0234782E" w14:textId="1017E342" w:rsidR="00361E0E" w:rsidRDefault="00974498" w:rsidP="000F1E63">
      <w:pPr>
        <w:widowControl w:val="0"/>
        <w:suppressAutoHyphens/>
        <w:spacing w:before="120" w:after="120" w:line="240" w:lineRule="auto"/>
        <w:rPr>
          <w:lang w:eastAsia="ko-KR"/>
        </w:rPr>
      </w:pPr>
      <w:r>
        <w:rPr>
          <w:lang w:eastAsia="ko-KR"/>
        </w:rPr>
        <w:t>&lt;&gt;</w:t>
      </w:r>
    </w:p>
    <w:p w14:paraId="31F31B48" w14:textId="77777777" w:rsidR="00FA3DC0" w:rsidRDefault="00FA3DC0" w:rsidP="000F1E63">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t>Cyber Security</w:t>
      </w:r>
    </w:p>
    <w:p w14:paraId="4D6B8212" w14:textId="7CF307BB" w:rsidR="00FA3DC0" w:rsidRDefault="00974498" w:rsidP="00AE0BDC">
      <w:pPr>
        <w:widowControl w:val="0"/>
        <w:suppressAutoHyphens/>
        <w:spacing w:before="120" w:after="120" w:line="240" w:lineRule="auto"/>
      </w:pPr>
      <w:r>
        <w:t>&lt;&gt;</w:t>
      </w:r>
    </w:p>
    <w:p w14:paraId="3069BC44" w14:textId="77777777"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33C10" w14:textId="77777777" w:rsidR="005916B6" w:rsidRDefault="005916B6" w:rsidP="00F87A52">
      <w:pPr>
        <w:spacing w:after="0" w:line="240" w:lineRule="auto"/>
      </w:pPr>
      <w:r>
        <w:separator/>
      </w:r>
    </w:p>
  </w:endnote>
  <w:endnote w:type="continuationSeparator" w:id="0">
    <w:p w14:paraId="72E71CC5" w14:textId="77777777" w:rsidR="005916B6" w:rsidRDefault="005916B6"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548FB" w14:textId="77777777" w:rsidR="005916B6" w:rsidRDefault="005916B6" w:rsidP="00F87A52">
      <w:pPr>
        <w:spacing w:after="0" w:line="240" w:lineRule="auto"/>
      </w:pPr>
      <w:r>
        <w:separator/>
      </w:r>
    </w:p>
  </w:footnote>
  <w:footnote w:type="continuationSeparator" w:id="0">
    <w:p w14:paraId="26E27EE1" w14:textId="77777777" w:rsidR="005916B6" w:rsidRDefault="005916B6"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F5DC" w14:textId="68C8945F" w:rsidR="00F87A52" w:rsidRPr="00F87A52" w:rsidRDefault="00F87A52" w:rsidP="00F87A52">
    <w:pPr>
      <w:pStyle w:val="Header"/>
      <w:tabs>
        <w:tab w:val="right" w:pos="10800"/>
      </w:tabs>
      <w:jc w:val="right"/>
      <w:rPr>
        <w:b/>
        <w:sz w:val="24"/>
      </w:rPr>
    </w:pPr>
    <w:r w:rsidRPr="00F87A52">
      <w:rPr>
        <w:b/>
        <w:sz w:val="24"/>
      </w:rPr>
      <w:t>IEEE 802.1</w:t>
    </w:r>
    <w:r w:rsidR="00272CA8">
      <w:rPr>
        <w:b/>
        <w:sz w:val="24"/>
      </w:rPr>
      <w:t>5</w:t>
    </w:r>
    <w:r w:rsidRPr="00F87A52">
      <w:rPr>
        <w:b/>
        <w:sz w:val="24"/>
      </w:rPr>
      <w:t>-</w:t>
    </w:r>
    <w:r w:rsidR="00272CA8">
      <w:rPr>
        <w:b/>
        <w:sz w:val="24"/>
      </w:rPr>
      <w:t>20</w:t>
    </w:r>
    <w:r w:rsidRPr="00F87A52">
      <w:rPr>
        <w:b/>
        <w:sz w:val="24"/>
      </w:rPr>
      <w:t>-</w:t>
    </w:r>
    <w:r w:rsidR="00272CA8">
      <w:rPr>
        <w:b/>
        <w:sz w:val="24"/>
      </w:rPr>
      <w:t>0182-</w:t>
    </w:r>
    <w:r w:rsidR="00967AB0" w:rsidRPr="00F87A52">
      <w:rPr>
        <w:b/>
        <w:sz w:val="24"/>
      </w:rPr>
      <w:t>0</w:t>
    </w:r>
    <w:r w:rsidR="00986F06">
      <w:rPr>
        <w:b/>
        <w:sz w:val="24"/>
      </w:rPr>
      <w:t>1</w:t>
    </w:r>
    <w:r w:rsidRPr="00F87A52">
      <w:rPr>
        <w:b/>
        <w:sz w:val="24"/>
      </w:rPr>
      <w:t>-</w:t>
    </w:r>
    <w:r>
      <w:rPr>
        <w:b/>
        <w:sz w:val="24"/>
      </w:rPr>
      <w:t>0</w:t>
    </w:r>
    <w:r w:rsidR="00272CA8">
      <w:rPr>
        <w:b/>
        <w:sz w:val="24"/>
      </w:rPr>
      <w:t>16t</w:t>
    </w:r>
  </w:p>
  <w:p w14:paraId="13D7CBDF" w14:textId="77777777"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13"/>
  </w:num>
  <w:num w:numId="5">
    <w:abstractNumId w:val="7"/>
  </w:num>
  <w:num w:numId="6">
    <w:abstractNumId w:val="9"/>
  </w:num>
  <w:num w:numId="7">
    <w:abstractNumId w:val="0"/>
  </w:num>
  <w:num w:numId="8">
    <w:abstractNumId w:val="12"/>
  </w:num>
  <w:num w:numId="9">
    <w:abstractNumId w:val="6"/>
  </w:num>
  <w:num w:numId="10">
    <w:abstractNumId w:val="3"/>
  </w:num>
  <w:num w:numId="11">
    <w:abstractNumId w:val="5"/>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2D6"/>
    <w:rsid w:val="00034244"/>
    <w:rsid w:val="000A19F6"/>
    <w:rsid w:val="000A306B"/>
    <w:rsid w:val="000C56B9"/>
    <w:rsid w:val="000D05E1"/>
    <w:rsid w:val="000D71A9"/>
    <w:rsid w:val="000F1E63"/>
    <w:rsid w:val="001110B3"/>
    <w:rsid w:val="00116D2E"/>
    <w:rsid w:val="0012591A"/>
    <w:rsid w:val="00137005"/>
    <w:rsid w:val="00155697"/>
    <w:rsid w:val="00173A22"/>
    <w:rsid w:val="00174A04"/>
    <w:rsid w:val="001B5EFD"/>
    <w:rsid w:val="001B6165"/>
    <w:rsid w:val="001F35C7"/>
    <w:rsid w:val="00203689"/>
    <w:rsid w:val="00235476"/>
    <w:rsid w:val="00247E98"/>
    <w:rsid w:val="00272CA8"/>
    <w:rsid w:val="00275385"/>
    <w:rsid w:val="00283773"/>
    <w:rsid w:val="002A2EE6"/>
    <w:rsid w:val="002A6BB7"/>
    <w:rsid w:val="002C461A"/>
    <w:rsid w:val="002D0B0D"/>
    <w:rsid w:val="002D32FB"/>
    <w:rsid w:val="002E103B"/>
    <w:rsid w:val="002E1FBA"/>
    <w:rsid w:val="00322EB1"/>
    <w:rsid w:val="003436D2"/>
    <w:rsid w:val="00356012"/>
    <w:rsid w:val="00361E0E"/>
    <w:rsid w:val="003866A1"/>
    <w:rsid w:val="0039752A"/>
    <w:rsid w:val="003C4CC4"/>
    <w:rsid w:val="003C76E2"/>
    <w:rsid w:val="004102D7"/>
    <w:rsid w:val="00423256"/>
    <w:rsid w:val="004408B0"/>
    <w:rsid w:val="00533716"/>
    <w:rsid w:val="00541BFD"/>
    <w:rsid w:val="005503D2"/>
    <w:rsid w:val="005628EA"/>
    <w:rsid w:val="00563AAC"/>
    <w:rsid w:val="005648CD"/>
    <w:rsid w:val="005702FB"/>
    <w:rsid w:val="005916B6"/>
    <w:rsid w:val="00592169"/>
    <w:rsid w:val="005C0D38"/>
    <w:rsid w:val="005C3DB0"/>
    <w:rsid w:val="005D5DC1"/>
    <w:rsid w:val="006049BA"/>
    <w:rsid w:val="006314E4"/>
    <w:rsid w:val="00657C3D"/>
    <w:rsid w:val="00675904"/>
    <w:rsid w:val="006A71A1"/>
    <w:rsid w:val="00750704"/>
    <w:rsid w:val="00791AC5"/>
    <w:rsid w:val="007B0866"/>
    <w:rsid w:val="007B78C5"/>
    <w:rsid w:val="00855EF0"/>
    <w:rsid w:val="0085749A"/>
    <w:rsid w:val="00873A13"/>
    <w:rsid w:val="00875DDF"/>
    <w:rsid w:val="008F2675"/>
    <w:rsid w:val="00923D32"/>
    <w:rsid w:val="00925556"/>
    <w:rsid w:val="00943274"/>
    <w:rsid w:val="009453F0"/>
    <w:rsid w:val="00952164"/>
    <w:rsid w:val="00956712"/>
    <w:rsid w:val="00967AB0"/>
    <w:rsid w:val="00974498"/>
    <w:rsid w:val="00986F06"/>
    <w:rsid w:val="009A0A3D"/>
    <w:rsid w:val="009C5AB2"/>
    <w:rsid w:val="009D09E5"/>
    <w:rsid w:val="009E1EF2"/>
    <w:rsid w:val="00A124A2"/>
    <w:rsid w:val="00A160E8"/>
    <w:rsid w:val="00A47160"/>
    <w:rsid w:val="00A57A10"/>
    <w:rsid w:val="00A73D9E"/>
    <w:rsid w:val="00A874FA"/>
    <w:rsid w:val="00A93646"/>
    <w:rsid w:val="00AE0BDC"/>
    <w:rsid w:val="00B740EB"/>
    <w:rsid w:val="00B822D1"/>
    <w:rsid w:val="00BB7CF5"/>
    <w:rsid w:val="00BC7A17"/>
    <w:rsid w:val="00BD2237"/>
    <w:rsid w:val="00BF2B60"/>
    <w:rsid w:val="00C275CA"/>
    <w:rsid w:val="00C27878"/>
    <w:rsid w:val="00C61504"/>
    <w:rsid w:val="00C62F62"/>
    <w:rsid w:val="00C9662F"/>
    <w:rsid w:val="00CB7F03"/>
    <w:rsid w:val="00CC5D65"/>
    <w:rsid w:val="00D058D0"/>
    <w:rsid w:val="00D20D3E"/>
    <w:rsid w:val="00D217B5"/>
    <w:rsid w:val="00D2252B"/>
    <w:rsid w:val="00D372A7"/>
    <w:rsid w:val="00D55BF5"/>
    <w:rsid w:val="00D622CD"/>
    <w:rsid w:val="00D70A02"/>
    <w:rsid w:val="00DF05C4"/>
    <w:rsid w:val="00E053EB"/>
    <w:rsid w:val="00E105D5"/>
    <w:rsid w:val="00E24707"/>
    <w:rsid w:val="00E36D75"/>
    <w:rsid w:val="00E40238"/>
    <w:rsid w:val="00E606E4"/>
    <w:rsid w:val="00E84538"/>
    <w:rsid w:val="00EC31C3"/>
    <w:rsid w:val="00EC37C4"/>
    <w:rsid w:val="00F416CB"/>
    <w:rsid w:val="00F41A31"/>
    <w:rsid w:val="00F42C9E"/>
    <w:rsid w:val="00F60194"/>
    <w:rsid w:val="00F65233"/>
    <w:rsid w:val="00F67212"/>
    <w:rsid w:val="00F8693F"/>
    <w:rsid w:val="00F87A52"/>
    <w:rsid w:val="00FA1119"/>
    <w:rsid w:val="00FA157C"/>
    <w:rsid w:val="00FA2686"/>
    <w:rsid w:val="00FA3DC0"/>
    <w:rsid w:val="00FB200F"/>
    <w:rsid w:val="00FB63D1"/>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5" TargetMode="External"/><Relationship Id="rId13" Type="http://schemas.openxmlformats.org/officeDocument/2006/relationships/hyperlink" Target="https://mentor.ieee.org/802.15/dcn/20/15-20-0055-03-016t-frequency-band-layout.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cn/20/15-20-0111-00-016t-april-9-2020-teleconference-presentation.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board/pat/pat-material.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5F5F2-EA71-419D-9842-08170509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5</cp:revision>
  <dcterms:created xsi:type="dcterms:W3CDTF">2020-07-16T18:37:00Z</dcterms:created>
  <dcterms:modified xsi:type="dcterms:W3CDTF">2020-07-16T19:35:00Z</dcterms:modified>
</cp:coreProperties>
</file>