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BBCB5" w14:textId="77777777" w:rsidR="00A46B90" w:rsidRDefault="00A46B90" w:rsidP="00A718EA">
      <w:pPr>
        <w:jc w:val="center"/>
        <w:rPr>
          <w:b/>
          <w:sz w:val="28"/>
        </w:rPr>
      </w:pPr>
      <w:r>
        <w:rPr>
          <w:b/>
          <w:sz w:val="28"/>
        </w:rPr>
        <w:t>IEEE P802.15</w:t>
      </w:r>
    </w:p>
    <w:p w14:paraId="7E434E35" w14:textId="77777777" w:rsidR="00A46B90" w:rsidRDefault="00A46B90" w:rsidP="00A718EA">
      <w:pPr>
        <w:jc w:val="center"/>
        <w:rPr>
          <w:b/>
          <w:sz w:val="28"/>
        </w:rPr>
      </w:pPr>
      <w:r>
        <w:rPr>
          <w:b/>
          <w:sz w:val="28"/>
        </w:rPr>
        <w:t>Wireless Personal Area Networks</w:t>
      </w:r>
    </w:p>
    <w:p w14:paraId="771C3B04" w14:textId="77777777" w:rsidR="00A46B90" w:rsidRDefault="00A46B90" w:rsidP="008100E5">
      <w:pPr>
        <w:jc w:val="both"/>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46B90" w14:paraId="6DCA50FC" w14:textId="77777777">
        <w:tc>
          <w:tcPr>
            <w:tcW w:w="1260" w:type="dxa"/>
            <w:tcBorders>
              <w:top w:val="single" w:sz="6" w:space="0" w:color="auto"/>
            </w:tcBorders>
          </w:tcPr>
          <w:p w14:paraId="1110FAB9" w14:textId="77777777" w:rsidR="00A46B90" w:rsidRDefault="00A46B90" w:rsidP="008100E5">
            <w:pPr>
              <w:pStyle w:val="covertext"/>
              <w:jc w:val="both"/>
            </w:pPr>
            <w:r>
              <w:t>Project</w:t>
            </w:r>
          </w:p>
        </w:tc>
        <w:tc>
          <w:tcPr>
            <w:tcW w:w="8190" w:type="dxa"/>
            <w:gridSpan w:val="2"/>
            <w:tcBorders>
              <w:top w:val="single" w:sz="6" w:space="0" w:color="auto"/>
            </w:tcBorders>
          </w:tcPr>
          <w:p w14:paraId="536F3ED5" w14:textId="77777777" w:rsidR="00A46B90" w:rsidRDefault="00A46B90" w:rsidP="00A718EA">
            <w:pPr>
              <w:pStyle w:val="covertext"/>
            </w:pPr>
            <w:r>
              <w:t>IEEE P802.15 Working Group for Wireless Personal Area Networks (WPANs)</w:t>
            </w:r>
          </w:p>
        </w:tc>
      </w:tr>
      <w:tr w:rsidR="00A46B90" w14:paraId="2303732E" w14:textId="77777777">
        <w:tc>
          <w:tcPr>
            <w:tcW w:w="1260" w:type="dxa"/>
            <w:tcBorders>
              <w:top w:val="single" w:sz="6" w:space="0" w:color="auto"/>
            </w:tcBorders>
          </w:tcPr>
          <w:p w14:paraId="0591CB10" w14:textId="77777777" w:rsidR="00A46B90" w:rsidRDefault="00A46B90" w:rsidP="008100E5">
            <w:pPr>
              <w:pStyle w:val="covertext"/>
              <w:jc w:val="both"/>
            </w:pPr>
            <w:r>
              <w:t>Title</w:t>
            </w:r>
          </w:p>
        </w:tc>
        <w:tc>
          <w:tcPr>
            <w:tcW w:w="8190" w:type="dxa"/>
            <w:gridSpan w:val="2"/>
            <w:tcBorders>
              <w:top w:val="single" w:sz="6" w:space="0" w:color="auto"/>
            </w:tcBorders>
          </w:tcPr>
          <w:p w14:paraId="4527CD80" w14:textId="2C0F4CE8" w:rsidR="00A46B90" w:rsidRDefault="003C2173" w:rsidP="00A718EA">
            <w:pPr>
              <w:pStyle w:val="covertext"/>
            </w:pPr>
            <w:r>
              <w:rPr>
                <w:b/>
                <w:sz w:val="28"/>
              </w:rPr>
              <w:t xml:space="preserve">LB-PHY subclause </w:t>
            </w:r>
            <w:r w:rsidR="00B10BD9">
              <w:rPr>
                <w:b/>
                <w:sz w:val="28"/>
              </w:rPr>
              <w:t>changes</w:t>
            </w:r>
          </w:p>
        </w:tc>
      </w:tr>
      <w:tr w:rsidR="00A46B90" w14:paraId="01A883FB" w14:textId="77777777">
        <w:tc>
          <w:tcPr>
            <w:tcW w:w="1260" w:type="dxa"/>
            <w:tcBorders>
              <w:top w:val="single" w:sz="6" w:space="0" w:color="auto"/>
            </w:tcBorders>
          </w:tcPr>
          <w:p w14:paraId="566670B8" w14:textId="77777777" w:rsidR="00A46B90" w:rsidRDefault="00A46B90" w:rsidP="008100E5">
            <w:pPr>
              <w:pStyle w:val="covertext"/>
              <w:jc w:val="both"/>
            </w:pPr>
            <w:r>
              <w:t>Date Submitted</w:t>
            </w:r>
          </w:p>
        </w:tc>
        <w:tc>
          <w:tcPr>
            <w:tcW w:w="8190" w:type="dxa"/>
            <w:gridSpan w:val="2"/>
            <w:tcBorders>
              <w:top w:val="single" w:sz="6" w:space="0" w:color="auto"/>
            </w:tcBorders>
          </w:tcPr>
          <w:p w14:paraId="32FF27D9" w14:textId="77777777" w:rsidR="00A46B90" w:rsidRDefault="00A46B90" w:rsidP="00A718EA">
            <w:pPr>
              <w:pStyle w:val="covertext"/>
            </w:pPr>
          </w:p>
        </w:tc>
      </w:tr>
      <w:tr w:rsidR="00A46B90" w14:paraId="541F259F" w14:textId="77777777">
        <w:tc>
          <w:tcPr>
            <w:tcW w:w="1260" w:type="dxa"/>
            <w:tcBorders>
              <w:top w:val="single" w:sz="4" w:space="0" w:color="auto"/>
              <w:bottom w:val="single" w:sz="4" w:space="0" w:color="auto"/>
            </w:tcBorders>
          </w:tcPr>
          <w:p w14:paraId="38DBE6FC" w14:textId="77777777" w:rsidR="00A46B90" w:rsidRDefault="00A46B90" w:rsidP="008100E5">
            <w:pPr>
              <w:pStyle w:val="covertext"/>
              <w:jc w:val="both"/>
            </w:pPr>
            <w:r>
              <w:t>Source</w:t>
            </w:r>
          </w:p>
        </w:tc>
        <w:tc>
          <w:tcPr>
            <w:tcW w:w="4050" w:type="dxa"/>
            <w:tcBorders>
              <w:top w:val="single" w:sz="4" w:space="0" w:color="auto"/>
              <w:bottom w:val="single" w:sz="4" w:space="0" w:color="auto"/>
            </w:tcBorders>
          </w:tcPr>
          <w:p w14:paraId="6739313B" w14:textId="77777777" w:rsidR="00A46B90" w:rsidRDefault="00595FB4" w:rsidP="00E5107C">
            <w:pPr>
              <w:pStyle w:val="covertext"/>
              <w:spacing w:before="0" w:after="0"/>
            </w:pPr>
            <w:r>
              <w:t>Stephan Berner</w:t>
            </w:r>
          </w:p>
          <w:p w14:paraId="18228804" w14:textId="77777777" w:rsidR="00595FB4" w:rsidRDefault="00595FB4" w:rsidP="00E5107C">
            <w:pPr>
              <w:pStyle w:val="covertext"/>
              <w:spacing w:before="0" w:after="0"/>
            </w:pPr>
            <w:r>
              <w:t>PureLiFi</w:t>
            </w:r>
          </w:p>
        </w:tc>
        <w:tc>
          <w:tcPr>
            <w:tcW w:w="4140" w:type="dxa"/>
            <w:tcBorders>
              <w:top w:val="single" w:sz="4" w:space="0" w:color="auto"/>
              <w:bottom w:val="single" w:sz="4" w:space="0" w:color="auto"/>
            </w:tcBorders>
          </w:tcPr>
          <w:p w14:paraId="7FC8C449" w14:textId="77777777" w:rsidR="00A46B90" w:rsidRDefault="00A46B90" w:rsidP="00A718EA">
            <w:pPr>
              <w:pStyle w:val="covertext"/>
              <w:tabs>
                <w:tab w:val="left" w:pos="1152"/>
              </w:tabs>
              <w:spacing w:before="0" w:after="0"/>
              <w:rPr>
                <w:sz w:val="18"/>
              </w:rPr>
            </w:pPr>
            <w:r>
              <w:t>Voice:</w:t>
            </w:r>
            <w:r>
              <w:tab/>
              <w:t>[   ]</w:t>
            </w:r>
            <w:r>
              <w:br/>
              <w:t>Fax:</w:t>
            </w:r>
            <w:r>
              <w:tab/>
              <w:t>[   ]</w:t>
            </w:r>
            <w:r>
              <w:br/>
              <w:t>E-mail:</w:t>
            </w:r>
            <w:r>
              <w:tab/>
              <w:t>[   ]</w:t>
            </w:r>
          </w:p>
        </w:tc>
      </w:tr>
      <w:tr w:rsidR="00A46B90" w14:paraId="55CEA789" w14:textId="77777777">
        <w:tc>
          <w:tcPr>
            <w:tcW w:w="1260" w:type="dxa"/>
            <w:tcBorders>
              <w:top w:val="single" w:sz="6" w:space="0" w:color="auto"/>
            </w:tcBorders>
          </w:tcPr>
          <w:p w14:paraId="49F31D67" w14:textId="77777777" w:rsidR="00A46B90" w:rsidRDefault="00A46B90" w:rsidP="008100E5">
            <w:pPr>
              <w:pStyle w:val="covertext"/>
              <w:jc w:val="both"/>
            </w:pPr>
            <w:r>
              <w:t>Re:</w:t>
            </w:r>
          </w:p>
        </w:tc>
        <w:tc>
          <w:tcPr>
            <w:tcW w:w="8190" w:type="dxa"/>
            <w:gridSpan w:val="2"/>
            <w:tcBorders>
              <w:top w:val="single" w:sz="6" w:space="0" w:color="auto"/>
            </w:tcBorders>
          </w:tcPr>
          <w:p w14:paraId="0EBBCDB1" w14:textId="77777777" w:rsidR="00A46B90" w:rsidRDefault="00A46B90" w:rsidP="00A718EA">
            <w:pPr>
              <w:pStyle w:val="covertext"/>
            </w:pPr>
          </w:p>
        </w:tc>
      </w:tr>
      <w:tr w:rsidR="00A46B90" w14:paraId="3E303326" w14:textId="77777777">
        <w:tc>
          <w:tcPr>
            <w:tcW w:w="1260" w:type="dxa"/>
            <w:tcBorders>
              <w:top w:val="single" w:sz="6" w:space="0" w:color="auto"/>
            </w:tcBorders>
          </w:tcPr>
          <w:p w14:paraId="73FE215C" w14:textId="77777777" w:rsidR="00A46B90" w:rsidRDefault="00A46B90" w:rsidP="008100E5">
            <w:pPr>
              <w:pStyle w:val="covertext"/>
              <w:jc w:val="both"/>
            </w:pPr>
            <w:r>
              <w:t>Abstract</w:t>
            </w:r>
          </w:p>
        </w:tc>
        <w:tc>
          <w:tcPr>
            <w:tcW w:w="8190" w:type="dxa"/>
            <w:gridSpan w:val="2"/>
            <w:tcBorders>
              <w:top w:val="single" w:sz="6" w:space="0" w:color="auto"/>
            </w:tcBorders>
          </w:tcPr>
          <w:p w14:paraId="7752CA84" w14:textId="77777777" w:rsidR="00A46B90" w:rsidRDefault="00A46B90" w:rsidP="00A718EA">
            <w:pPr>
              <w:pStyle w:val="covertext"/>
            </w:pPr>
          </w:p>
        </w:tc>
      </w:tr>
      <w:tr w:rsidR="00A46B90" w14:paraId="4711509B" w14:textId="77777777">
        <w:tc>
          <w:tcPr>
            <w:tcW w:w="1260" w:type="dxa"/>
            <w:tcBorders>
              <w:top w:val="single" w:sz="6" w:space="0" w:color="auto"/>
            </w:tcBorders>
          </w:tcPr>
          <w:p w14:paraId="5A2702C2" w14:textId="77777777" w:rsidR="00A46B90" w:rsidRDefault="00A46B90" w:rsidP="008100E5">
            <w:pPr>
              <w:pStyle w:val="covertext"/>
              <w:jc w:val="both"/>
            </w:pPr>
            <w:r>
              <w:t>Purpose</w:t>
            </w:r>
          </w:p>
        </w:tc>
        <w:tc>
          <w:tcPr>
            <w:tcW w:w="8190" w:type="dxa"/>
            <w:gridSpan w:val="2"/>
            <w:tcBorders>
              <w:top w:val="single" w:sz="6" w:space="0" w:color="auto"/>
            </w:tcBorders>
          </w:tcPr>
          <w:p w14:paraId="25A1B108" w14:textId="77777777" w:rsidR="00A46B90" w:rsidRDefault="00AB21DB" w:rsidP="00A718EA">
            <w:pPr>
              <w:pStyle w:val="covertext"/>
            </w:pPr>
            <w:r>
              <w:t>Aid comment resolution</w:t>
            </w:r>
          </w:p>
        </w:tc>
      </w:tr>
      <w:tr w:rsidR="00A46B90" w14:paraId="21AFFBAC" w14:textId="77777777">
        <w:tc>
          <w:tcPr>
            <w:tcW w:w="1260" w:type="dxa"/>
            <w:tcBorders>
              <w:top w:val="single" w:sz="6" w:space="0" w:color="auto"/>
              <w:bottom w:val="single" w:sz="6" w:space="0" w:color="auto"/>
            </w:tcBorders>
          </w:tcPr>
          <w:p w14:paraId="7E4E15D5" w14:textId="77777777" w:rsidR="00A46B90" w:rsidRDefault="00A46B90" w:rsidP="008100E5">
            <w:pPr>
              <w:pStyle w:val="covertext"/>
              <w:jc w:val="both"/>
            </w:pPr>
            <w:r>
              <w:t>Notice</w:t>
            </w:r>
          </w:p>
        </w:tc>
        <w:tc>
          <w:tcPr>
            <w:tcW w:w="8190" w:type="dxa"/>
            <w:gridSpan w:val="2"/>
            <w:tcBorders>
              <w:top w:val="single" w:sz="6" w:space="0" w:color="auto"/>
              <w:bottom w:val="single" w:sz="6" w:space="0" w:color="auto"/>
            </w:tcBorders>
          </w:tcPr>
          <w:p w14:paraId="14A8902E" w14:textId="77777777" w:rsidR="00A46B90" w:rsidRDefault="00A46B90" w:rsidP="00A718E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46B90" w14:paraId="6513B954" w14:textId="77777777">
        <w:tc>
          <w:tcPr>
            <w:tcW w:w="1260" w:type="dxa"/>
            <w:tcBorders>
              <w:top w:val="single" w:sz="6" w:space="0" w:color="auto"/>
              <w:bottom w:val="single" w:sz="6" w:space="0" w:color="auto"/>
            </w:tcBorders>
          </w:tcPr>
          <w:p w14:paraId="7756A97B" w14:textId="77777777" w:rsidR="00A46B90" w:rsidRDefault="00A46B90" w:rsidP="008100E5">
            <w:pPr>
              <w:pStyle w:val="covertext"/>
              <w:jc w:val="both"/>
            </w:pPr>
            <w:r>
              <w:t>Release</w:t>
            </w:r>
          </w:p>
        </w:tc>
        <w:tc>
          <w:tcPr>
            <w:tcW w:w="8190" w:type="dxa"/>
            <w:gridSpan w:val="2"/>
            <w:tcBorders>
              <w:top w:val="single" w:sz="6" w:space="0" w:color="auto"/>
              <w:bottom w:val="single" w:sz="6" w:space="0" w:color="auto"/>
            </w:tcBorders>
          </w:tcPr>
          <w:p w14:paraId="52B0D622" w14:textId="77777777" w:rsidR="00A46B90" w:rsidRDefault="00A46B90" w:rsidP="00A718EA">
            <w:pPr>
              <w:pStyle w:val="covertext"/>
            </w:pPr>
            <w:r>
              <w:t>The contributor acknowledges and accepts that this contribution becomes the property of IEEE and may be made publicly available by P802.15.</w:t>
            </w:r>
          </w:p>
        </w:tc>
      </w:tr>
    </w:tbl>
    <w:p w14:paraId="40B9C9B2" w14:textId="77777777" w:rsidR="00595FB4" w:rsidRDefault="00A46B90" w:rsidP="00595FB4">
      <w:pPr>
        <w:rPr>
          <w:rFonts w:ascii="Calibri" w:hAnsi="Calibri" w:cs="Calibri"/>
          <w:color w:val="000000"/>
        </w:rPr>
      </w:pPr>
      <w:r>
        <w:br w:type="page"/>
      </w:r>
      <w:r w:rsidR="00595FB4">
        <w:rPr>
          <w:rFonts w:ascii="Calibri" w:hAnsi="Calibri" w:cs="Calibri"/>
          <w:color w:val="000000"/>
        </w:rPr>
        <w:lastRenderedPageBreak/>
        <w:t xml:space="preserve"> </w:t>
      </w:r>
    </w:p>
    <w:p w14:paraId="327B8702" w14:textId="45060EC0" w:rsidR="00A1002F" w:rsidRDefault="00A1002F" w:rsidP="00A1002F">
      <w:pPr>
        <w:pStyle w:val="Heading1"/>
      </w:pPr>
      <w:r>
        <w:t xml:space="preserve">CID </w:t>
      </w:r>
      <w:r w:rsidR="003C2173">
        <w:t>xxx</w:t>
      </w:r>
      <w:r>
        <w:t>:</w:t>
      </w:r>
    </w:p>
    <w:p w14:paraId="1470B3A5" w14:textId="6A4FF6A3" w:rsidR="000F5AFE" w:rsidRPr="000F5AFE" w:rsidRDefault="000F5AFE" w:rsidP="000F5AFE">
      <w:pPr>
        <w:rPr>
          <w:i/>
          <w:iCs/>
        </w:rPr>
      </w:pPr>
      <w:r>
        <w:rPr>
          <w:i/>
          <w:iCs/>
        </w:rPr>
        <w:t>Change the 4</w:t>
      </w:r>
      <w:r w:rsidRPr="000F5AFE">
        <w:rPr>
          <w:i/>
          <w:iCs/>
          <w:vertAlign w:val="superscript"/>
        </w:rPr>
        <w:t>th</w:t>
      </w:r>
      <w:r>
        <w:rPr>
          <w:i/>
          <w:iCs/>
        </w:rPr>
        <w:t xml:space="preserve"> and 5</w:t>
      </w:r>
      <w:r w:rsidRPr="000F5AFE">
        <w:rPr>
          <w:i/>
          <w:iCs/>
          <w:vertAlign w:val="superscript"/>
        </w:rPr>
        <w:t>th</w:t>
      </w:r>
      <w:r>
        <w:rPr>
          <w:i/>
          <w:iCs/>
        </w:rPr>
        <w:t xml:space="preserve"> row of Table 53 as follows:</w:t>
      </w:r>
    </w:p>
    <w:p w14:paraId="47F72D4B" w14:textId="2BFAA80E" w:rsidR="00A1002F" w:rsidRDefault="00A1002F" w:rsidP="00A1002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191"/>
      </w:tblGrid>
      <w:tr w:rsidR="000F5AFE" w:rsidRPr="00134C03" w14:paraId="40DC4922" w14:textId="77777777" w:rsidTr="00C42971">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8F289F" w14:textId="77777777" w:rsidR="000F5AFE" w:rsidRPr="00134C03" w:rsidRDefault="000F5AFE" w:rsidP="00C42971">
            <w:pPr>
              <w:pStyle w:val="IEEEStdsTableColumnHead"/>
              <w:rPr>
                <w:vertAlign w:val="subscript"/>
              </w:rPr>
            </w:pPr>
            <w:r w:rsidRPr="00134C03">
              <w:t>Subcar</w:t>
            </w:r>
            <w:r>
              <w:t>rier s</w:t>
            </w:r>
            <w:r w:rsidRPr="00134C03">
              <w:t xml:space="preserve">pacing </w:t>
            </w:r>
            <w:r w:rsidRPr="00134C03">
              <w:rPr>
                <w:i/>
              </w:rPr>
              <w:t>F</w:t>
            </w:r>
            <w:r w:rsidRPr="00134C03">
              <w:rPr>
                <w:i/>
                <w:vertAlign w:val="subscript"/>
              </w:rPr>
              <w:t>SC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0164185" w14:textId="3603BC26" w:rsidR="000F5AFE" w:rsidRPr="00134C03" w:rsidRDefault="000F5AFE" w:rsidP="00C42971">
            <w:pPr>
              <w:pStyle w:val="IEEEStdsTableData-Center"/>
            </w:pPr>
            <w:r>
              <w:t>Clock rate/32</w:t>
            </w:r>
          </w:p>
        </w:tc>
      </w:tr>
      <w:tr w:rsidR="000F5AFE" w:rsidRPr="00134C03" w14:paraId="37FD498C" w14:textId="77777777" w:rsidTr="00C42971">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EE7192" w14:textId="77777777" w:rsidR="000F5AFE" w:rsidRPr="00134C03" w:rsidRDefault="000F5AFE" w:rsidP="00C42971">
            <w:pPr>
              <w:pStyle w:val="IEEEStdsTableColumnHead"/>
            </w:pPr>
            <w:r>
              <w:t>Cyclic prefix</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87CE2D" w14:textId="6B3E19C5" w:rsidR="000F5AFE" w:rsidRPr="00134C03" w:rsidRDefault="000F5AFE" w:rsidP="00C42971">
            <w:pPr>
              <w:pStyle w:val="IEEEStdsTableData-Center"/>
              <w:rPr>
                <w:lang w:val="de-DE"/>
              </w:rPr>
            </w:pPr>
            <w:r>
              <w:rPr>
                <w:lang w:val="de-DE"/>
              </w:rPr>
              <w:t>16 samples</w:t>
            </w:r>
          </w:p>
        </w:tc>
      </w:tr>
    </w:tbl>
    <w:p w14:paraId="4A0DF6F4" w14:textId="486F9081" w:rsidR="003C2173" w:rsidRDefault="003C2173" w:rsidP="00A1002F"/>
    <w:p w14:paraId="7B077B1A" w14:textId="25093B7C" w:rsidR="000F5AFE" w:rsidRDefault="00D04AA2" w:rsidP="00A1002F">
      <w:pPr>
        <w:rPr>
          <w:i/>
          <w:iCs/>
        </w:rPr>
      </w:pPr>
      <w:r>
        <w:rPr>
          <w:i/>
          <w:iCs/>
        </w:rPr>
        <w:t xml:space="preserve">Change the value of </w:t>
      </w:r>
      <w:proofErr w:type="spellStart"/>
      <w:r>
        <w:rPr>
          <w:i/>
          <w:iCs/>
        </w:rPr>
        <w:t>aPhyMaxPsduSize</w:t>
      </w:r>
      <w:proofErr w:type="spellEnd"/>
      <w:r>
        <w:rPr>
          <w:i/>
          <w:iCs/>
        </w:rPr>
        <w:t xml:space="preserve"> in the table in subclause 10.1.3 from 2047 to 2036.</w:t>
      </w:r>
    </w:p>
    <w:p w14:paraId="6E3BD92A" w14:textId="0907074A" w:rsidR="00D04AA2" w:rsidRDefault="00D04AA2" w:rsidP="00A1002F">
      <w:pPr>
        <w:rPr>
          <w:i/>
          <w:iCs/>
        </w:rPr>
      </w:pPr>
    </w:p>
    <w:p w14:paraId="6DAF4C11" w14:textId="7DA6298E" w:rsidR="00D04AA2" w:rsidRDefault="00D04AA2" w:rsidP="00A1002F">
      <w:pPr>
        <w:rPr>
          <w:i/>
          <w:iCs/>
        </w:rPr>
      </w:pPr>
      <w:r>
        <w:rPr>
          <w:i/>
          <w:iCs/>
        </w:rPr>
        <w:t>Insert an additional row after the first row of the table in subclause 10.1.3</w:t>
      </w:r>
    </w:p>
    <w:p w14:paraId="6A9535B4" w14:textId="793A23D0" w:rsidR="00D04AA2" w:rsidRDefault="00D04AA2" w:rsidP="00A1002F">
      <w:pPr>
        <w:rPr>
          <w:i/>
          <w:iCs/>
        </w:rPr>
      </w:pPr>
    </w:p>
    <w:tbl>
      <w:tblPr>
        <w:tblStyle w:val="IEEETABLE"/>
        <w:tblW w:w="0" w:type="auto"/>
        <w:tblLook w:val="04A0" w:firstRow="1" w:lastRow="0" w:firstColumn="1" w:lastColumn="0" w:noHBand="0" w:noVBand="1"/>
      </w:tblPr>
      <w:tblGrid>
        <w:gridCol w:w="2156"/>
        <w:gridCol w:w="2156"/>
        <w:gridCol w:w="2156"/>
        <w:gridCol w:w="2156"/>
      </w:tblGrid>
      <w:tr w:rsidR="00D04AA2" w14:paraId="47B3C0DF" w14:textId="77777777" w:rsidTr="00C42971">
        <w:tc>
          <w:tcPr>
            <w:tcW w:w="2156" w:type="dxa"/>
          </w:tcPr>
          <w:p w14:paraId="3D99079B" w14:textId="6ED9894F" w:rsidR="00D04AA2" w:rsidRPr="00977048" w:rsidRDefault="00D04AA2" w:rsidP="00C42971">
            <w:pPr>
              <w:pStyle w:val="IEEEStdsTableData-Left"/>
              <w:rPr>
                <w:i/>
              </w:rPr>
            </w:pPr>
            <w:proofErr w:type="spellStart"/>
            <w:r w:rsidRPr="00977048">
              <w:rPr>
                <w:i/>
              </w:rPr>
              <w:t>aPhyM</w:t>
            </w:r>
            <w:r>
              <w:rPr>
                <w:i/>
              </w:rPr>
              <w:t>in</w:t>
            </w:r>
            <w:r w:rsidRPr="00977048">
              <w:rPr>
                <w:i/>
              </w:rPr>
              <w:t>PsduSize</w:t>
            </w:r>
            <w:proofErr w:type="spellEnd"/>
          </w:p>
        </w:tc>
        <w:tc>
          <w:tcPr>
            <w:tcW w:w="2156" w:type="dxa"/>
          </w:tcPr>
          <w:p w14:paraId="32C5A2AC" w14:textId="6A2A142E" w:rsidR="00D04AA2" w:rsidRDefault="00D04AA2" w:rsidP="00C42971">
            <w:pPr>
              <w:pStyle w:val="IEEEStdsTableData-Left"/>
            </w:pPr>
            <w:r w:rsidRPr="00724DAC">
              <w:t>The m</w:t>
            </w:r>
            <w:r>
              <w:t>inimum</w:t>
            </w:r>
            <w:r w:rsidRPr="00724DAC">
              <w:t xml:space="preserve"> supported PSDU size. T</w:t>
            </w:r>
            <w:r>
              <w:t>his attribute is PHY-specific.</w:t>
            </w:r>
          </w:p>
        </w:tc>
        <w:tc>
          <w:tcPr>
            <w:tcW w:w="2156" w:type="dxa"/>
          </w:tcPr>
          <w:p w14:paraId="62FE6065" w14:textId="3B7A1CEA" w:rsidR="00D04AA2" w:rsidRDefault="00D04AA2" w:rsidP="00C42971">
            <w:pPr>
              <w:pStyle w:val="IEEEStdsTableData-Left"/>
            </w:pPr>
            <w:r>
              <w:t>20</w:t>
            </w:r>
          </w:p>
        </w:tc>
        <w:tc>
          <w:tcPr>
            <w:tcW w:w="2156" w:type="dxa"/>
          </w:tcPr>
          <w:p w14:paraId="53C50092" w14:textId="77777777" w:rsidR="00D04AA2" w:rsidRDefault="00D04AA2" w:rsidP="00C42971">
            <w:pPr>
              <w:pStyle w:val="IEEEStdsTableData-Left"/>
            </w:pPr>
            <w:r w:rsidRPr="00724DAC">
              <w:t>octets</w:t>
            </w:r>
          </w:p>
        </w:tc>
      </w:tr>
    </w:tbl>
    <w:p w14:paraId="467CD235" w14:textId="77777777" w:rsidR="00D04AA2" w:rsidRPr="00D04AA2" w:rsidRDefault="00D04AA2" w:rsidP="00A1002F">
      <w:pPr>
        <w:rPr>
          <w:i/>
          <w:iCs/>
        </w:rPr>
      </w:pPr>
    </w:p>
    <w:p w14:paraId="504E9DC0" w14:textId="440F7C0E" w:rsidR="003C2173" w:rsidRDefault="0021446F" w:rsidP="00A1002F">
      <w:pPr>
        <w:rPr>
          <w:i/>
          <w:iCs/>
        </w:rPr>
      </w:pPr>
      <w:r>
        <w:rPr>
          <w:i/>
          <w:iCs/>
        </w:rPr>
        <w:t>Add the following text after the sentence in P98L9:</w:t>
      </w:r>
    </w:p>
    <w:p w14:paraId="2116F722" w14:textId="0913A939" w:rsidR="0021446F" w:rsidRDefault="0021446F" w:rsidP="00A1002F">
      <w:pPr>
        <w:rPr>
          <w:i/>
          <w:iCs/>
        </w:rPr>
      </w:pPr>
    </w:p>
    <w:p w14:paraId="524FA953" w14:textId="1D290B46" w:rsidR="0021446F" w:rsidRDefault="0021446F" w:rsidP="00A1002F">
      <w:r>
        <w:t>An exception to this rule is the high reliability control header in subclause 10.2.4.3. This header is treated as a sequence of octets with the LSB of each octet transmitted first.</w:t>
      </w:r>
    </w:p>
    <w:p w14:paraId="4AA23AB2" w14:textId="4CB29654" w:rsidR="0021446F" w:rsidRDefault="0021446F" w:rsidP="00A1002F"/>
    <w:p w14:paraId="7A3E0248" w14:textId="0A3D80EB" w:rsidR="0021446F" w:rsidRDefault="007B5B7F" w:rsidP="00A1002F">
      <w:pPr>
        <w:rPr>
          <w:i/>
          <w:iCs/>
        </w:rPr>
      </w:pPr>
      <w:r>
        <w:rPr>
          <w:i/>
          <w:iCs/>
        </w:rPr>
        <w:t>Replace “OFDM symbols” in P99L7 by “IFFTs”</w:t>
      </w:r>
    </w:p>
    <w:p w14:paraId="748764DA" w14:textId="0934E2DB" w:rsidR="007B5B7F" w:rsidRDefault="007B5B7F" w:rsidP="00A1002F">
      <w:pPr>
        <w:rPr>
          <w:i/>
          <w:iCs/>
        </w:rPr>
      </w:pPr>
    </w:p>
    <w:p w14:paraId="4CEF8F26" w14:textId="0A32BDB7" w:rsidR="007B5B7F" w:rsidRDefault="007B5B7F" w:rsidP="00A1002F">
      <w:pPr>
        <w:rPr>
          <w:i/>
          <w:iCs/>
        </w:rPr>
      </w:pPr>
      <w:r>
        <w:rPr>
          <w:i/>
          <w:iCs/>
        </w:rPr>
        <w:t>Change the left hand side of the formula in P99L9 as follows:</w:t>
      </w:r>
    </w:p>
    <w:p w14:paraId="34A9A82A" w14:textId="6BA52288" w:rsidR="007B5B7F" w:rsidRDefault="007B5B7F" w:rsidP="00A1002F">
      <w:pPr>
        <w:rPr>
          <w:i/>
          <w:iCs/>
        </w:rPr>
      </w:pPr>
    </w:p>
    <w:p w14:paraId="1682D66B" w14:textId="14C51152" w:rsidR="007B5B7F" w:rsidRPr="001B2926" w:rsidRDefault="00DE6204" w:rsidP="007B5B7F">
      <w:pPr>
        <w:pStyle w:val="IEEEStdsParagraph"/>
      </w:pPr>
      <m:oMathPara>
        <m:oMath>
          <m:sSub>
            <m:sSubPr>
              <m:ctrlPr>
                <w:rPr>
                  <w:rFonts w:ascii="Cambria Math" w:hAnsi="Cambria Math"/>
                </w:rPr>
              </m:ctrlPr>
            </m:sSubPr>
            <m:e>
              <m:r>
                <w:rPr>
                  <w:rFonts w:ascii="Cambria Math" w:hAnsi="Cambria Math"/>
                </w:rPr>
                <m:t>E</m:t>
              </m:r>
            </m:e>
            <m:sub>
              <m:r>
                <w:rPr>
                  <w:rFonts w:ascii="Cambria Math" w:hAnsi="Cambria Math"/>
                </w:rPr>
                <m:t>-32…31</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0,0,0,0,-1,1,-1,-1,1,1,-1,-1,-1,-1,-1,1,-1,1,1,1,-1,-1,-1,1,1,</m:t>
                  </m:r>
                </m:e>
                <m:e>
                  <m:r>
                    <w:rPr>
                      <w:rFonts w:ascii="Cambria Math" w:hAnsi="Cambria Math"/>
                    </w:rPr>
                    <m:t>-1,1,-1,1,1,0,0,0,0,0,1,1,-1,1,-1,1,1,-1,-1,-1,1,1,1,-1,1,-1,-1,-1,-1,-1,</m:t>
                  </m:r>
                  <m:ctrlPr>
                    <w:rPr>
                      <w:rFonts w:ascii="Cambria Math" w:eastAsia="Cambria Math" w:hAnsi="Cambria Math" w:cs="Cambria Math"/>
                      <w:i/>
                    </w:rPr>
                  </m:ctrlPr>
                </m:e>
                <m:e>
                  <m:r>
                    <w:rPr>
                      <w:rFonts w:ascii="Cambria Math" w:hAnsi="Cambria Math"/>
                    </w:rPr>
                    <m:t>1,1,-1,-1,1,-1,0,0,0</m:t>
                  </m:r>
                </m:e>
              </m:eqArr>
            </m:e>
          </m:d>
        </m:oMath>
      </m:oMathPara>
    </w:p>
    <w:p w14:paraId="392A9BFD" w14:textId="315460D4" w:rsidR="007B5B7F" w:rsidRDefault="005B3B1A" w:rsidP="00A1002F">
      <w:pPr>
        <w:rPr>
          <w:i/>
          <w:iCs/>
        </w:rPr>
      </w:pPr>
      <w:r>
        <w:rPr>
          <w:i/>
          <w:iCs/>
        </w:rPr>
        <w:t>Replace “Hermitian symmetric” in P99L14 by “The”.</w:t>
      </w:r>
    </w:p>
    <w:p w14:paraId="0D136888" w14:textId="3C9DCFC5" w:rsidR="005B3B1A" w:rsidRDefault="005B3B1A" w:rsidP="00A1002F">
      <w:pPr>
        <w:rPr>
          <w:i/>
          <w:iCs/>
        </w:rPr>
      </w:pPr>
    </w:p>
    <w:p w14:paraId="0D389269" w14:textId="77C082C1" w:rsidR="005B3B1A" w:rsidRPr="007B5B7F" w:rsidRDefault="005B3B1A" w:rsidP="00A1002F">
      <w:pPr>
        <w:rPr>
          <w:i/>
          <w:iCs/>
        </w:rPr>
      </w:pPr>
      <w:r>
        <w:rPr>
          <w:i/>
          <w:iCs/>
        </w:rPr>
        <w:t>Replace “E0-63” in P99L16 by “E-32…31” using equation editor.</w:t>
      </w:r>
    </w:p>
    <w:p w14:paraId="3B7CE83D" w14:textId="41E65150" w:rsidR="0021446F" w:rsidRDefault="0021446F" w:rsidP="00A1002F"/>
    <w:p w14:paraId="3BCA4C25" w14:textId="32D79BBC" w:rsidR="0021446F" w:rsidRDefault="00A51BDD" w:rsidP="00A1002F">
      <w:pPr>
        <w:rPr>
          <w:i/>
          <w:iCs/>
        </w:rPr>
      </w:pPr>
      <w:r>
        <w:rPr>
          <w:i/>
          <w:iCs/>
        </w:rPr>
        <w:t>Rename the field “PSDU length” in Table 55 to “PSDU length aligned 32”.</w:t>
      </w:r>
    </w:p>
    <w:p w14:paraId="147E585C" w14:textId="4E108BD3" w:rsidR="00A51BDD" w:rsidRDefault="00A51BDD" w:rsidP="00A1002F">
      <w:pPr>
        <w:rPr>
          <w:i/>
          <w:iCs/>
        </w:rPr>
      </w:pPr>
    </w:p>
    <w:p w14:paraId="739FF83D" w14:textId="5A08BC22" w:rsidR="00A51BDD" w:rsidRDefault="00A51BDD" w:rsidP="00A51BDD">
      <w:pPr>
        <w:rPr>
          <w:i/>
          <w:iCs/>
        </w:rPr>
      </w:pPr>
      <w:r>
        <w:rPr>
          <w:i/>
          <w:iCs/>
        </w:rPr>
        <w:t>Change “PSDU length” in P100L19 to “PSDU length aligned 32”.</w:t>
      </w:r>
    </w:p>
    <w:p w14:paraId="1C265CC4" w14:textId="06C17AB6" w:rsidR="00A51BDD" w:rsidRDefault="00A51BDD" w:rsidP="00A51BDD">
      <w:pPr>
        <w:rPr>
          <w:i/>
          <w:iCs/>
        </w:rPr>
      </w:pPr>
    </w:p>
    <w:p w14:paraId="478D51BD" w14:textId="6169555B" w:rsidR="00A51BDD" w:rsidRDefault="00A51BDD" w:rsidP="00A51BDD">
      <w:pPr>
        <w:rPr>
          <w:i/>
          <w:iCs/>
        </w:rPr>
      </w:pPr>
      <w:r>
        <w:rPr>
          <w:i/>
          <w:iCs/>
        </w:rPr>
        <w:t>Delete the sentence “Hence, the size…..octets” in P100L20.</w:t>
      </w:r>
    </w:p>
    <w:p w14:paraId="20FC628C" w14:textId="0D5D4A36" w:rsidR="00A51BDD" w:rsidRDefault="00A51BDD" w:rsidP="00A51BDD">
      <w:pPr>
        <w:rPr>
          <w:i/>
          <w:iCs/>
        </w:rPr>
      </w:pPr>
    </w:p>
    <w:p w14:paraId="4EF4B9AE" w14:textId="55511E64" w:rsidR="00A51BDD" w:rsidRDefault="00A51BDD" w:rsidP="00A51BDD">
      <w:pPr>
        <w:rPr>
          <w:i/>
          <w:iCs/>
        </w:rPr>
      </w:pPr>
      <w:r>
        <w:rPr>
          <w:i/>
          <w:iCs/>
        </w:rPr>
        <w:t>Add the following text after the ending sentence in P99L20:</w:t>
      </w:r>
    </w:p>
    <w:p w14:paraId="2407BD41" w14:textId="57F43D61" w:rsidR="00A70A86" w:rsidRDefault="00A70A86" w:rsidP="00A51BDD">
      <w:pPr>
        <w:rPr>
          <w:i/>
          <w:iCs/>
        </w:rPr>
      </w:pPr>
    </w:p>
    <w:p w14:paraId="6BD105A7" w14:textId="493DF6F2" w:rsidR="00A51BDD" w:rsidRDefault="00A70A86" w:rsidP="00A1002F">
      <w:r>
        <w:t xml:space="preserve">The LB-PHY supports only 32 bit aligned data in order to simplify the implementation. Bit 0 and 1 of this field have to be set to zero. If the high reliability control header, see Table 58, is </w:t>
      </w:r>
      <w:r>
        <w:lastRenderedPageBreak/>
        <w:t xml:space="preserve">included, the 32 bit aligned length of the PSDU plus eight is written to this field. If the high reliability control header is not included, only the 32 bit aligned length of the PSDU is written to this field. The length of the FCS, which is four octets, is included in the value of this field. </w:t>
      </w:r>
    </w:p>
    <w:p w14:paraId="69378DF5" w14:textId="282237B4" w:rsidR="00A70A86" w:rsidRDefault="00A70A86" w:rsidP="00A1002F"/>
    <w:p w14:paraId="43BFC696" w14:textId="56368BB8" w:rsidR="00A70A86" w:rsidRDefault="00A70A86" w:rsidP="00A1002F">
      <w:r>
        <w:t xml:space="preserve">If the PSDU is an MPDU like in Fig. 31, </w:t>
      </w:r>
      <w:r w:rsidR="002D52B2">
        <w:t>the length of this MPDU is written to this field. The value is incremented by eight depending on if the high reliability control header is present or not.</w:t>
      </w:r>
      <w:r w:rsidR="00210E1A">
        <w:t xml:space="preserve"> The last four octets of the MPDU have to be cleared before writing them to the PHY in order to allow correct FCS calculation</w:t>
      </w:r>
      <w:r w:rsidR="00053A03">
        <w:t>.</w:t>
      </w:r>
    </w:p>
    <w:p w14:paraId="6F211EC0" w14:textId="64A59C4A" w:rsidR="002D52B2" w:rsidRDefault="002D52B2" w:rsidP="00A1002F"/>
    <w:p w14:paraId="4069BC7E" w14:textId="0076E640" w:rsidR="002D52B2" w:rsidRDefault="005B7065" w:rsidP="00A1002F">
      <w:pPr>
        <w:rPr>
          <w:i/>
          <w:iCs/>
        </w:rPr>
      </w:pPr>
      <w:r>
        <w:rPr>
          <w:i/>
          <w:iCs/>
        </w:rPr>
        <w:t>Delete the last sentence in P101L11 to P101L12, “It contains ….”</w:t>
      </w:r>
    </w:p>
    <w:p w14:paraId="6C6BD042" w14:textId="7F2157DB" w:rsidR="005B7065" w:rsidRDefault="005B7065" w:rsidP="00A1002F">
      <w:pPr>
        <w:rPr>
          <w:i/>
          <w:iCs/>
        </w:rPr>
      </w:pPr>
    </w:p>
    <w:p w14:paraId="097A03C2" w14:textId="77777777" w:rsidR="005B7065" w:rsidRDefault="005B7065" w:rsidP="00A1002F">
      <w:pPr>
        <w:rPr>
          <w:i/>
          <w:iCs/>
        </w:rPr>
      </w:pPr>
      <w:r>
        <w:rPr>
          <w:i/>
          <w:iCs/>
        </w:rPr>
        <w:t>Add “header” at the end of the heading “10.2.4.3 High reliability control”</w:t>
      </w:r>
    </w:p>
    <w:p w14:paraId="7142CFEB" w14:textId="77777777" w:rsidR="005B7065" w:rsidRDefault="005B7065" w:rsidP="00A1002F">
      <w:pPr>
        <w:rPr>
          <w:i/>
          <w:iCs/>
        </w:rPr>
      </w:pPr>
    </w:p>
    <w:p w14:paraId="1AFC9495" w14:textId="77777777" w:rsidR="005B7065" w:rsidRDefault="005B7065" w:rsidP="00A1002F">
      <w:pPr>
        <w:rPr>
          <w:i/>
          <w:iCs/>
        </w:rPr>
      </w:pPr>
      <w:r>
        <w:rPr>
          <w:i/>
          <w:iCs/>
        </w:rPr>
        <w:t>Add the following sentence after the end of the sentence in P105L10:</w:t>
      </w:r>
    </w:p>
    <w:p w14:paraId="3EC99300" w14:textId="77777777" w:rsidR="005B7065" w:rsidRDefault="005B7065" w:rsidP="00A1002F">
      <w:pPr>
        <w:rPr>
          <w:i/>
          <w:iCs/>
        </w:rPr>
      </w:pPr>
    </w:p>
    <w:p w14:paraId="6E663033" w14:textId="77777777" w:rsidR="005B7065" w:rsidRDefault="005B7065" w:rsidP="00A1002F">
      <w:r>
        <w:t>Unlike the other headers, this header is treated as a sequence of octets which are transmitted LSB first.</w:t>
      </w:r>
    </w:p>
    <w:p w14:paraId="70A3A793" w14:textId="77777777" w:rsidR="005B7065" w:rsidRDefault="005B7065" w:rsidP="00A1002F"/>
    <w:p w14:paraId="095A73BE" w14:textId="52B96567" w:rsidR="005B7065" w:rsidRDefault="005B7065" w:rsidP="00A1002F">
      <w:pPr>
        <w:rPr>
          <w:i/>
          <w:iCs/>
        </w:rPr>
      </w:pPr>
      <w:r>
        <w:rPr>
          <w:i/>
          <w:iCs/>
        </w:rPr>
        <w:t>Insert the word “header” after the word “control” in P105L14.</w:t>
      </w:r>
    </w:p>
    <w:p w14:paraId="2D740F2A" w14:textId="58768391" w:rsidR="004261BD" w:rsidRDefault="004261BD" w:rsidP="00A1002F">
      <w:pPr>
        <w:rPr>
          <w:i/>
          <w:iCs/>
        </w:rPr>
      </w:pPr>
    </w:p>
    <w:p w14:paraId="55A22C30" w14:textId="2EA576BA" w:rsidR="004261BD" w:rsidRDefault="004261BD" w:rsidP="00A1002F">
      <w:pPr>
        <w:rPr>
          <w:i/>
          <w:iCs/>
        </w:rPr>
      </w:pPr>
      <w:r>
        <w:rPr>
          <w:i/>
          <w:iCs/>
        </w:rPr>
        <w:t xml:space="preserve">Delete </w:t>
      </w:r>
      <w:r w:rsidR="007841C4">
        <w:rPr>
          <w:i/>
          <w:iCs/>
        </w:rPr>
        <w:t>in P106L16 “(both….)”</w:t>
      </w:r>
    </w:p>
    <w:p w14:paraId="012C4B50" w14:textId="77777777" w:rsidR="005B7065" w:rsidRDefault="005B7065" w:rsidP="00A1002F">
      <w:pPr>
        <w:rPr>
          <w:i/>
          <w:iCs/>
        </w:rPr>
      </w:pPr>
    </w:p>
    <w:p w14:paraId="6EB63E16" w14:textId="77777777" w:rsidR="002C15DF" w:rsidRDefault="002C15DF" w:rsidP="00A1002F">
      <w:pPr>
        <w:rPr>
          <w:i/>
          <w:iCs/>
        </w:rPr>
      </w:pPr>
      <w:r>
        <w:rPr>
          <w:i/>
          <w:iCs/>
        </w:rPr>
        <w:t>Delete the sentence in P106L22, “If indicated ….”.</w:t>
      </w:r>
    </w:p>
    <w:p w14:paraId="14FF671B" w14:textId="77777777" w:rsidR="002C15DF" w:rsidRDefault="002C15DF" w:rsidP="00A1002F">
      <w:pPr>
        <w:rPr>
          <w:i/>
          <w:iCs/>
        </w:rPr>
      </w:pPr>
    </w:p>
    <w:p w14:paraId="51D4DBC9" w14:textId="43756BE7" w:rsidR="002C15DF" w:rsidRDefault="00E6283E" w:rsidP="00A1002F">
      <w:pPr>
        <w:rPr>
          <w:i/>
          <w:iCs/>
        </w:rPr>
      </w:pPr>
      <w:r>
        <w:rPr>
          <w:i/>
          <w:iCs/>
        </w:rPr>
        <w:t>Delete the first row in Table 59.</w:t>
      </w:r>
    </w:p>
    <w:p w14:paraId="0AB95B8E" w14:textId="03FA19E0" w:rsidR="00E6283E" w:rsidRDefault="00E6283E" w:rsidP="00A1002F">
      <w:pPr>
        <w:rPr>
          <w:i/>
          <w:iCs/>
        </w:rPr>
      </w:pPr>
    </w:p>
    <w:p w14:paraId="2CBF5E33" w14:textId="34E88A3D" w:rsidR="00E6283E" w:rsidRDefault="00E6283E" w:rsidP="00A1002F">
      <w:pPr>
        <w:rPr>
          <w:i/>
          <w:iCs/>
        </w:rPr>
      </w:pPr>
      <w:r>
        <w:rPr>
          <w:i/>
          <w:iCs/>
        </w:rPr>
        <w:t>Change the 2</w:t>
      </w:r>
      <w:r w:rsidRPr="00E6283E">
        <w:rPr>
          <w:i/>
          <w:iCs/>
          <w:vertAlign w:val="superscript"/>
        </w:rPr>
        <w:t>nd</w:t>
      </w:r>
      <w:r>
        <w:rPr>
          <w:i/>
          <w:iCs/>
        </w:rPr>
        <w:t xml:space="preserve"> and 3</w:t>
      </w:r>
      <w:r w:rsidRPr="00E6283E">
        <w:rPr>
          <w:i/>
          <w:iCs/>
          <w:vertAlign w:val="superscript"/>
        </w:rPr>
        <w:t>rd</w:t>
      </w:r>
      <w:r>
        <w:rPr>
          <w:i/>
          <w:iCs/>
        </w:rPr>
        <w:t xml:space="preserve"> row of Table 59 as follows:</w:t>
      </w:r>
    </w:p>
    <w:p w14:paraId="580C205F" w14:textId="6442D106" w:rsidR="00E6283E" w:rsidRDefault="00E6283E" w:rsidP="00A1002F">
      <w:pPr>
        <w:rPr>
          <w:i/>
          <w:iCs/>
        </w:rPr>
      </w:pPr>
    </w:p>
    <w:tbl>
      <w:tblPr>
        <w:tblStyle w:val="IEEETABLE"/>
        <w:tblW w:w="5000" w:type="pct"/>
        <w:tblLook w:val="0000" w:firstRow="0" w:lastRow="0" w:firstColumn="0" w:lastColumn="0" w:noHBand="0" w:noVBand="0"/>
      </w:tblPr>
      <w:tblGrid>
        <w:gridCol w:w="1625"/>
        <w:gridCol w:w="863"/>
        <w:gridCol w:w="863"/>
        <w:gridCol w:w="5993"/>
      </w:tblGrid>
      <w:tr w:rsidR="009E75B1" w:rsidRPr="00B320F1" w14:paraId="3443E7BE" w14:textId="77777777" w:rsidTr="00C42971">
        <w:trPr>
          <w:trHeight w:val="20"/>
        </w:trPr>
        <w:tc>
          <w:tcPr>
            <w:tcW w:w="869" w:type="pct"/>
          </w:tcPr>
          <w:p w14:paraId="7F4BFCF9" w14:textId="77777777" w:rsidR="009E75B1" w:rsidRPr="00B320F1" w:rsidRDefault="009E75B1" w:rsidP="00C42971">
            <w:pPr>
              <w:pStyle w:val="IEEEStdsTableData-Left"/>
            </w:pPr>
            <w:r w:rsidRPr="00B320F1">
              <w:t>Service</w:t>
            </w:r>
          </w:p>
        </w:tc>
        <w:tc>
          <w:tcPr>
            <w:tcW w:w="462" w:type="pct"/>
          </w:tcPr>
          <w:p w14:paraId="2134E0B5" w14:textId="6CEC25F4" w:rsidR="009E75B1" w:rsidRPr="00B320F1" w:rsidRDefault="009E75B1" w:rsidP="00C42971">
            <w:pPr>
              <w:pStyle w:val="IEEEStdsTableData-Left"/>
            </w:pPr>
            <w:r>
              <w:t>0-1</w:t>
            </w:r>
          </w:p>
        </w:tc>
        <w:tc>
          <w:tcPr>
            <w:tcW w:w="462" w:type="pct"/>
          </w:tcPr>
          <w:p w14:paraId="049D4A29" w14:textId="77777777" w:rsidR="009E75B1" w:rsidRPr="00B320F1" w:rsidRDefault="009E75B1" w:rsidP="00C42971">
            <w:pPr>
              <w:pStyle w:val="IEEEStdsTableData-Left"/>
            </w:pPr>
            <w:r w:rsidRPr="00B320F1">
              <w:t>[15:0]</w:t>
            </w:r>
          </w:p>
        </w:tc>
        <w:tc>
          <w:tcPr>
            <w:tcW w:w="3206" w:type="pct"/>
          </w:tcPr>
          <w:p w14:paraId="2132C889" w14:textId="77777777" w:rsidR="009E75B1" w:rsidRPr="00B320F1" w:rsidRDefault="009E75B1" w:rsidP="00C42971">
            <w:pPr>
              <w:pStyle w:val="IEEEStdsTableData-Left"/>
            </w:pPr>
            <w:r w:rsidRPr="00B320F1">
              <w:t>Service bits for scrambler initialization</w:t>
            </w:r>
            <w:r>
              <w:t>.</w:t>
            </w:r>
          </w:p>
        </w:tc>
      </w:tr>
      <w:tr w:rsidR="009E75B1" w:rsidRPr="00B320F1" w14:paraId="06E148CB" w14:textId="77777777" w:rsidTr="00C42971">
        <w:trPr>
          <w:trHeight w:val="20"/>
        </w:trPr>
        <w:tc>
          <w:tcPr>
            <w:tcW w:w="869" w:type="pct"/>
          </w:tcPr>
          <w:p w14:paraId="2C1E31CD" w14:textId="77777777" w:rsidR="009E75B1" w:rsidRPr="00B320F1" w:rsidRDefault="009E75B1" w:rsidP="00C42971">
            <w:pPr>
              <w:pStyle w:val="IEEEStdsTableData-Left"/>
            </w:pPr>
            <w:r w:rsidRPr="000A1E60">
              <w:t>PSDU Length</w:t>
            </w:r>
          </w:p>
        </w:tc>
        <w:tc>
          <w:tcPr>
            <w:tcW w:w="462" w:type="pct"/>
          </w:tcPr>
          <w:p w14:paraId="1D694DC8" w14:textId="51FD3F75" w:rsidR="009E75B1" w:rsidRPr="00B320F1" w:rsidRDefault="009E75B1" w:rsidP="00C42971">
            <w:pPr>
              <w:pStyle w:val="IEEEStdsTableData-Left"/>
            </w:pPr>
            <w:r>
              <w:t>2-5</w:t>
            </w:r>
          </w:p>
        </w:tc>
        <w:tc>
          <w:tcPr>
            <w:tcW w:w="462" w:type="pct"/>
          </w:tcPr>
          <w:p w14:paraId="6BD9AFFF" w14:textId="2CD361A3" w:rsidR="009E75B1" w:rsidRPr="00B320F1" w:rsidRDefault="009E75B1" w:rsidP="00C42971">
            <w:pPr>
              <w:pStyle w:val="IEEEStdsTableData-Left"/>
            </w:pPr>
            <w:r w:rsidRPr="00B320F1">
              <w:t>[</w:t>
            </w:r>
            <w:r>
              <w:t>31</w:t>
            </w:r>
            <w:r w:rsidRPr="00B320F1">
              <w:t>:0]</w:t>
            </w:r>
          </w:p>
        </w:tc>
        <w:tc>
          <w:tcPr>
            <w:tcW w:w="3206" w:type="pct"/>
          </w:tcPr>
          <w:p w14:paraId="1941A846" w14:textId="78406FC3" w:rsidR="009E75B1" w:rsidRPr="00B320F1" w:rsidRDefault="009E75B1" w:rsidP="00C42971">
            <w:pPr>
              <w:pStyle w:val="IEEEStdsTableData-Left"/>
            </w:pPr>
            <w:r>
              <w:t>Indicates the octet aligned length of the subsequent PSDU as opposed to the 32 bit aligned PSDU length in Table 55</w:t>
            </w:r>
          </w:p>
        </w:tc>
      </w:tr>
    </w:tbl>
    <w:p w14:paraId="7259BE53" w14:textId="5B0C8B71" w:rsidR="00E6283E" w:rsidRDefault="00E6283E" w:rsidP="00A1002F">
      <w:pPr>
        <w:rPr>
          <w:i/>
          <w:iCs/>
        </w:rPr>
      </w:pPr>
    </w:p>
    <w:p w14:paraId="0B4E54C8" w14:textId="2DE8CEDC" w:rsidR="009E75B1" w:rsidRDefault="00210E1A" w:rsidP="00A1002F">
      <w:pPr>
        <w:rPr>
          <w:i/>
          <w:iCs/>
        </w:rPr>
      </w:pPr>
      <w:r>
        <w:rPr>
          <w:i/>
          <w:iCs/>
        </w:rPr>
        <w:t>Insert “octet aligned length” in P107L13 after “specifies the”.</w:t>
      </w:r>
    </w:p>
    <w:p w14:paraId="57549F71" w14:textId="6475A3DD" w:rsidR="00210E1A" w:rsidRDefault="00210E1A" w:rsidP="00A1002F">
      <w:pPr>
        <w:rPr>
          <w:i/>
          <w:iCs/>
        </w:rPr>
      </w:pPr>
    </w:p>
    <w:p w14:paraId="101C521E" w14:textId="6AA29A20" w:rsidR="00210E1A" w:rsidRDefault="00210E1A" w:rsidP="00A1002F">
      <w:pPr>
        <w:rPr>
          <w:i/>
          <w:iCs/>
        </w:rPr>
      </w:pPr>
      <w:r>
        <w:rPr>
          <w:i/>
          <w:iCs/>
        </w:rPr>
        <w:t>Delete the sentence “With such accurate…” starting in P107L13.</w:t>
      </w:r>
    </w:p>
    <w:p w14:paraId="7AFFBC2D" w14:textId="3FE30288" w:rsidR="00210E1A" w:rsidRDefault="00210E1A" w:rsidP="00A1002F">
      <w:pPr>
        <w:rPr>
          <w:i/>
          <w:iCs/>
        </w:rPr>
      </w:pPr>
    </w:p>
    <w:p w14:paraId="02E502BD" w14:textId="7D787F21" w:rsidR="00210E1A" w:rsidRDefault="007841C4" w:rsidP="00A1002F">
      <w:pPr>
        <w:rPr>
          <w:i/>
          <w:iCs/>
        </w:rPr>
      </w:pPr>
      <w:r>
        <w:rPr>
          <w:i/>
          <w:iCs/>
        </w:rPr>
        <w:t>Add the following text after “…payload.” In P107L13:</w:t>
      </w:r>
    </w:p>
    <w:p w14:paraId="12B21D23" w14:textId="56147CD7" w:rsidR="007841C4" w:rsidRDefault="007841C4" w:rsidP="00A1002F">
      <w:pPr>
        <w:rPr>
          <w:i/>
          <w:iCs/>
        </w:rPr>
      </w:pPr>
    </w:p>
    <w:p w14:paraId="6B0615A0" w14:textId="7AECBD38" w:rsidR="007841C4" w:rsidRDefault="007841C4" w:rsidP="00A1002F">
      <w:r>
        <w:t>For a simple hardware implementation it is preferable to have all data 32 bit aligned. However, MPDUs submitted to the PHY may have any length. Therefore, this field is added before the PSDU in order to recover the exact length at the receiver. The field “PSDU length aligned 32” in Table 55 gives the 32 bit aligned PSDU length.</w:t>
      </w:r>
    </w:p>
    <w:p w14:paraId="67241A0F" w14:textId="6F089015" w:rsidR="007841C4" w:rsidRDefault="007841C4" w:rsidP="00A1002F"/>
    <w:p w14:paraId="368C5F47" w14:textId="14572843" w:rsidR="007841C4" w:rsidRDefault="00870B7B" w:rsidP="00A1002F">
      <w:pPr>
        <w:rPr>
          <w:i/>
          <w:iCs/>
        </w:rPr>
      </w:pPr>
      <w:r>
        <w:rPr>
          <w:i/>
          <w:iCs/>
        </w:rPr>
        <w:lastRenderedPageBreak/>
        <w:t xml:space="preserve">Delete the sentence “If </w:t>
      </w:r>
      <w:proofErr w:type="spellStart"/>
      <w:r>
        <w:rPr>
          <w:i/>
          <w:iCs/>
        </w:rPr>
        <w:t>eU</w:t>
      </w:r>
      <w:proofErr w:type="spellEnd"/>
      <w:r>
        <w:rPr>
          <w:i/>
          <w:iCs/>
        </w:rPr>
        <w:t>-OFDM….” In P107L16.</w:t>
      </w:r>
    </w:p>
    <w:p w14:paraId="6EB05A7E" w14:textId="7E8C90E6" w:rsidR="00870B7B" w:rsidRDefault="00870B7B" w:rsidP="00A1002F">
      <w:pPr>
        <w:rPr>
          <w:i/>
          <w:iCs/>
        </w:rPr>
      </w:pPr>
    </w:p>
    <w:p w14:paraId="719FD4F1" w14:textId="630BE4E9" w:rsidR="00870B7B" w:rsidRDefault="00870B7B" w:rsidP="00A1002F">
      <w:pPr>
        <w:rPr>
          <w:i/>
          <w:iCs/>
        </w:rPr>
      </w:pPr>
      <w:r>
        <w:rPr>
          <w:i/>
          <w:iCs/>
        </w:rPr>
        <w:t>Add the following sentence after “PHY frame.”:</w:t>
      </w:r>
    </w:p>
    <w:p w14:paraId="5A59B568" w14:textId="3E912CCD" w:rsidR="00870B7B" w:rsidRDefault="00870B7B" w:rsidP="00A1002F">
      <w:pPr>
        <w:rPr>
          <w:i/>
          <w:iCs/>
        </w:rPr>
      </w:pPr>
    </w:p>
    <w:p w14:paraId="62707C07" w14:textId="7E939B84" w:rsidR="00870B7B" w:rsidRPr="00870B7B" w:rsidRDefault="00870B7B" w:rsidP="00A1002F">
      <w:r>
        <w:t xml:space="preserve">The last four octets of the PSDU </w:t>
      </w:r>
      <w:r w:rsidR="00B324A9">
        <w:t>are for the FCS in order to detect transmission errors in the PSDU.</w:t>
      </w:r>
    </w:p>
    <w:p w14:paraId="364CE830" w14:textId="709F1A06" w:rsidR="00B62497" w:rsidRDefault="005B7065" w:rsidP="00223DB0">
      <w:pPr>
        <w:rPr>
          <w:i/>
          <w:iCs/>
        </w:rPr>
      </w:pPr>
      <w:r>
        <w:rPr>
          <w:i/>
          <w:iCs/>
        </w:rPr>
        <w:t xml:space="preserve"> </w:t>
      </w:r>
    </w:p>
    <w:p w14:paraId="22B63E4F" w14:textId="5B870B54" w:rsidR="00151948" w:rsidRDefault="00151948" w:rsidP="00223DB0">
      <w:pPr>
        <w:rPr>
          <w:i/>
          <w:iCs/>
        </w:rPr>
      </w:pPr>
      <w:r>
        <w:rPr>
          <w:i/>
          <w:iCs/>
        </w:rPr>
        <w:t>Add the time index “n” in the exponent of the formula in P112L14.</w:t>
      </w:r>
    </w:p>
    <w:p w14:paraId="66CA89E1" w14:textId="77777777" w:rsidR="00151948" w:rsidRDefault="00151948" w:rsidP="00223DB0">
      <w:pPr>
        <w:rPr>
          <w:rFonts w:ascii="Calibri" w:hAnsi="Calibri" w:cs="Calibri"/>
          <w:color w:val="000000"/>
        </w:rPr>
      </w:pPr>
    </w:p>
    <w:p w14:paraId="6D5254F6" w14:textId="08C889DC" w:rsidR="00B62497" w:rsidRDefault="00A12DBD" w:rsidP="002208CA">
      <w:pPr>
        <w:jc w:val="both"/>
        <w:rPr>
          <w:i/>
          <w:iCs/>
          <w:color w:val="000000"/>
        </w:rPr>
      </w:pPr>
      <w:r>
        <w:rPr>
          <w:i/>
          <w:iCs/>
          <w:color w:val="000000"/>
        </w:rPr>
        <w:t xml:space="preserve">Delete </w:t>
      </w:r>
      <w:r w:rsidR="00151948">
        <w:rPr>
          <w:i/>
          <w:iCs/>
          <w:color w:val="000000"/>
        </w:rPr>
        <w:t>the sentence “The DC subcarrier….” Starting in P112L17.</w:t>
      </w:r>
    </w:p>
    <w:p w14:paraId="105D62C4" w14:textId="69A2A243" w:rsidR="00151948" w:rsidRDefault="00151948" w:rsidP="002208CA">
      <w:pPr>
        <w:jc w:val="both"/>
        <w:rPr>
          <w:i/>
          <w:iCs/>
          <w:color w:val="000000"/>
        </w:rPr>
      </w:pPr>
    </w:p>
    <w:p w14:paraId="1F37D2DD" w14:textId="765BE555" w:rsidR="00151948" w:rsidRPr="00A12DBD" w:rsidRDefault="00151948" w:rsidP="002208CA">
      <w:pPr>
        <w:jc w:val="both"/>
        <w:rPr>
          <w:i/>
          <w:iCs/>
          <w:color w:val="000000"/>
        </w:rPr>
      </w:pPr>
      <w:r>
        <w:rPr>
          <w:i/>
          <w:iCs/>
          <w:color w:val="000000"/>
        </w:rPr>
        <w:t>Change “32” to “-32” in P112L25.</w:t>
      </w:r>
    </w:p>
    <w:sectPr w:rsidR="00151948" w:rsidRPr="00A12DBD">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16A5F" w14:textId="77777777" w:rsidR="00DE6204" w:rsidRDefault="00DE6204">
      <w:r>
        <w:separator/>
      </w:r>
    </w:p>
  </w:endnote>
  <w:endnote w:type="continuationSeparator" w:id="0">
    <w:p w14:paraId="5E0101C4" w14:textId="77777777" w:rsidR="00DE6204" w:rsidRDefault="00DE6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4D"/>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C307D" w14:textId="77777777" w:rsidR="0049515E" w:rsidRDefault="0049515E">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DE6204">
      <w:fldChar w:fldCharType="begin"/>
    </w:r>
    <w:r w:rsidR="00DE6204">
      <w:instrText xml:space="preserve"> AUTHOR  \* MERGEFORMAT </w:instrText>
    </w:r>
    <w:r w:rsidR="00DE6204">
      <w:fldChar w:fldCharType="separate"/>
    </w:r>
    <w:r w:rsidR="001178AF">
      <w:rPr>
        <w:noProof/>
      </w:rPr>
      <w:t>Stephan Berner</w:t>
    </w:r>
    <w:r w:rsidR="00DE6204">
      <w:rPr>
        <w:noProof/>
      </w:rPr>
      <w:fldChar w:fldCharType="end"/>
    </w:r>
    <w:r>
      <w:t xml:space="preserve">, </w:t>
    </w:r>
    <w:r w:rsidR="00DE6204">
      <w:fldChar w:fldCharType="begin"/>
    </w:r>
    <w:r w:rsidR="00DE6204">
      <w:instrText xml:space="preserve"> DOCPROPERTY "Company"  \* MERGEFORMAT </w:instrText>
    </w:r>
    <w:r w:rsidR="00DE6204">
      <w:fldChar w:fldCharType="separate"/>
    </w:r>
    <w:r w:rsidR="001178AF">
      <w:t>PureLiFi</w:t>
    </w:r>
    <w:r w:rsidR="00DE620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AB98C" w14:textId="77777777" w:rsidR="0049515E" w:rsidRDefault="0049515E">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ACF33" w14:textId="77777777" w:rsidR="00DE6204" w:rsidRDefault="00DE6204">
      <w:r>
        <w:separator/>
      </w:r>
    </w:p>
  </w:footnote>
  <w:footnote w:type="continuationSeparator" w:id="0">
    <w:p w14:paraId="18DFCD53" w14:textId="77777777" w:rsidR="00DE6204" w:rsidRDefault="00DE6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5D594" w14:textId="476A90F2" w:rsidR="0049515E" w:rsidRDefault="0049515E">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F70ED8">
      <w:rPr>
        <w:b/>
        <w:noProof/>
        <w:sz w:val="28"/>
      </w:rPr>
      <w:t>June, 2020</w:t>
    </w:r>
    <w:r>
      <w:rPr>
        <w:b/>
        <w:sz w:val="28"/>
      </w:rPr>
      <w:fldChar w:fldCharType="end"/>
    </w:r>
    <w:r>
      <w:rPr>
        <w:b/>
        <w:sz w:val="28"/>
      </w:rPr>
      <w:tab/>
      <w:t xml:space="preserve"> IEEE P802.</w:t>
    </w:r>
    <w:r w:rsidR="003C2173">
      <w:rPr>
        <w:b/>
        <w:sz w:val="28"/>
      </w:rPr>
      <w:t>15-</w:t>
    </w:r>
    <w:r w:rsidR="00B10BD9" w:rsidRPr="00B10BD9">
      <w:rPr>
        <w:b/>
        <w:sz w:val="28"/>
      </w:rPr>
      <w:t>20-0154-00-0013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BEC66" w14:textId="77777777" w:rsidR="0049515E" w:rsidRDefault="0049515E">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D6E59"/>
    <w:multiLevelType w:val="hybridMultilevel"/>
    <w:tmpl w:val="FAD2E8B2"/>
    <w:lvl w:ilvl="0" w:tplc="A3F20E18">
      <w:start w:val="3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2EA01BD"/>
    <w:multiLevelType w:val="hybridMultilevel"/>
    <w:tmpl w:val="1B4A2EE8"/>
    <w:lvl w:ilvl="0" w:tplc="F0CA35D2">
      <w:start w:val="1"/>
      <w:numFmt w:val="decimal"/>
      <w:pStyle w:val="IEEEStdsRegularTableCaption"/>
      <w:suff w:val="space"/>
      <w:lvlText w:val="Table %1"/>
      <w:lvlJc w:val="center"/>
      <w:pPr>
        <w:ind w:left="720" w:hanging="36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7074342"/>
    <w:multiLevelType w:val="hybridMultilevel"/>
    <w:tmpl w:val="CF881DFE"/>
    <w:lvl w:ilvl="0" w:tplc="C5A6F03C">
      <w:start w:val="1"/>
      <w:numFmt w:val="decimal"/>
      <w:pStyle w:val="IEEEStdsRegularFigureCaption"/>
      <w:suff w:val="space"/>
      <w:lvlText w:val="Figure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F956C21"/>
    <w:multiLevelType w:val="multilevel"/>
    <w:tmpl w:val="26B8C1E8"/>
    <w:lvl w:ilvl="0">
      <w:start w:val="1"/>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4"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1DB"/>
    <w:rsid w:val="00053A03"/>
    <w:rsid w:val="000B3756"/>
    <w:rsid w:val="000B71C5"/>
    <w:rsid w:val="000F1244"/>
    <w:rsid w:val="000F5AFE"/>
    <w:rsid w:val="0011223E"/>
    <w:rsid w:val="001178AF"/>
    <w:rsid w:val="001441B4"/>
    <w:rsid w:val="00151948"/>
    <w:rsid w:val="00161404"/>
    <w:rsid w:val="00174449"/>
    <w:rsid w:val="00210E1A"/>
    <w:rsid w:val="0021446F"/>
    <w:rsid w:val="002208CA"/>
    <w:rsid w:val="00223DB0"/>
    <w:rsid w:val="00252989"/>
    <w:rsid w:val="00261079"/>
    <w:rsid w:val="00262552"/>
    <w:rsid w:val="00295F94"/>
    <w:rsid w:val="002A1579"/>
    <w:rsid w:val="002C15DF"/>
    <w:rsid w:val="002D52B2"/>
    <w:rsid w:val="00342098"/>
    <w:rsid w:val="00343C53"/>
    <w:rsid w:val="00387DF5"/>
    <w:rsid w:val="0039328C"/>
    <w:rsid w:val="003A297E"/>
    <w:rsid w:val="003C2173"/>
    <w:rsid w:val="003E6FD6"/>
    <w:rsid w:val="004261BD"/>
    <w:rsid w:val="00491D66"/>
    <w:rsid w:val="0049515E"/>
    <w:rsid w:val="004F415F"/>
    <w:rsid w:val="004F4C83"/>
    <w:rsid w:val="00505E51"/>
    <w:rsid w:val="0051233A"/>
    <w:rsid w:val="0053735F"/>
    <w:rsid w:val="00595FB4"/>
    <w:rsid w:val="005B3B1A"/>
    <w:rsid w:val="005B7065"/>
    <w:rsid w:val="005C104B"/>
    <w:rsid w:val="005D4C5B"/>
    <w:rsid w:val="00632ABB"/>
    <w:rsid w:val="00635123"/>
    <w:rsid w:val="006354AF"/>
    <w:rsid w:val="00660558"/>
    <w:rsid w:val="006F383C"/>
    <w:rsid w:val="007841C4"/>
    <w:rsid w:val="007A3D01"/>
    <w:rsid w:val="007B5B7F"/>
    <w:rsid w:val="007F1210"/>
    <w:rsid w:val="008100E5"/>
    <w:rsid w:val="00810A2F"/>
    <w:rsid w:val="00831869"/>
    <w:rsid w:val="00855F2B"/>
    <w:rsid w:val="00870B7B"/>
    <w:rsid w:val="008C49A4"/>
    <w:rsid w:val="008E2AAC"/>
    <w:rsid w:val="00920DEF"/>
    <w:rsid w:val="009241ED"/>
    <w:rsid w:val="00952C49"/>
    <w:rsid w:val="00961FDE"/>
    <w:rsid w:val="00986D68"/>
    <w:rsid w:val="009961C6"/>
    <w:rsid w:val="009E0D31"/>
    <w:rsid w:val="009E75B1"/>
    <w:rsid w:val="009F349F"/>
    <w:rsid w:val="00A1002F"/>
    <w:rsid w:val="00A12DBD"/>
    <w:rsid w:val="00A32D56"/>
    <w:rsid w:val="00A46B90"/>
    <w:rsid w:val="00A51BDD"/>
    <w:rsid w:val="00A70A86"/>
    <w:rsid w:val="00A718EA"/>
    <w:rsid w:val="00A973F9"/>
    <w:rsid w:val="00AB21DB"/>
    <w:rsid w:val="00AB65A9"/>
    <w:rsid w:val="00AF62EF"/>
    <w:rsid w:val="00B10BD9"/>
    <w:rsid w:val="00B324A9"/>
    <w:rsid w:val="00B51191"/>
    <w:rsid w:val="00B62497"/>
    <w:rsid w:val="00B84634"/>
    <w:rsid w:val="00BD1E78"/>
    <w:rsid w:val="00BF16CD"/>
    <w:rsid w:val="00C34555"/>
    <w:rsid w:val="00C64610"/>
    <w:rsid w:val="00C877AE"/>
    <w:rsid w:val="00CD5A6D"/>
    <w:rsid w:val="00CE7AB0"/>
    <w:rsid w:val="00D04AA2"/>
    <w:rsid w:val="00D259BC"/>
    <w:rsid w:val="00D64C31"/>
    <w:rsid w:val="00D728EC"/>
    <w:rsid w:val="00DE1FCB"/>
    <w:rsid w:val="00DE5BB3"/>
    <w:rsid w:val="00DE6204"/>
    <w:rsid w:val="00E5107C"/>
    <w:rsid w:val="00E6283E"/>
    <w:rsid w:val="00E7601B"/>
    <w:rsid w:val="00E84662"/>
    <w:rsid w:val="00EB5A40"/>
    <w:rsid w:val="00EE63A2"/>
    <w:rsid w:val="00F05164"/>
    <w:rsid w:val="00F40ADD"/>
    <w:rsid w:val="00F52E77"/>
    <w:rsid w:val="00F52F18"/>
    <w:rsid w:val="00F70ED8"/>
    <w:rsid w:val="00F72A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4E5A9B"/>
  <w15:chartTrackingRefBased/>
  <w15:docId w15:val="{099EC003-B18F-4E05-97A7-B00462C6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lang w:val="en-US"/>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customStyle="1" w:styleId="IEEEStdsParagraph">
    <w:name w:val="IEEEStds Paragraph"/>
    <w:link w:val="IEEEStdsParagraphChar"/>
    <w:rsid w:val="00635123"/>
    <w:pPr>
      <w:spacing w:after="240"/>
      <w:jc w:val="both"/>
    </w:pPr>
    <w:rPr>
      <w:rFonts w:ascii="Times New Roman" w:hAnsi="Times New Roman"/>
      <w:lang w:val="en-US" w:eastAsia="ja-JP"/>
    </w:rPr>
  </w:style>
  <w:style w:type="character" w:customStyle="1" w:styleId="IEEEStdsParagraphChar">
    <w:name w:val="IEEEStds Paragraph Char"/>
    <w:link w:val="IEEEStdsParagraph"/>
    <w:rsid w:val="00635123"/>
    <w:rPr>
      <w:rFonts w:ascii="Times New Roman" w:hAnsi="Times New Roman"/>
      <w:lang w:val="en-US" w:eastAsia="ja-JP"/>
    </w:rPr>
  </w:style>
  <w:style w:type="paragraph" w:customStyle="1" w:styleId="IEEEStdsTableData-Center">
    <w:name w:val="IEEEStds Table Data - Center"/>
    <w:basedOn w:val="IEEEStdsParagraph"/>
    <w:rsid w:val="00635123"/>
    <w:pPr>
      <w:keepNext/>
      <w:keepLines/>
      <w:spacing w:after="0"/>
      <w:jc w:val="center"/>
    </w:pPr>
    <w:rPr>
      <w:sz w:val="18"/>
    </w:rPr>
  </w:style>
  <w:style w:type="paragraph" w:customStyle="1" w:styleId="IEEEStdsRegularTableCaption">
    <w:name w:val="IEEEStds Regular Table Caption"/>
    <w:basedOn w:val="IEEEStdsParagraph"/>
    <w:next w:val="IEEEStdsParagraph"/>
    <w:rsid w:val="00635123"/>
    <w:pPr>
      <w:keepNext/>
      <w:keepLines/>
      <w:numPr>
        <w:numId w:val="2"/>
      </w:numPr>
      <w:tabs>
        <w:tab w:val="left" w:pos="360"/>
        <w:tab w:val="left" w:pos="432"/>
        <w:tab w:val="left" w:pos="504"/>
      </w:tabs>
      <w:suppressAutoHyphens/>
      <w:spacing w:before="120" w:after="120"/>
      <w:ind w:left="0" w:firstLine="0"/>
      <w:jc w:val="center"/>
    </w:pPr>
    <w:rPr>
      <w:rFonts w:ascii="Arial" w:hAnsi="Arial"/>
      <w:b/>
    </w:rPr>
  </w:style>
  <w:style w:type="paragraph" w:customStyle="1" w:styleId="IEEEStdsTableColumnHead">
    <w:name w:val="IEEEStds Table Column Head"/>
    <w:basedOn w:val="IEEEStdsParagraph"/>
    <w:rsid w:val="00635123"/>
    <w:pPr>
      <w:keepNext/>
      <w:keepLines/>
      <w:spacing w:after="0"/>
      <w:jc w:val="center"/>
    </w:pPr>
    <w:rPr>
      <w:b/>
      <w:sz w:val="18"/>
    </w:rPr>
  </w:style>
  <w:style w:type="paragraph" w:customStyle="1" w:styleId="IEEEStdsLevel1Header">
    <w:name w:val="IEEEStds Level 1 Header"/>
    <w:basedOn w:val="IEEEStdsParagraph"/>
    <w:next w:val="IEEEStdsParagraph"/>
    <w:rsid w:val="00635123"/>
    <w:pPr>
      <w:keepNext/>
      <w:keepLines/>
      <w:pageBreakBefore/>
      <w:numPr>
        <w:numId w:val="3"/>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635123"/>
    <w:pPr>
      <w:numPr>
        <w:ilvl w:val="4"/>
      </w:numPr>
      <w:outlineLvl w:val="3"/>
    </w:pPr>
  </w:style>
  <w:style w:type="paragraph" w:customStyle="1" w:styleId="IEEEStdsLevel3Header">
    <w:name w:val="IEEEStds Level 3 Header"/>
    <w:basedOn w:val="IEEEStdsLevel2Header"/>
    <w:next w:val="IEEEStdsParagraph"/>
    <w:rsid w:val="00635123"/>
    <w:pPr>
      <w:numPr>
        <w:ilvl w:val="5"/>
      </w:numPr>
      <w:spacing w:before="240"/>
      <w:outlineLvl w:val="2"/>
    </w:pPr>
    <w:rPr>
      <w:sz w:val="20"/>
    </w:rPr>
  </w:style>
  <w:style w:type="paragraph" w:customStyle="1" w:styleId="IEEEStdsLevel2Header">
    <w:name w:val="IEEEStds Level 2 Header"/>
    <w:basedOn w:val="IEEEStdsLevel1Header"/>
    <w:next w:val="IEEEStdsParagraph"/>
    <w:rsid w:val="00635123"/>
    <w:pPr>
      <w:pageBreakBefore w:val="0"/>
      <w:numPr>
        <w:ilvl w:val="1"/>
      </w:numPr>
      <w:outlineLvl w:val="1"/>
    </w:pPr>
    <w:rPr>
      <w:sz w:val="22"/>
    </w:rPr>
  </w:style>
  <w:style w:type="paragraph" w:customStyle="1" w:styleId="IEEEStdsLevel7Header">
    <w:name w:val="IEEEStds Level 7 Header"/>
    <w:basedOn w:val="Normal"/>
    <w:next w:val="IEEEStdsParagraph"/>
    <w:rsid w:val="00635123"/>
    <w:pPr>
      <w:keepNext/>
      <w:keepLines/>
      <w:numPr>
        <w:ilvl w:val="6"/>
        <w:numId w:val="3"/>
      </w:numPr>
      <w:suppressAutoHyphens/>
      <w:spacing w:before="240" w:after="240"/>
      <w:outlineLvl w:val="6"/>
    </w:pPr>
    <w:rPr>
      <w:rFonts w:ascii="Arial" w:hAnsi="Arial"/>
      <w:b/>
      <w:sz w:val="20"/>
      <w:lang w:eastAsia="ja-JP"/>
    </w:rPr>
  </w:style>
  <w:style w:type="paragraph" w:customStyle="1" w:styleId="IEEEStdsLevel8Header">
    <w:name w:val="IEEEStds Level 8 Header"/>
    <w:basedOn w:val="IEEEStdsLevel7Header"/>
    <w:next w:val="IEEEStdsParagraph"/>
    <w:rsid w:val="00635123"/>
    <w:pPr>
      <w:numPr>
        <w:ilvl w:val="7"/>
      </w:numPr>
      <w:outlineLvl w:val="7"/>
    </w:pPr>
  </w:style>
  <w:style w:type="paragraph" w:customStyle="1" w:styleId="IEEEStdsLevel9Header">
    <w:name w:val="IEEEStds Level 9 Header"/>
    <w:basedOn w:val="IEEEStdsLevel8Header"/>
    <w:next w:val="IEEEStdsParagraph"/>
    <w:rsid w:val="00635123"/>
    <w:pPr>
      <w:numPr>
        <w:ilvl w:val="8"/>
      </w:numPr>
      <w:outlineLvl w:val="8"/>
    </w:pPr>
  </w:style>
  <w:style w:type="paragraph" w:customStyle="1" w:styleId="Default">
    <w:name w:val="Default"/>
    <w:rsid w:val="009E0D31"/>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39"/>
    <w:rsid w:val="00F40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Left">
    <w:name w:val="IEEEStds Table Data - Left"/>
    <w:basedOn w:val="IEEEStdsParagraph"/>
    <w:rsid w:val="00D64C31"/>
    <w:pPr>
      <w:keepNext/>
      <w:keepLines/>
      <w:spacing w:after="0"/>
      <w:jc w:val="left"/>
    </w:pPr>
    <w:rPr>
      <w:sz w:val="18"/>
    </w:rPr>
  </w:style>
  <w:style w:type="paragraph" w:customStyle="1" w:styleId="IEEEStdsRegularFigureCaption">
    <w:name w:val="IEEEStds Regular Figure Caption"/>
    <w:basedOn w:val="IEEEStdsParagraph"/>
    <w:next w:val="IEEEStdsParagraph"/>
    <w:rsid w:val="008E2AAC"/>
    <w:pPr>
      <w:keepLines/>
      <w:numPr>
        <w:numId w:val="5"/>
      </w:numPr>
      <w:tabs>
        <w:tab w:val="left" w:pos="403"/>
        <w:tab w:val="left" w:pos="475"/>
        <w:tab w:val="left" w:pos="547"/>
      </w:tabs>
      <w:suppressAutoHyphens/>
      <w:spacing w:before="120" w:after="120"/>
      <w:jc w:val="center"/>
    </w:pPr>
    <w:rPr>
      <w:rFonts w:ascii="Arial" w:hAnsi="Arial"/>
      <w:b/>
    </w:rPr>
  </w:style>
  <w:style w:type="table" w:customStyle="1" w:styleId="IEEETABLE">
    <w:name w:val="IEEE TABLE"/>
    <w:basedOn w:val="TableNormal"/>
    <w:rsid w:val="00D04AA2"/>
    <w:pPr>
      <w:jc w:val="center"/>
      <w:textboxTightWrap w:val="allLines"/>
    </w:pPr>
    <w:rPr>
      <w:rFonts w:ascii="Times New Roman" w:hAnsi="Times New Roman"/>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Pr>
    <w:trPr>
      <w:tblHeade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96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er\Downloads\IEEE-P802_1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0</TotalTime>
  <Pages>4</Pages>
  <Words>675</Words>
  <Characters>3854</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Text for CID resolutions on D2</vt:lpstr>
      <vt:lpstr>Text for CID resolutions on D2</vt:lpstr>
    </vt:vector>
  </TitlesOfParts>
  <Company>PureLiFi</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for CID resolutions on D2</dc:title>
  <dc:subject/>
  <dc:creator>Stephan Berner</dc:creator>
  <cp:keywords/>
  <dc:description>&lt;street address&gt;_x000d_
TELEPHONE: &lt;phone#&gt;_x000d_
FAX: &lt;fax#&gt;_x000d_
EMAIL: &lt;email&gt;</dc:description>
  <cp:lastModifiedBy>Nikola Serafimovski</cp:lastModifiedBy>
  <cp:revision>3</cp:revision>
  <cp:lastPrinted>1900-01-01T00:00:00Z</cp:lastPrinted>
  <dcterms:created xsi:type="dcterms:W3CDTF">2020-06-14T20:00:00Z</dcterms:created>
  <dcterms:modified xsi:type="dcterms:W3CDTF">2020-06-14T20:03:00Z</dcterms:modified>
  <cp:category>15-20-0120-01-0013</cp:category>
</cp:coreProperties>
</file>