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90" w:rsidRDefault="00A46B90" w:rsidP="00A718EA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:rsidR="00A46B90" w:rsidRDefault="00A46B90" w:rsidP="00A718EA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:rsidR="00A46B90" w:rsidRDefault="00A46B90" w:rsidP="008100E5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A46B90">
        <w:tc>
          <w:tcPr>
            <w:tcW w:w="1260" w:type="dxa"/>
            <w:tcBorders>
              <w:top w:val="single" w:sz="6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46B90" w:rsidRDefault="00A46B90" w:rsidP="00A718E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46B90">
        <w:tc>
          <w:tcPr>
            <w:tcW w:w="1260" w:type="dxa"/>
            <w:tcBorders>
              <w:top w:val="single" w:sz="6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46B90" w:rsidRDefault="00595FB4" w:rsidP="00A718EA">
            <w:pPr>
              <w:pStyle w:val="covertext"/>
            </w:pPr>
            <w:r>
              <w:rPr>
                <w:b/>
                <w:sz w:val="28"/>
              </w:rPr>
              <w:t>Some CID resolutions for D2</w:t>
            </w:r>
          </w:p>
        </w:tc>
      </w:tr>
      <w:tr w:rsidR="00A46B90">
        <w:tc>
          <w:tcPr>
            <w:tcW w:w="1260" w:type="dxa"/>
            <w:tcBorders>
              <w:top w:val="single" w:sz="6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46B90" w:rsidRDefault="00A46B90" w:rsidP="00A718EA">
            <w:pPr>
              <w:pStyle w:val="covertext"/>
            </w:pPr>
          </w:p>
        </w:tc>
      </w:tr>
      <w:tr w:rsidR="00A46B90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46B90" w:rsidRDefault="00595FB4" w:rsidP="00E5107C">
            <w:pPr>
              <w:pStyle w:val="covertext"/>
              <w:spacing w:before="0" w:after="0"/>
            </w:pPr>
            <w:r>
              <w:t>Stephan Berner</w:t>
            </w:r>
          </w:p>
          <w:p w:rsidR="00595FB4" w:rsidRDefault="00595FB4" w:rsidP="00E5107C">
            <w:pPr>
              <w:pStyle w:val="covertext"/>
              <w:spacing w:before="0" w:after="0"/>
            </w:pPr>
            <w:r>
              <w:t>PureLiFi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A46B90" w:rsidRDefault="00A46B90" w:rsidP="00A718EA">
            <w:pPr>
              <w:pStyle w:val="covertext"/>
              <w:tabs>
                <w:tab w:val="left" w:pos="1152"/>
              </w:tabs>
              <w:spacing w:before="0" w:after="0"/>
              <w:rPr>
                <w:sz w:val="18"/>
              </w:rPr>
            </w:pPr>
            <w:r>
              <w:t>Voice:</w:t>
            </w:r>
            <w:r>
              <w:tab/>
              <w:t>[   ]</w:t>
            </w:r>
            <w:r>
              <w:br/>
              <w:t>Fax:</w:t>
            </w:r>
            <w:r>
              <w:tab/>
              <w:t>[   ]</w:t>
            </w:r>
            <w:r>
              <w:br/>
              <w:t>E-mail:</w:t>
            </w:r>
            <w:r>
              <w:tab/>
              <w:t>[   ]</w:t>
            </w:r>
          </w:p>
        </w:tc>
      </w:tr>
      <w:tr w:rsidR="00A46B90">
        <w:tc>
          <w:tcPr>
            <w:tcW w:w="1260" w:type="dxa"/>
            <w:tcBorders>
              <w:top w:val="single" w:sz="6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46B90" w:rsidRDefault="00A46B90" w:rsidP="00A718EA">
            <w:pPr>
              <w:pStyle w:val="covertext"/>
            </w:pPr>
          </w:p>
        </w:tc>
      </w:tr>
      <w:tr w:rsidR="00A46B90">
        <w:tc>
          <w:tcPr>
            <w:tcW w:w="1260" w:type="dxa"/>
            <w:tcBorders>
              <w:top w:val="single" w:sz="6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46B90" w:rsidRDefault="00A46B90" w:rsidP="00A718EA">
            <w:pPr>
              <w:pStyle w:val="covertext"/>
            </w:pPr>
          </w:p>
        </w:tc>
      </w:tr>
      <w:tr w:rsidR="00A46B90">
        <w:tc>
          <w:tcPr>
            <w:tcW w:w="1260" w:type="dxa"/>
            <w:tcBorders>
              <w:top w:val="single" w:sz="6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46B90" w:rsidRDefault="00AB21DB" w:rsidP="00A718EA">
            <w:pPr>
              <w:pStyle w:val="covertext"/>
            </w:pPr>
            <w:r>
              <w:t>Aid comment resolution</w:t>
            </w:r>
          </w:p>
        </w:tc>
      </w:tr>
      <w:tr w:rsidR="00A46B90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46B90" w:rsidRDefault="00A46B90" w:rsidP="00A718EA">
            <w:pPr>
              <w:pStyle w:val="covertext"/>
            </w:pPr>
            <w:r>
              <w:t xml:space="preserve">This document has been prepared to assist the IEEE P802.15.  </w:t>
            </w:r>
            <w:proofErr w:type="gramStart"/>
            <w:r>
              <w:t>It is offered as a basis for discussion and is not binding on the contributing individual(s) or organization(s).</w:t>
            </w:r>
            <w:proofErr w:type="gramEnd"/>
            <w:r>
              <w:t xml:space="preserve"> The material in this document is subject to change in form and content after further study. The contributor(s) reserve(s) the right to add, amend or withdraw material contained herein.</w:t>
            </w:r>
          </w:p>
        </w:tc>
      </w:tr>
      <w:tr w:rsidR="00A46B90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46B90" w:rsidRDefault="00A46B90" w:rsidP="00A718EA">
            <w:pPr>
              <w:pStyle w:val="covertext"/>
            </w:pPr>
            <w:r>
              <w:t xml:space="preserve">The contributor acknowledges and accepts </w:t>
            </w:r>
            <w:proofErr w:type="gramStart"/>
            <w:r>
              <w:t>that this contribution becomes the property of IEEE and may be made publicly available by P802.15</w:t>
            </w:r>
            <w:proofErr w:type="gramEnd"/>
            <w:r>
              <w:t>.</w:t>
            </w:r>
          </w:p>
        </w:tc>
      </w:tr>
    </w:tbl>
    <w:p w:rsidR="00595FB4" w:rsidRDefault="00A46B90" w:rsidP="00595FB4">
      <w:pPr>
        <w:rPr>
          <w:rFonts w:ascii="Calibri" w:hAnsi="Calibri" w:cs="Calibri"/>
          <w:color w:val="000000"/>
        </w:rPr>
      </w:pPr>
      <w:r>
        <w:br w:type="page"/>
      </w:r>
      <w:r w:rsidR="00595FB4">
        <w:rPr>
          <w:rFonts w:ascii="Calibri" w:hAnsi="Calibri" w:cs="Calibri"/>
          <w:color w:val="000000"/>
        </w:rPr>
        <w:lastRenderedPageBreak/>
        <w:t xml:space="preserve"> </w:t>
      </w:r>
    </w:p>
    <w:p w:rsidR="00A1002F" w:rsidRDefault="00A1002F" w:rsidP="00A1002F">
      <w:pPr>
        <w:pStyle w:val="berschrift1"/>
      </w:pPr>
      <w:r>
        <w:t>CID 619:</w:t>
      </w:r>
    </w:p>
    <w:p w:rsidR="00A1002F" w:rsidRDefault="00A1002F" w:rsidP="00A1002F"/>
    <w:p w:rsidR="00A1002F" w:rsidRPr="00A1002F" w:rsidRDefault="00A1002F" w:rsidP="00A1002F">
      <w:pPr>
        <w:rPr>
          <w:i/>
        </w:rPr>
      </w:pPr>
      <w:r w:rsidRPr="00A1002F">
        <w:rPr>
          <w:i/>
        </w:rPr>
        <w:t>Insert a new subclause “</w:t>
      </w:r>
      <w:r w:rsidRPr="00A1002F">
        <w:rPr>
          <w:i/>
        </w:rPr>
        <w:t>LB-PHY MCS element</w:t>
      </w:r>
      <w:r w:rsidRPr="00A1002F">
        <w:rPr>
          <w:i/>
        </w:rPr>
        <w:t>” after 6.6.20 with the following content:</w:t>
      </w:r>
    </w:p>
    <w:p w:rsidR="00A1002F" w:rsidRDefault="00A1002F" w:rsidP="00A1002F"/>
    <w:p w:rsidR="00A1002F" w:rsidRDefault="00491D66" w:rsidP="00491D66">
      <w:pPr>
        <w:pStyle w:val="IEEEStdsParagraph"/>
      </w:pPr>
      <w:r>
        <w:t xml:space="preserve">The </w:t>
      </w:r>
      <w:r>
        <w:t>LB</w:t>
      </w:r>
      <w:r w:rsidRPr="003E14D1">
        <w:rPr>
          <w:i/>
        </w:rPr>
        <w:t xml:space="preserve">-PHY MCS </w:t>
      </w:r>
      <w:r>
        <w:t xml:space="preserve">element holds a subset of supported MCS for the </w:t>
      </w:r>
      <w:r>
        <w:t>LB</w:t>
      </w:r>
      <w:r>
        <w:t>-PHY.</w:t>
      </w:r>
    </w:p>
    <w:p w:rsidR="00A1002F" w:rsidRPr="00491D66" w:rsidRDefault="00A1002F" w:rsidP="00491D66">
      <w:pPr>
        <w:jc w:val="center"/>
        <w:rPr>
          <w:b/>
        </w:rPr>
      </w:pPr>
      <w:r w:rsidRPr="00491D66">
        <w:rPr>
          <w:b/>
        </w:rPr>
        <w:t>Figure X LB-PHY MCS element</w:t>
      </w:r>
    </w:p>
    <w:p w:rsidR="00A1002F" w:rsidRDefault="00A1002F" w:rsidP="00A1002F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809"/>
      </w:tblGrid>
      <w:tr w:rsidR="00A1002F" w:rsidTr="00A1002F">
        <w:trPr>
          <w:jc w:val="center"/>
        </w:trPr>
        <w:tc>
          <w:tcPr>
            <w:tcW w:w="0" w:type="auto"/>
          </w:tcPr>
          <w:p w:rsidR="00A1002F" w:rsidRPr="00A1002F" w:rsidRDefault="00A1002F" w:rsidP="00A1002F">
            <w:pPr>
              <w:rPr>
                <w:b/>
              </w:rPr>
            </w:pPr>
            <w:r w:rsidRPr="00A1002F">
              <w:rPr>
                <w:b/>
              </w:rPr>
              <w:t>1 octet</w:t>
            </w:r>
          </w:p>
        </w:tc>
        <w:tc>
          <w:tcPr>
            <w:tcW w:w="0" w:type="auto"/>
          </w:tcPr>
          <w:p w:rsidR="00A1002F" w:rsidRPr="00A1002F" w:rsidRDefault="00A1002F" w:rsidP="00A1002F">
            <w:pPr>
              <w:rPr>
                <w:b/>
              </w:rPr>
            </w:pPr>
            <w:r w:rsidRPr="00A1002F">
              <w:rPr>
                <w:b/>
              </w:rPr>
              <w:t xml:space="preserve">1 </w:t>
            </w:r>
            <w:proofErr w:type="spellStart"/>
            <w:r w:rsidRPr="00A1002F">
              <w:rPr>
                <w:b/>
              </w:rPr>
              <w:t>ocet</w:t>
            </w:r>
            <w:proofErr w:type="spellEnd"/>
          </w:p>
        </w:tc>
      </w:tr>
      <w:tr w:rsidR="00A1002F" w:rsidTr="00A1002F">
        <w:trPr>
          <w:jc w:val="center"/>
        </w:trPr>
        <w:tc>
          <w:tcPr>
            <w:tcW w:w="0" w:type="auto"/>
          </w:tcPr>
          <w:p w:rsidR="00A1002F" w:rsidRDefault="00491D66" w:rsidP="00A1002F">
            <w:r>
              <w:t>Clock R</w:t>
            </w:r>
            <w:r w:rsidR="00A1002F">
              <w:t>ate</w:t>
            </w:r>
            <w:r>
              <w:t>s</w:t>
            </w:r>
          </w:p>
        </w:tc>
        <w:tc>
          <w:tcPr>
            <w:tcW w:w="0" w:type="auto"/>
          </w:tcPr>
          <w:p w:rsidR="00A1002F" w:rsidRDefault="00A1002F" w:rsidP="00A1002F">
            <w:r>
              <w:t>MCS</w:t>
            </w:r>
          </w:p>
        </w:tc>
      </w:tr>
    </w:tbl>
    <w:p w:rsidR="00491D66" w:rsidRDefault="00491D66" w:rsidP="00A1002F"/>
    <w:p w:rsidR="00491D66" w:rsidRDefault="00491D66" w:rsidP="00491D66">
      <w:pPr>
        <w:pStyle w:val="IEEEStdsParagraph"/>
      </w:pPr>
      <w:r w:rsidRPr="00600583">
        <w:rPr>
          <w:b/>
        </w:rPr>
        <w:t>Clock Rates:</w:t>
      </w:r>
      <w:r w:rsidRPr="00532390">
        <w:t xml:space="preserve"> </w:t>
      </w:r>
      <w:r>
        <w:t xml:space="preserve">A bitmap indicating the set of supported OCRs. A </w:t>
      </w:r>
      <w:proofErr w:type="gramStart"/>
      <w:r>
        <w:t>1</w:t>
      </w:r>
      <w:proofErr w:type="gramEnd"/>
      <w:r>
        <w:t xml:space="preserve"> in the bitmap indicates that the given OCR is supported. A </w:t>
      </w:r>
      <w:proofErr w:type="gramStart"/>
      <w:r>
        <w:t>0</w:t>
      </w:r>
      <w:proofErr w:type="gramEnd"/>
      <w:r>
        <w:t xml:space="preserve"> indicates that the OCR is not supported.</w:t>
      </w:r>
      <w:r w:rsidRPr="0048763B">
        <w:t xml:space="preserve"> </w:t>
      </w:r>
      <w:r>
        <w:t xml:space="preserve">Table X1 </w:t>
      </w:r>
      <w:r>
        <w:t>shows the bitmap structure.</w:t>
      </w:r>
    </w:p>
    <w:p w:rsidR="00491D66" w:rsidRPr="00491D66" w:rsidRDefault="00491D66" w:rsidP="00491D66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ind w:left="720" w:hanging="360"/>
        <w:jc w:val="center"/>
        <w:rPr>
          <w:rFonts w:ascii="Arial" w:hAnsi="Arial"/>
          <w:b/>
          <w:sz w:val="20"/>
          <w:lang w:eastAsia="ja-JP"/>
        </w:rPr>
      </w:pPr>
      <w:bookmarkStart w:id="0" w:name="_Ref16239582"/>
      <w:r>
        <w:rPr>
          <w:rFonts w:ascii="Arial" w:hAnsi="Arial"/>
          <w:b/>
          <w:sz w:val="20"/>
          <w:lang w:eastAsia="ja-JP"/>
        </w:rPr>
        <w:t>Table X</w:t>
      </w:r>
      <w:proofErr w:type="gramStart"/>
      <w:r>
        <w:rPr>
          <w:rFonts w:ascii="Arial" w:hAnsi="Arial"/>
          <w:b/>
          <w:sz w:val="20"/>
          <w:lang w:eastAsia="ja-JP"/>
        </w:rPr>
        <w:t>1</w:t>
      </w:r>
      <w:proofErr w:type="gramEnd"/>
      <w:r>
        <w:rPr>
          <w:rFonts w:ascii="Arial" w:hAnsi="Arial"/>
          <w:b/>
          <w:sz w:val="20"/>
          <w:lang w:eastAsia="ja-JP"/>
        </w:rPr>
        <w:t xml:space="preserve"> </w:t>
      </w:r>
      <w:r w:rsidRPr="00491D66">
        <w:rPr>
          <w:rFonts w:ascii="Arial" w:hAnsi="Arial"/>
          <w:b/>
          <w:sz w:val="20"/>
          <w:lang w:eastAsia="ja-JP"/>
        </w:rPr>
        <w:t>Clock rate bitmap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794"/>
        <w:gridCol w:w="797"/>
        <w:gridCol w:w="797"/>
        <w:gridCol w:w="489"/>
        <w:gridCol w:w="279"/>
        <w:gridCol w:w="797"/>
        <w:gridCol w:w="798"/>
        <w:gridCol w:w="802"/>
        <w:gridCol w:w="1100"/>
      </w:tblGrid>
      <w:tr w:rsidR="00491D66" w:rsidRPr="00491D66" w:rsidTr="00632AC7">
        <w:trPr>
          <w:jc w:val="center"/>
        </w:trPr>
        <w:tc>
          <w:tcPr>
            <w:tcW w:w="1462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491D66" w:rsidRPr="00491D66" w:rsidRDefault="00491D66" w:rsidP="00491D66">
            <w:pPr>
              <w:rPr>
                <w:sz w:val="18"/>
                <w:lang w:eastAsia="ja-JP"/>
              </w:rPr>
            </w:pPr>
          </w:p>
        </w:tc>
        <w:tc>
          <w:tcPr>
            <w:tcW w:w="160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1D66" w:rsidRPr="00491D66" w:rsidRDefault="00491D66" w:rsidP="00491D66">
            <w:pPr>
              <w:rPr>
                <w:sz w:val="18"/>
                <w:lang w:eastAsia="ja-JP"/>
              </w:rPr>
            </w:pPr>
            <w:r w:rsidRPr="00491D66">
              <w:rPr>
                <w:sz w:val="18"/>
                <w:lang w:eastAsia="ja-JP"/>
              </w:rPr>
              <w:t>processed</w:t>
            </w:r>
            <w:r w:rsidRPr="00491D66">
              <w:rPr>
                <w:sz w:val="18"/>
                <w:lang w:eastAsia="ja-JP"/>
              </w:rPr>
              <w:br/>
              <w:t>first</w:t>
            </w:r>
          </w:p>
        </w:tc>
        <w:tc>
          <w:tcPr>
            <w:tcW w:w="193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1D66" w:rsidRPr="00491D66" w:rsidRDefault="00491D66" w:rsidP="00491D66">
            <w:pPr>
              <w:jc w:val="right"/>
              <w:rPr>
                <w:sz w:val="18"/>
                <w:lang w:eastAsia="ja-JP"/>
              </w:rPr>
            </w:pPr>
            <w:r w:rsidRPr="00491D66">
              <w:rPr>
                <w:sz w:val="18"/>
                <w:lang w:eastAsia="ja-JP"/>
              </w:rPr>
              <w:t xml:space="preserve">processed </w:t>
            </w:r>
            <w:r w:rsidRPr="00491D66">
              <w:rPr>
                <w:sz w:val="18"/>
                <w:lang w:eastAsia="ja-JP"/>
              </w:rPr>
              <w:br/>
              <w:t xml:space="preserve">last </w:t>
            </w:r>
          </w:p>
        </w:tc>
      </w:tr>
      <w:tr w:rsidR="00491D66" w:rsidRPr="00491D66" w:rsidTr="00632AC7">
        <w:trPr>
          <w:jc w:val="center"/>
        </w:trPr>
        <w:tc>
          <w:tcPr>
            <w:tcW w:w="1462" w:type="pct"/>
            <w:shd w:val="clear" w:color="auto" w:fill="auto"/>
          </w:tcPr>
          <w:p w:rsidR="00491D66" w:rsidRPr="00491D66" w:rsidRDefault="00491D66" w:rsidP="00491D66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491D66">
              <w:rPr>
                <w:b/>
                <w:sz w:val="18"/>
                <w:lang w:eastAsia="ja-JP"/>
              </w:rPr>
              <w:t>Bits in the bitmap:</w:t>
            </w:r>
          </w:p>
        </w:tc>
        <w:tc>
          <w:tcPr>
            <w:tcW w:w="440" w:type="pct"/>
            <w:tcBorders>
              <w:right w:val="nil"/>
            </w:tcBorders>
            <w:shd w:val="clear" w:color="auto" w:fill="auto"/>
          </w:tcPr>
          <w:p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 w:rsidRPr="00491D66">
              <w:rPr>
                <w:sz w:val="18"/>
                <w:lang w:eastAsia="ja-JP"/>
              </w:rPr>
              <w:t>0</w:t>
            </w:r>
          </w:p>
        </w:tc>
        <w:tc>
          <w:tcPr>
            <w:tcW w:w="442" w:type="pct"/>
            <w:tcBorders>
              <w:left w:val="nil"/>
              <w:right w:val="nil"/>
            </w:tcBorders>
            <w:shd w:val="clear" w:color="auto" w:fill="auto"/>
          </w:tcPr>
          <w:p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 w:rsidRPr="00491D66">
              <w:rPr>
                <w:sz w:val="18"/>
                <w:lang w:eastAsia="ja-JP"/>
              </w:rPr>
              <w:t>1</w:t>
            </w:r>
          </w:p>
        </w:tc>
        <w:tc>
          <w:tcPr>
            <w:tcW w:w="442" w:type="pct"/>
            <w:tcBorders>
              <w:left w:val="nil"/>
              <w:right w:val="nil"/>
            </w:tcBorders>
            <w:shd w:val="clear" w:color="auto" w:fill="auto"/>
          </w:tcPr>
          <w:p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 w:rsidRPr="00491D66">
              <w:rPr>
                <w:sz w:val="18"/>
                <w:lang w:eastAsia="ja-JP"/>
              </w:rPr>
              <w:t>2</w:t>
            </w:r>
          </w:p>
        </w:tc>
        <w:tc>
          <w:tcPr>
            <w:tcW w:w="44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 w:rsidRPr="00491D66">
              <w:rPr>
                <w:sz w:val="18"/>
                <w:lang w:eastAsia="ja-JP"/>
              </w:rPr>
              <w:t>3</w:t>
            </w:r>
          </w:p>
        </w:tc>
        <w:tc>
          <w:tcPr>
            <w:tcW w:w="442" w:type="pct"/>
            <w:tcBorders>
              <w:left w:val="nil"/>
              <w:right w:val="nil"/>
            </w:tcBorders>
            <w:shd w:val="clear" w:color="auto" w:fill="auto"/>
          </w:tcPr>
          <w:p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 w:rsidRPr="00491D66">
              <w:rPr>
                <w:sz w:val="18"/>
                <w:lang w:eastAsia="ja-JP"/>
              </w:rPr>
              <w:t>4</w:t>
            </w:r>
          </w:p>
        </w:tc>
        <w:tc>
          <w:tcPr>
            <w:tcW w:w="442" w:type="pct"/>
            <w:tcBorders>
              <w:left w:val="nil"/>
              <w:right w:val="nil"/>
            </w:tcBorders>
            <w:shd w:val="clear" w:color="auto" w:fill="auto"/>
          </w:tcPr>
          <w:p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 w:rsidRPr="00491D66">
              <w:rPr>
                <w:sz w:val="18"/>
                <w:lang w:eastAsia="ja-JP"/>
              </w:rPr>
              <w:t>5</w:t>
            </w:r>
          </w:p>
        </w:tc>
        <w:tc>
          <w:tcPr>
            <w:tcW w:w="444" w:type="pct"/>
            <w:tcBorders>
              <w:left w:val="nil"/>
              <w:right w:val="nil"/>
            </w:tcBorders>
            <w:shd w:val="clear" w:color="auto" w:fill="auto"/>
          </w:tcPr>
          <w:p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 w:rsidRPr="00491D66">
              <w:rPr>
                <w:sz w:val="18"/>
                <w:lang w:eastAsia="ja-JP"/>
              </w:rPr>
              <w:t>6</w:t>
            </w:r>
          </w:p>
        </w:tc>
        <w:tc>
          <w:tcPr>
            <w:tcW w:w="443" w:type="pct"/>
            <w:tcBorders>
              <w:left w:val="nil"/>
              <w:right w:val="nil"/>
            </w:tcBorders>
            <w:shd w:val="clear" w:color="auto" w:fill="auto"/>
          </w:tcPr>
          <w:p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 w:rsidRPr="00491D66">
              <w:rPr>
                <w:sz w:val="18"/>
                <w:lang w:eastAsia="ja-JP"/>
              </w:rPr>
              <w:t>7</w:t>
            </w:r>
          </w:p>
        </w:tc>
      </w:tr>
      <w:tr w:rsidR="00491D66" w:rsidRPr="00491D66" w:rsidTr="00632AC7">
        <w:trPr>
          <w:jc w:val="center"/>
        </w:trPr>
        <w:tc>
          <w:tcPr>
            <w:tcW w:w="1462" w:type="pct"/>
            <w:shd w:val="clear" w:color="auto" w:fill="auto"/>
          </w:tcPr>
          <w:p w:rsidR="00491D66" w:rsidRPr="00491D66" w:rsidRDefault="00491D66" w:rsidP="00491D66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491D66">
              <w:rPr>
                <w:b/>
                <w:sz w:val="18"/>
                <w:lang w:eastAsia="ja-JP"/>
              </w:rPr>
              <w:t>Clock Rate:</w:t>
            </w:r>
          </w:p>
        </w:tc>
        <w:tc>
          <w:tcPr>
            <w:tcW w:w="440" w:type="pct"/>
            <w:shd w:val="clear" w:color="auto" w:fill="auto"/>
          </w:tcPr>
          <w:p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  <w:r w:rsidRPr="00491D66">
              <w:rPr>
                <w:sz w:val="18"/>
                <w:lang w:eastAsia="ja-JP"/>
              </w:rPr>
              <w:t xml:space="preserve"> MHz</w:t>
            </w:r>
          </w:p>
        </w:tc>
        <w:tc>
          <w:tcPr>
            <w:tcW w:w="442" w:type="pct"/>
            <w:shd w:val="clear" w:color="auto" w:fill="auto"/>
          </w:tcPr>
          <w:p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</w:t>
            </w:r>
            <w:r w:rsidRPr="00491D66">
              <w:rPr>
                <w:sz w:val="18"/>
                <w:lang w:eastAsia="ja-JP"/>
              </w:rPr>
              <w:t xml:space="preserve"> MHz</w:t>
            </w:r>
          </w:p>
        </w:tc>
        <w:tc>
          <w:tcPr>
            <w:tcW w:w="442" w:type="pct"/>
            <w:shd w:val="clear" w:color="auto" w:fill="auto"/>
          </w:tcPr>
          <w:p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</w:t>
            </w:r>
            <w:r w:rsidRPr="00491D66">
              <w:rPr>
                <w:sz w:val="18"/>
                <w:lang w:eastAsia="ja-JP"/>
              </w:rPr>
              <w:t xml:space="preserve"> MHz</w:t>
            </w:r>
          </w:p>
        </w:tc>
        <w:tc>
          <w:tcPr>
            <w:tcW w:w="442" w:type="pct"/>
            <w:gridSpan w:val="2"/>
            <w:shd w:val="clear" w:color="auto" w:fill="auto"/>
          </w:tcPr>
          <w:p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8</w:t>
            </w:r>
            <w:r w:rsidRPr="00491D66">
              <w:rPr>
                <w:sz w:val="18"/>
                <w:lang w:eastAsia="ja-JP"/>
              </w:rPr>
              <w:t xml:space="preserve"> MHz</w:t>
            </w:r>
          </w:p>
        </w:tc>
        <w:tc>
          <w:tcPr>
            <w:tcW w:w="442" w:type="pct"/>
            <w:shd w:val="clear" w:color="auto" w:fill="auto"/>
          </w:tcPr>
          <w:p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16</w:t>
            </w:r>
            <w:r w:rsidRPr="00491D66">
              <w:rPr>
                <w:sz w:val="18"/>
                <w:lang w:eastAsia="ja-JP"/>
              </w:rPr>
              <w:t xml:space="preserve"> MHz</w:t>
            </w:r>
          </w:p>
        </w:tc>
        <w:tc>
          <w:tcPr>
            <w:tcW w:w="442" w:type="pct"/>
            <w:shd w:val="clear" w:color="auto" w:fill="auto"/>
          </w:tcPr>
          <w:p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20</w:t>
            </w:r>
            <w:r>
              <w:rPr>
                <w:sz w:val="18"/>
                <w:lang w:eastAsia="ja-JP"/>
              </w:rPr>
              <w:t xml:space="preserve"> MHz</w:t>
            </w:r>
          </w:p>
        </w:tc>
        <w:tc>
          <w:tcPr>
            <w:tcW w:w="444" w:type="pct"/>
            <w:shd w:val="clear" w:color="auto" w:fill="auto"/>
          </w:tcPr>
          <w:p w:rsidR="00491D66" w:rsidRPr="00491D66" w:rsidRDefault="00491D66" w:rsidP="00491D66">
            <w:pPr>
              <w:keepNext/>
              <w:keepLines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25</w:t>
            </w:r>
            <w:r>
              <w:rPr>
                <w:sz w:val="18"/>
                <w:lang w:eastAsia="ja-JP"/>
              </w:rPr>
              <w:t xml:space="preserve"> MHz</w:t>
            </w:r>
          </w:p>
        </w:tc>
        <w:tc>
          <w:tcPr>
            <w:tcW w:w="443" w:type="pct"/>
            <w:shd w:val="clear" w:color="auto" w:fill="auto"/>
          </w:tcPr>
          <w:p w:rsidR="00491D66" w:rsidRPr="00491D66" w:rsidRDefault="00491D66" w:rsidP="00491D66">
            <w:pPr>
              <w:keepNext/>
              <w:keepLines/>
              <w:numPr>
                <w:ilvl w:val="0"/>
                <w:numId w:val="4"/>
              </w:numPr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MHz</w:t>
            </w:r>
          </w:p>
        </w:tc>
      </w:tr>
    </w:tbl>
    <w:p w:rsidR="00491D66" w:rsidRDefault="00491D66" w:rsidP="00A1002F"/>
    <w:p w:rsidR="00491D66" w:rsidRDefault="00632ABB" w:rsidP="00491D66">
      <w:pPr>
        <w:pStyle w:val="IEEEStdsParagraph"/>
      </w:pPr>
      <w:r>
        <w:rPr>
          <w:b/>
        </w:rPr>
        <w:t>MCS</w:t>
      </w:r>
      <w:r w:rsidR="00491D66" w:rsidRPr="00600583">
        <w:rPr>
          <w:b/>
        </w:rPr>
        <w:t>:</w:t>
      </w:r>
      <w:r w:rsidR="00491D66" w:rsidRPr="00532390">
        <w:t xml:space="preserve"> </w:t>
      </w:r>
      <w:r w:rsidR="00491D66">
        <w:t xml:space="preserve">A bitmap indicating a set of </w:t>
      </w:r>
      <w:r>
        <w:t xml:space="preserve">supported MCSs. </w:t>
      </w:r>
      <w:r w:rsidR="00491D66">
        <w:t xml:space="preserve">A </w:t>
      </w:r>
      <w:proofErr w:type="gramStart"/>
      <w:r w:rsidR="00491D66">
        <w:t>1</w:t>
      </w:r>
      <w:proofErr w:type="gramEnd"/>
      <w:r w:rsidR="00491D66">
        <w:t xml:space="preserve"> in the bitmap indicates that the given </w:t>
      </w:r>
      <w:r>
        <w:t>MCS</w:t>
      </w:r>
      <w:r w:rsidR="00491D66">
        <w:t xml:space="preserve"> is supported. A </w:t>
      </w:r>
      <w:proofErr w:type="gramStart"/>
      <w:r w:rsidR="00491D66">
        <w:t>0</w:t>
      </w:r>
      <w:proofErr w:type="gramEnd"/>
      <w:r w:rsidR="00491D66">
        <w:t xml:space="preserve"> indicates that the </w:t>
      </w:r>
      <w:r>
        <w:t>MCS</w:t>
      </w:r>
      <w:r w:rsidR="00491D66">
        <w:t xml:space="preserve"> is not supported. </w:t>
      </w:r>
      <w:r>
        <w:t xml:space="preserve">Table X2 </w:t>
      </w:r>
      <w:r w:rsidR="00491D66">
        <w:t>shows the bitmap structure.</w:t>
      </w:r>
    </w:p>
    <w:p w:rsidR="00491D66" w:rsidRDefault="00491D66" w:rsidP="00491D66">
      <w:pPr>
        <w:pStyle w:val="IEEEStdsRegularTableCaption"/>
        <w:numPr>
          <w:ilvl w:val="0"/>
          <w:numId w:val="0"/>
        </w:numPr>
        <w:ind w:left="720"/>
      </w:pPr>
      <w:r>
        <w:t>Table X</w:t>
      </w:r>
      <w:r w:rsidR="00632ABB">
        <w:t>2</w:t>
      </w:r>
      <w:r>
        <w:t xml:space="preserve"> MCS bitmap</w:t>
      </w: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892"/>
        <w:gridCol w:w="892"/>
        <w:gridCol w:w="892"/>
        <w:gridCol w:w="851"/>
        <w:gridCol w:w="41"/>
        <w:gridCol w:w="892"/>
        <w:gridCol w:w="892"/>
        <w:gridCol w:w="892"/>
        <w:gridCol w:w="894"/>
      </w:tblGrid>
      <w:tr w:rsidR="00491D66" w:rsidTr="00632AC7">
        <w:trPr>
          <w:jc w:val="center"/>
        </w:trPr>
        <w:tc>
          <w:tcPr>
            <w:tcW w:w="117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491D66" w:rsidRPr="0031392D" w:rsidRDefault="00491D66" w:rsidP="00632AC7">
            <w:pPr>
              <w:rPr>
                <w:sz w:val="18"/>
              </w:rPr>
            </w:pPr>
          </w:p>
        </w:tc>
        <w:tc>
          <w:tcPr>
            <w:tcW w:w="18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1D66" w:rsidRPr="0031392D" w:rsidRDefault="00491D66" w:rsidP="00632AC7">
            <w:pPr>
              <w:rPr>
                <w:sz w:val="18"/>
              </w:rPr>
            </w:pPr>
            <w:r w:rsidRPr="0031392D">
              <w:rPr>
                <w:sz w:val="18"/>
              </w:rPr>
              <w:t>processed</w:t>
            </w:r>
            <w:r>
              <w:rPr>
                <w:sz w:val="18"/>
              </w:rPr>
              <w:br/>
            </w:r>
            <w:r w:rsidRPr="0031392D">
              <w:rPr>
                <w:sz w:val="18"/>
              </w:rPr>
              <w:t>first</w:t>
            </w:r>
          </w:p>
        </w:tc>
        <w:tc>
          <w:tcPr>
            <w:tcW w:w="193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1D66" w:rsidRPr="0031392D" w:rsidRDefault="00491D66" w:rsidP="00632AC7">
            <w:pPr>
              <w:jc w:val="right"/>
              <w:rPr>
                <w:sz w:val="18"/>
              </w:rPr>
            </w:pPr>
            <w:r w:rsidRPr="0031392D">
              <w:rPr>
                <w:sz w:val="18"/>
              </w:rPr>
              <w:t>processed</w:t>
            </w:r>
            <w:r>
              <w:rPr>
                <w:sz w:val="18"/>
              </w:rPr>
              <w:br/>
            </w:r>
            <w:r w:rsidRPr="0031392D">
              <w:rPr>
                <w:sz w:val="18"/>
              </w:rPr>
              <w:t xml:space="preserve">last     </w:t>
            </w:r>
          </w:p>
        </w:tc>
      </w:tr>
      <w:tr w:rsidR="00491D66" w:rsidTr="00632AC7">
        <w:trPr>
          <w:jc w:val="center"/>
        </w:trPr>
        <w:tc>
          <w:tcPr>
            <w:tcW w:w="1175" w:type="pct"/>
            <w:shd w:val="clear" w:color="auto" w:fill="auto"/>
          </w:tcPr>
          <w:p w:rsidR="00491D66" w:rsidRPr="00600583" w:rsidRDefault="00491D66" w:rsidP="00632AC7">
            <w:pPr>
              <w:pStyle w:val="IEEEStdsTableColumnHead"/>
            </w:pPr>
            <w:r>
              <w:t>B</w:t>
            </w:r>
            <w:r w:rsidRPr="00600583">
              <w:t>its in the bitmap:</w:t>
            </w:r>
          </w:p>
        </w:tc>
        <w:tc>
          <w:tcPr>
            <w:tcW w:w="478" w:type="pct"/>
            <w:tcBorders>
              <w:right w:val="nil"/>
            </w:tcBorders>
            <w:shd w:val="clear" w:color="auto" w:fill="auto"/>
          </w:tcPr>
          <w:p w:rsidR="00491D66" w:rsidRPr="00600583" w:rsidRDefault="00491D66" w:rsidP="00632AC7">
            <w:pPr>
              <w:pStyle w:val="IEEEStdsTableData-Center"/>
            </w:pPr>
            <w:r>
              <w:t>0</w:t>
            </w:r>
          </w:p>
        </w:tc>
        <w:tc>
          <w:tcPr>
            <w:tcW w:w="478" w:type="pct"/>
            <w:tcBorders>
              <w:left w:val="nil"/>
              <w:right w:val="nil"/>
            </w:tcBorders>
            <w:shd w:val="clear" w:color="auto" w:fill="auto"/>
          </w:tcPr>
          <w:p w:rsidR="00491D66" w:rsidRPr="00600583" w:rsidRDefault="00491D66" w:rsidP="00632AC7">
            <w:pPr>
              <w:pStyle w:val="IEEEStdsTableData-Center"/>
            </w:pPr>
            <w:r>
              <w:t>1</w:t>
            </w:r>
          </w:p>
        </w:tc>
        <w:tc>
          <w:tcPr>
            <w:tcW w:w="478" w:type="pct"/>
            <w:tcBorders>
              <w:left w:val="nil"/>
              <w:right w:val="nil"/>
            </w:tcBorders>
            <w:shd w:val="clear" w:color="auto" w:fill="auto"/>
          </w:tcPr>
          <w:p w:rsidR="00491D66" w:rsidRPr="00600583" w:rsidRDefault="00491D66" w:rsidP="00632AC7">
            <w:pPr>
              <w:pStyle w:val="IEEEStdsTableData-Center"/>
            </w:pPr>
            <w:r>
              <w:t>2</w:t>
            </w:r>
          </w:p>
        </w:tc>
        <w:tc>
          <w:tcPr>
            <w:tcW w:w="47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491D66" w:rsidRPr="00600583" w:rsidRDefault="00491D66" w:rsidP="00632AC7">
            <w:pPr>
              <w:pStyle w:val="IEEEStdsTableData-Center"/>
            </w:pPr>
            <w:r>
              <w:t>3</w:t>
            </w:r>
          </w:p>
        </w:tc>
        <w:tc>
          <w:tcPr>
            <w:tcW w:w="478" w:type="pct"/>
            <w:tcBorders>
              <w:left w:val="nil"/>
              <w:right w:val="nil"/>
            </w:tcBorders>
            <w:shd w:val="clear" w:color="auto" w:fill="auto"/>
          </w:tcPr>
          <w:p w:rsidR="00491D66" w:rsidRPr="00600583" w:rsidRDefault="00491D66" w:rsidP="00632AC7">
            <w:pPr>
              <w:pStyle w:val="IEEEStdsTableData-Center"/>
            </w:pPr>
            <w:r>
              <w:t>4</w:t>
            </w:r>
          </w:p>
        </w:tc>
        <w:tc>
          <w:tcPr>
            <w:tcW w:w="478" w:type="pct"/>
            <w:tcBorders>
              <w:left w:val="nil"/>
              <w:right w:val="nil"/>
            </w:tcBorders>
            <w:shd w:val="clear" w:color="auto" w:fill="auto"/>
          </w:tcPr>
          <w:p w:rsidR="00491D66" w:rsidRPr="00600583" w:rsidRDefault="00491D66" w:rsidP="00632AC7">
            <w:pPr>
              <w:pStyle w:val="IEEEStdsTableData-Center"/>
            </w:pPr>
            <w:r>
              <w:t>5</w:t>
            </w:r>
          </w:p>
        </w:tc>
        <w:tc>
          <w:tcPr>
            <w:tcW w:w="478" w:type="pct"/>
            <w:tcBorders>
              <w:left w:val="nil"/>
              <w:right w:val="nil"/>
            </w:tcBorders>
            <w:shd w:val="clear" w:color="auto" w:fill="auto"/>
          </w:tcPr>
          <w:p w:rsidR="00491D66" w:rsidRPr="00600583" w:rsidRDefault="00491D66" w:rsidP="00632AC7">
            <w:pPr>
              <w:pStyle w:val="IEEEStdsTableData-Center"/>
            </w:pPr>
            <w:r>
              <w:t>6</w:t>
            </w:r>
          </w:p>
        </w:tc>
        <w:tc>
          <w:tcPr>
            <w:tcW w:w="478" w:type="pct"/>
            <w:tcBorders>
              <w:left w:val="nil"/>
              <w:right w:val="nil"/>
            </w:tcBorders>
            <w:shd w:val="clear" w:color="auto" w:fill="auto"/>
          </w:tcPr>
          <w:p w:rsidR="00491D66" w:rsidRPr="00600583" w:rsidRDefault="00491D66" w:rsidP="00632AC7">
            <w:pPr>
              <w:pStyle w:val="IEEEStdsTableData-Center"/>
            </w:pPr>
            <w:r>
              <w:t>7</w:t>
            </w:r>
          </w:p>
        </w:tc>
      </w:tr>
      <w:tr w:rsidR="00491D66" w:rsidTr="00632AC7">
        <w:trPr>
          <w:jc w:val="center"/>
        </w:trPr>
        <w:tc>
          <w:tcPr>
            <w:tcW w:w="1175" w:type="pct"/>
            <w:shd w:val="clear" w:color="auto" w:fill="auto"/>
          </w:tcPr>
          <w:p w:rsidR="00491D66" w:rsidRPr="00600583" w:rsidRDefault="00491D66" w:rsidP="00491D66">
            <w:pPr>
              <w:pStyle w:val="IEEEStdsTableColumnHead"/>
            </w:pPr>
            <w:r>
              <w:t>MCS</w:t>
            </w:r>
            <w:r w:rsidRPr="00600583">
              <w:t>:</w:t>
            </w:r>
          </w:p>
        </w:tc>
        <w:tc>
          <w:tcPr>
            <w:tcW w:w="478" w:type="pct"/>
            <w:shd w:val="clear" w:color="auto" w:fill="auto"/>
          </w:tcPr>
          <w:p w:rsidR="00491D66" w:rsidRPr="00600583" w:rsidRDefault="00491D66" w:rsidP="00632AC7">
            <w:pPr>
              <w:pStyle w:val="IEEEStdsTableData-Center"/>
            </w:pPr>
            <w:r>
              <w:t>0</w:t>
            </w:r>
          </w:p>
        </w:tc>
        <w:tc>
          <w:tcPr>
            <w:tcW w:w="478" w:type="pct"/>
            <w:shd w:val="clear" w:color="auto" w:fill="auto"/>
          </w:tcPr>
          <w:p w:rsidR="00491D66" w:rsidRPr="00600583" w:rsidRDefault="00491D66" w:rsidP="00632AC7">
            <w:pPr>
              <w:pStyle w:val="IEEEStdsTableData-Center"/>
            </w:pPr>
            <w:r>
              <w:t>1</w:t>
            </w:r>
          </w:p>
        </w:tc>
        <w:tc>
          <w:tcPr>
            <w:tcW w:w="478" w:type="pct"/>
            <w:shd w:val="clear" w:color="auto" w:fill="auto"/>
          </w:tcPr>
          <w:p w:rsidR="00491D66" w:rsidRPr="00600583" w:rsidRDefault="00491D66" w:rsidP="00632AC7">
            <w:pPr>
              <w:pStyle w:val="IEEEStdsTableData-Center"/>
            </w:pPr>
            <w:r>
              <w:t>2</w:t>
            </w:r>
          </w:p>
        </w:tc>
        <w:tc>
          <w:tcPr>
            <w:tcW w:w="478" w:type="pct"/>
            <w:gridSpan w:val="2"/>
            <w:shd w:val="clear" w:color="auto" w:fill="auto"/>
          </w:tcPr>
          <w:p w:rsidR="00491D66" w:rsidRPr="00600583" w:rsidRDefault="00491D66" w:rsidP="00632AC7">
            <w:pPr>
              <w:pStyle w:val="IEEEStdsTableData-Center"/>
            </w:pPr>
            <w:r>
              <w:t>3</w:t>
            </w:r>
          </w:p>
        </w:tc>
        <w:tc>
          <w:tcPr>
            <w:tcW w:w="478" w:type="pct"/>
            <w:shd w:val="clear" w:color="auto" w:fill="auto"/>
          </w:tcPr>
          <w:p w:rsidR="00491D66" w:rsidRPr="001707D8" w:rsidRDefault="00491D66" w:rsidP="00632AC7">
            <w:pPr>
              <w:pStyle w:val="IEEEStdsTableData-Center"/>
            </w:pPr>
            <w:r>
              <w:t>4</w:t>
            </w:r>
          </w:p>
        </w:tc>
        <w:tc>
          <w:tcPr>
            <w:tcW w:w="478" w:type="pct"/>
            <w:shd w:val="clear" w:color="auto" w:fill="auto"/>
          </w:tcPr>
          <w:p w:rsidR="00491D66" w:rsidRPr="001707D8" w:rsidRDefault="00491D66" w:rsidP="00632AC7">
            <w:pPr>
              <w:pStyle w:val="IEEEStdsTableData-Center"/>
            </w:pPr>
            <w:r>
              <w:t>5</w:t>
            </w:r>
          </w:p>
        </w:tc>
        <w:tc>
          <w:tcPr>
            <w:tcW w:w="478" w:type="pct"/>
            <w:shd w:val="clear" w:color="auto" w:fill="auto"/>
          </w:tcPr>
          <w:p w:rsidR="00491D66" w:rsidRPr="001707D8" w:rsidRDefault="00491D66" w:rsidP="00632AC7">
            <w:pPr>
              <w:pStyle w:val="IEEEStdsTableData-Center"/>
            </w:pPr>
            <w:r>
              <w:t>6</w:t>
            </w:r>
          </w:p>
        </w:tc>
        <w:tc>
          <w:tcPr>
            <w:tcW w:w="478" w:type="pct"/>
            <w:shd w:val="clear" w:color="auto" w:fill="auto"/>
          </w:tcPr>
          <w:p w:rsidR="00491D66" w:rsidRPr="001707D8" w:rsidRDefault="00491D66" w:rsidP="00632AC7">
            <w:pPr>
              <w:pStyle w:val="IEEEStdsTableData-Center"/>
            </w:pPr>
            <w:r>
              <w:t>7</w:t>
            </w:r>
          </w:p>
        </w:tc>
      </w:tr>
    </w:tbl>
    <w:p w:rsidR="00A1002F" w:rsidRDefault="00A1002F" w:rsidP="00595FB4">
      <w:pPr>
        <w:rPr>
          <w:rFonts w:ascii="Calibri" w:hAnsi="Calibri" w:cs="Calibri"/>
          <w:color w:val="000000"/>
        </w:rPr>
      </w:pPr>
    </w:p>
    <w:p w:rsidR="008E2AAC" w:rsidRDefault="008E2AAC" w:rsidP="00595FB4">
      <w:pPr>
        <w:rPr>
          <w:rFonts w:ascii="Calibri" w:hAnsi="Calibri" w:cs="Calibri"/>
          <w:color w:val="000000"/>
        </w:rPr>
      </w:pPr>
    </w:p>
    <w:p w:rsidR="008E2AAC" w:rsidRDefault="008E2AAC" w:rsidP="008E2AAC">
      <w:pPr>
        <w:pStyle w:val="berschrift1"/>
      </w:pPr>
      <w:r>
        <w:t>CID 622</w:t>
      </w:r>
      <w:r>
        <w:t>:</w:t>
      </w:r>
    </w:p>
    <w:p w:rsidR="008E2AAC" w:rsidRDefault="008E2AAC" w:rsidP="008E2AAC"/>
    <w:p w:rsidR="008E2AAC" w:rsidRDefault="008E2AAC" w:rsidP="008E2AAC">
      <w:pPr>
        <w:rPr>
          <w:i/>
        </w:rPr>
      </w:pPr>
      <w:r w:rsidRPr="008E2AAC">
        <w:rPr>
          <w:i/>
        </w:rPr>
        <w:t>Delete the text P68L3-11</w:t>
      </w:r>
    </w:p>
    <w:p w:rsidR="008E2AAC" w:rsidRDefault="008E2AAC" w:rsidP="008E2AAC">
      <w:pPr>
        <w:rPr>
          <w:i/>
        </w:rPr>
      </w:pPr>
    </w:p>
    <w:p w:rsidR="008E2AAC" w:rsidRDefault="008E2AAC" w:rsidP="008E2AAC">
      <w:pPr>
        <w:rPr>
          <w:i/>
        </w:rPr>
      </w:pPr>
      <w:r>
        <w:rPr>
          <w:i/>
        </w:rPr>
        <w:t>Change figure 64 as follows:</w:t>
      </w:r>
    </w:p>
    <w:p w:rsidR="008E2AAC" w:rsidRDefault="008E2AAC" w:rsidP="008E2AAC">
      <w:pPr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826"/>
        <w:gridCol w:w="1076"/>
        <w:gridCol w:w="876"/>
        <w:gridCol w:w="867"/>
      </w:tblGrid>
      <w:tr w:rsidR="008E2AAC" w:rsidRPr="00600583" w:rsidTr="00632AC7">
        <w:trPr>
          <w:trHeight w:val="28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E2AAC" w:rsidRPr="00600583" w:rsidRDefault="008E2AAC" w:rsidP="00632AC7">
            <w:pPr>
              <w:pStyle w:val="IEEEStdsTableColumnHead"/>
            </w:pPr>
            <w:r w:rsidRPr="00600583">
              <w:t>8 octets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2AAC" w:rsidRPr="00D46792" w:rsidRDefault="008E2AAC" w:rsidP="00632AC7">
            <w:pPr>
              <w:pStyle w:val="IEEEStdsTableColumnHead"/>
            </w:pPr>
            <w:r w:rsidRPr="00D46792">
              <w:t>2 octets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2AAC" w:rsidRPr="00BC14A6" w:rsidRDefault="008E2AAC" w:rsidP="00632AC7">
            <w:pPr>
              <w:pStyle w:val="IEEEStdsTableColumnHead"/>
            </w:pPr>
            <w:r w:rsidRPr="00BC14A6">
              <w:t>2 octets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2AAC" w:rsidRPr="00600583" w:rsidRDefault="008E2AAC" w:rsidP="00632AC7">
            <w:pPr>
              <w:pStyle w:val="IEEEStdsTableColumnHead"/>
            </w:pPr>
            <w:r w:rsidRPr="00600583">
              <w:t>6</w:t>
            </w:r>
            <w:r>
              <w:t xml:space="preserve"> octets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2AAC" w:rsidRPr="00600583" w:rsidRDefault="008E2AAC" w:rsidP="00632AC7">
            <w:pPr>
              <w:pStyle w:val="IEEEStdsTableColumnHead"/>
            </w:pPr>
            <w:r>
              <w:t>2 octets</w:t>
            </w:r>
          </w:p>
        </w:tc>
      </w:tr>
      <w:tr w:rsidR="008E2AAC" w:rsidRPr="00600583" w:rsidTr="00632AC7">
        <w:trPr>
          <w:trHeight w:val="8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E2AAC" w:rsidRPr="00600583" w:rsidRDefault="008E2AAC" w:rsidP="00632AC7">
            <w:pPr>
              <w:pStyle w:val="IEEEStdsTableData-Center"/>
            </w:pPr>
            <w:r w:rsidRPr="00600583">
              <w:t>Timestamp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2AAC" w:rsidRPr="00D46792" w:rsidRDefault="008E2AAC" w:rsidP="00632AC7">
            <w:pPr>
              <w:pStyle w:val="IEEEStdsTableData-Center"/>
            </w:pPr>
            <w:r w:rsidRPr="00D46792">
              <w:t>Random</w:t>
            </w:r>
          </w:p>
          <w:p w:rsidR="008E2AAC" w:rsidRPr="00D46792" w:rsidRDefault="008E2AAC" w:rsidP="00632AC7">
            <w:pPr>
              <w:pStyle w:val="IEEEStdsTableData-Center"/>
            </w:pPr>
            <w:r w:rsidRPr="00D46792">
              <w:t>Access</w:t>
            </w:r>
          </w:p>
          <w:p w:rsidR="008E2AAC" w:rsidRPr="00D46792" w:rsidRDefault="008E2AAC" w:rsidP="00632AC7">
            <w:pPr>
              <w:pStyle w:val="IEEEStdsTableData-Center"/>
            </w:pPr>
            <w:r w:rsidRPr="00D46792">
              <w:t>Interval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2AAC" w:rsidRPr="00BC14A6" w:rsidRDefault="008E2AAC" w:rsidP="00632AC7">
            <w:pPr>
              <w:pStyle w:val="IEEEStdsTableData-Center"/>
            </w:pPr>
            <w:r w:rsidRPr="00BC14A6">
              <w:t>Capability</w:t>
            </w:r>
          </w:p>
          <w:p w:rsidR="008E2AAC" w:rsidRPr="00BC14A6" w:rsidRDefault="008E2AAC" w:rsidP="00632AC7">
            <w:pPr>
              <w:pStyle w:val="IEEEStdsTableData-Center"/>
            </w:pPr>
            <w:r w:rsidRPr="00BC14A6">
              <w:t>Information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2AAC" w:rsidRPr="00600583" w:rsidRDefault="008E2AAC" w:rsidP="00632AC7">
            <w:pPr>
              <w:pStyle w:val="IEEEStdsTableData-Center"/>
            </w:pPr>
            <w:r w:rsidRPr="00600583">
              <w:t>OWP</w:t>
            </w:r>
            <w:bookmarkStart w:id="1" w:name="_GoBack"/>
            <w:bookmarkEnd w:id="1"/>
            <w:r w:rsidRPr="00600583">
              <w:t>AN</w:t>
            </w:r>
          </w:p>
          <w:p w:rsidR="008E2AAC" w:rsidRPr="00600583" w:rsidRDefault="008E2AAC" w:rsidP="00632AC7">
            <w:pPr>
              <w:pStyle w:val="IEEEStdsTableData-Center"/>
            </w:pPr>
            <w:r w:rsidRPr="00600583">
              <w:t>ID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2AAC" w:rsidRPr="00600583" w:rsidRDefault="008E2AAC" w:rsidP="008E2AAC">
            <w:pPr>
              <w:pStyle w:val="IEEEStdsTableData-Center"/>
            </w:pPr>
            <w:r w:rsidRPr="008E2AAC">
              <w:t>LB-PHY</w:t>
            </w:r>
            <w:r>
              <w:br/>
            </w:r>
            <w:r w:rsidRPr="008E2AAC">
              <w:t>MCS</w:t>
            </w:r>
            <w:r>
              <w:br/>
            </w:r>
            <w:r w:rsidRPr="008E2AAC">
              <w:t>element</w:t>
            </w:r>
          </w:p>
        </w:tc>
      </w:tr>
    </w:tbl>
    <w:p w:rsidR="008E2AAC" w:rsidRPr="008E2AAC" w:rsidRDefault="008E2AAC" w:rsidP="008E2AAC">
      <w:pPr>
        <w:pStyle w:val="IEEEStdsRegularFigureCaption"/>
        <w:numPr>
          <w:ilvl w:val="0"/>
          <w:numId w:val="0"/>
        </w:numPr>
        <w:ind w:left="720"/>
        <w:rPr>
          <w:lang w:val="de-DE"/>
        </w:rPr>
      </w:pPr>
      <w:r>
        <w:t>Figure X</w:t>
      </w:r>
      <w:r>
        <w:t xml:space="preserve"> Random Access element</w:t>
      </w:r>
    </w:p>
    <w:p w:rsidR="008E2AAC" w:rsidRDefault="008E2AAC" w:rsidP="008E2AAC">
      <w:pPr>
        <w:rPr>
          <w:i/>
        </w:rPr>
      </w:pPr>
      <w:r>
        <w:rPr>
          <w:i/>
        </w:rPr>
        <w:t>Replace P68L22-25 with the following text</w:t>
      </w:r>
      <w:r>
        <w:rPr>
          <w:i/>
        </w:rPr>
        <w:t>:</w:t>
      </w:r>
    </w:p>
    <w:p w:rsidR="008E2AAC" w:rsidRDefault="008E2AAC" w:rsidP="008E2AAC">
      <w:pPr>
        <w:rPr>
          <w:i/>
        </w:rPr>
      </w:pPr>
    </w:p>
    <w:p w:rsidR="008E2AAC" w:rsidRDefault="008E2AAC" w:rsidP="008E2AAC">
      <w:r w:rsidRPr="008E2AAC">
        <w:rPr>
          <w:b/>
        </w:rPr>
        <w:t>LB-PHY</w:t>
      </w:r>
      <w:r w:rsidRPr="008E2AAC">
        <w:rPr>
          <w:b/>
        </w:rPr>
        <w:t xml:space="preserve"> </w:t>
      </w:r>
      <w:r w:rsidRPr="008E2AAC">
        <w:rPr>
          <w:b/>
        </w:rPr>
        <w:t>MCS</w:t>
      </w:r>
      <w:r w:rsidRPr="008E2AAC">
        <w:rPr>
          <w:b/>
        </w:rPr>
        <w:t xml:space="preserve"> </w:t>
      </w:r>
      <w:r w:rsidRPr="008E2AAC">
        <w:rPr>
          <w:b/>
        </w:rPr>
        <w:t>element</w:t>
      </w:r>
      <w:r>
        <w:rPr>
          <w:b/>
        </w:rPr>
        <w:t xml:space="preserve">: </w:t>
      </w:r>
      <w:r w:rsidR="006354AF">
        <w:t>The LB-PHY MCS element, defined in XXX, containing the supported clock rates and MCS.</w:t>
      </w:r>
    </w:p>
    <w:p w:rsidR="00BD1E78" w:rsidRDefault="00BD1E78" w:rsidP="008E2AAC"/>
    <w:p w:rsidR="00BD1E78" w:rsidRDefault="00BD1E78" w:rsidP="00BD1E78">
      <w:pPr>
        <w:pStyle w:val="berschrift1"/>
      </w:pPr>
      <w:r>
        <w:t>CID 668</w:t>
      </w:r>
      <w:r>
        <w:t>:</w:t>
      </w:r>
    </w:p>
    <w:p w:rsidR="00BD1E78" w:rsidRDefault="00BD1E78" w:rsidP="00BD1E78">
      <w:pPr>
        <w:rPr>
          <w:rFonts w:ascii="Calibri" w:hAnsi="Calibri" w:cs="Calibri"/>
          <w:color w:val="000000"/>
        </w:rPr>
      </w:pPr>
    </w:p>
    <w:p w:rsidR="00BD1E78" w:rsidRDefault="00BD1E78" w:rsidP="00BD1E78">
      <w:pPr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>Insert the following text after</w:t>
      </w:r>
      <w:r w:rsidRPr="00BD1E78">
        <w:rPr>
          <w:rFonts w:ascii="Calibri" w:hAnsi="Calibri" w:cs="Calibri"/>
          <w:i/>
          <w:color w:val="000000"/>
        </w:rPr>
        <w:t xml:space="preserve"> P33L</w:t>
      </w:r>
      <w:r>
        <w:rPr>
          <w:rFonts w:ascii="Calibri" w:hAnsi="Calibri" w:cs="Calibri"/>
          <w:i/>
          <w:color w:val="000000"/>
        </w:rPr>
        <w:t xml:space="preserve">6: </w:t>
      </w:r>
    </w:p>
    <w:p w:rsidR="00BD1E78" w:rsidRDefault="00BD1E78" w:rsidP="00BD1E78">
      <w:pPr>
        <w:rPr>
          <w:rFonts w:ascii="Calibri" w:hAnsi="Calibri" w:cs="Calibri"/>
          <w:color w:val="000000"/>
        </w:rPr>
      </w:pPr>
    </w:p>
    <w:p w:rsidR="00BD1E78" w:rsidRDefault="00BD1E78" w:rsidP="00BD1E7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If the ACK bit in the frame control field is set, then following ACK and retransmission procedure is applied</w:t>
      </w:r>
      <w:r>
        <w:rPr>
          <w:rFonts w:ascii="Calibri" w:hAnsi="Calibri" w:cs="Calibri"/>
          <w:color w:val="000000"/>
        </w:rPr>
        <w:t xml:space="preserve">. </w:t>
      </w:r>
    </w:p>
    <w:p w:rsidR="00BD1E78" w:rsidRDefault="00BD1E78" w:rsidP="00BD1E78">
      <w:pPr>
        <w:rPr>
          <w:rFonts w:ascii="Calibri" w:hAnsi="Calibri" w:cs="Calibri"/>
          <w:color w:val="000000"/>
        </w:rPr>
      </w:pPr>
    </w:p>
    <w:p w:rsidR="00BD1E78" w:rsidRPr="00BD1E78" w:rsidRDefault="00BD1E78" w:rsidP="00BD1E78">
      <w:pPr>
        <w:pStyle w:val="Default"/>
        <w:rPr>
          <w:sz w:val="18"/>
          <w:szCs w:val="18"/>
        </w:rPr>
      </w:pPr>
      <w:r w:rsidRPr="00BD1E78">
        <w:rPr>
          <w:rFonts w:ascii="Calibri" w:hAnsi="Calibri" w:cs="Calibri"/>
          <w:i/>
        </w:rPr>
        <w:t xml:space="preserve">In P33L11, </w:t>
      </w:r>
      <w:proofErr w:type="spellStart"/>
      <w:r w:rsidRPr="00BD1E78">
        <w:rPr>
          <w:rFonts w:ascii="Calibri" w:hAnsi="Calibri" w:cs="Calibri"/>
          <w:i/>
        </w:rPr>
        <w:t>replace</w:t>
      </w:r>
      <w:proofErr w:type="spellEnd"/>
      <w:r>
        <w:rPr>
          <w:rFonts w:ascii="Calibri" w:hAnsi="Calibri" w:cs="Calibri"/>
        </w:rPr>
        <w:t xml:space="preserve"> „</w:t>
      </w:r>
      <w:r>
        <w:rPr>
          <w:rFonts w:ascii="Calibri" w:hAnsi="Calibri" w:cs="Calibri"/>
        </w:rPr>
        <w:t>4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by</w:t>
      </w:r>
      <w:proofErr w:type="spellEnd"/>
      <w:r>
        <w:rPr>
          <w:rFonts w:ascii="Calibri" w:hAnsi="Calibri" w:cs="Calibri"/>
        </w:rPr>
        <w:t xml:space="preserve"> </w:t>
      </w:r>
      <w:r w:rsidRPr="00BD1E78">
        <w:rPr>
          <w:rFonts w:ascii="Calibri" w:hAnsi="Calibri" w:cs="Calibri"/>
          <w:i/>
        </w:rPr>
        <w:t>macMaxFrameRetries</w:t>
      </w:r>
      <w:r w:rsidRPr="00BD1E78">
        <w:rPr>
          <w:i/>
          <w:iCs/>
          <w:sz w:val="18"/>
          <w:szCs w:val="18"/>
        </w:rPr>
        <w:t xml:space="preserve"> </w:t>
      </w:r>
    </w:p>
    <w:p w:rsidR="00BD1E78" w:rsidRDefault="00BD1E78" w:rsidP="00BD1E78">
      <w:pPr>
        <w:rPr>
          <w:rFonts w:ascii="Calibri" w:hAnsi="Calibri" w:cs="Calibri"/>
          <w:color w:val="000000"/>
        </w:rPr>
      </w:pPr>
    </w:p>
    <w:p w:rsidR="00BD1E78" w:rsidRDefault="00BD1E78" w:rsidP="00BD1E78">
      <w:pPr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>Insert the following text after</w:t>
      </w:r>
      <w:r w:rsidRPr="00BD1E78">
        <w:rPr>
          <w:rFonts w:ascii="Calibri" w:hAnsi="Calibri" w:cs="Calibri"/>
          <w:i/>
          <w:color w:val="000000"/>
        </w:rPr>
        <w:t xml:space="preserve"> P33L</w:t>
      </w:r>
      <w:r>
        <w:rPr>
          <w:rFonts w:ascii="Calibri" w:hAnsi="Calibri" w:cs="Calibri"/>
          <w:i/>
          <w:color w:val="000000"/>
        </w:rPr>
        <w:t>12</w:t>
      </w:r>
      <w:r>
        <w:rPr>
          <w:rFonts w:ascii="Calibri" w:hAnsi="Calibri" w:cs="Calibri"/>
          <w:i/>
          <w:color w:val="000000"/>
        </w:rPr>
        <w:t xml:space="preserve">: </w:t>
      </w:r>
    </w:p>
    <w:p w:rsidR="00BD1E78" w:rsidRDefault="00BD1E78" w:rsidP="00BD1E78">
      <w:pPr>
        <w:rPr>
          <w:rFonts w:ascii="Calibri" w:hAnsi="Calibri" w:cs="Calibri"/>
          <w:color w:val="000000"/>
        </w:rPr>
      </w:pPr>
    </w:p>
    <w:p w:rsidR="00BD1E78" w:rsidRDefault="00BD1E78" w:rsidP="008E2AA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If the ACK bit is not set, the packet is transmitted only one time and the absence of an ACK is ignored. </w:t>
      </w:r>
    </w:p>
    <w:p w:rsidR="00BD1E78" w:rsidRDefault="00BD1E78" w:rsidP="008E2AAC">
      <w:pPr>
        <w:rPr>
          <w:rFonts w:ascii="Calibri" w:hAnsi="Calibri" w:cs="Calibri"/>
          <w:color w:val="000000"/>
        </w:rPr>
      </w:pPr>
    </w:p>
    <w:p w:rsidR="00BD1E78" w:rsidRPr="00BD1E78" w:rsidRDefault="00BD1E78" w:rsidP="00BD1E78">
      <w:pPr>
        <w:rPr>
          <w:i/>
        </w:rPr>
      </w:pPr>
      <w:r w:rsidRPr="00BD1E78">
        <w:rPr>
          <w:i/>
        </w:rPr>
        <w:t>Change text in P106L12-13 as follows:</w:t>
      </w:r>
    </w:p>
    <w:p w:rsidR="00BD1E78" w:rsidRDefault="00BD1E78" w:rsidP="00BD1E78"/>
    <w:p w:rsidR="00BD1E78" w:rsidRDefault="00BD1E78" w:rsidP="00BD1E78">
      <w:r>
        <w:t>The s</w:t>
      </w:r>
      <w:r>
        <w:t>e</w:t>
      </w:r>
      <w:r>
        <w:t>quence number field contains the 12-bit sequence number associated with the MPDU in the payload. Hence, it is equal to the Sequence Number field of the MPDU's Sequence Control field.</w:t>
      </w:r>
    </w:p>
    <w:p w:rsidR="002208CA" w:rsidRDefault="002208CA" w:rsidP="00BD1E78"/>
    <w:p w:rsidR="002208CA" w:rsidRDefault="002208CA" w:rsidP="002208CA">
      <w:pPr>
        <w:pStyle w:val="berschrift1"/>
      </w:pPr>
      <w:r>
        <w:t>CID 728</w:t>
      </w:r>
      <w:r>
        <w:t>:</w:t>
      </w:r>
    </w:p>
    <w:p w:rsidR="002208CA" w:rsidRDefault="002208CA" w:rsidP="002208CA"/>
    <w:p w:rsidR="002208CA" w:rsidRDefault="002208CA" w:rsidP="002208C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Remove </w:t>
      </w:r>
      <w:proofErr w:type="gramStart"/>
      <w:r>
        <w:rPr>
          <w:rFonts w:ascii="Calibri" w:hAnsi="Calibri" w:cs="Calibri"/>
          <w:color w:val="000000"/>
        </w:rPr>
        <w:t>bitloading</w:t>
      </w:r>
      <w:r>
        <w:rPr>
          <w:rFonts w:ascii="Calibri" w:hAnsi="Calibri" w:cs="Calibri"/>
          <w:color w:val="000000"/>
        </w:rPr>
        <w:t xml:space="preserve"> </w:t>
      </w:r>
      <w:r w:rsidR="009961C6">
        <w:rPr>
          <w:rFonts w:ascii="Calibri" w:hAnsi="Calibri" w:cs="Calibri"/>
          <w:color w:val="000000"/>
        </w:rPr>
        <w:t xml:space="preserve"> …</w:t>
      </w:r>
      <w:proofErr w:type="gramEnd"/>
    </w:p>
    <w:p w:rsidR="002208CA" w:rsidRDefault="002208CA" w:rsidP="002208CA">
      <w:pPr>
        <w:rPr>
          <w:rFonts w:ascii="Calibri" w:hAnsi="Calibri" w:cs="Calibri"/>
          <w:color w:val="000000"/>
        </w:rPr>
      </w:pPr>
    </w:p>
    <w:p w:rsidR="002208CA" w:rsidRDefault="002208CA" w:rsidP="002208CA">
      <w:pPr>
        <w:pStyle w:val="berschrift1"/>
      </w:pPr>
      <w:r>
        <w:t>CID 731</w:t>
      </w:r>
      <w:r>
        <w:t>:</w:t>
      </w:r>
    </w:p>
    <w:p w:rsidR="002208CA" w:rsidRDefault="002208CA" w:rsidP="002208CA"/>
    <w:p w:rsidR="002208CA" w:rsidRPr="002208CA" w:rsidRDefault="002208CA" w:rsidP="002208CA">
      <w:pPr>
        <w:rPr>
          <w:rFonts w:ascii="Calibri" w:hAnsi="Calibri" w:cs="Calibri"/>
          <w:i/>
          <w:color w:val="000000"/>
        </w:rPr>
      </w:pPr>
      <w:r w:rsidRPr="002208CA">
        <w:rPr>
          <w:rFonts w:ascii="Calibri" w:hAnsi="Calibri" w:cs="Calibri"/>
          <w:i/>
          <w:color w:val="000000"/>
        </w:rPr>
        <w:t xml:space="preserve">Replace </w:t>
      </w:r>
      <w:r w:rsidRPr="002208CA">
        <w:rPr>
          <w:rFonts w:ascii="Calibri" w:hAnsi="Calibri" w:cs="Calibri"/>
          <w:i/>
          <w:color w:val="000000"/>
        </w:rPr>
        <w:t xml:space="preserve">P112L18 </w:t>
      </w:r>
      <w:r w:rsidRPr="002208CA">
        <w:rPr>
          <w:rFonts w:ascii="Calibri" w:hAnsi="Calibri" w:cs="Calibri"/>
          <w:i/>
          <w:color w:val="000000"/>
        </w:rPr>
        <w:t xml:space="preserve">“The information… </w:t>
      </w:r>
      <w:proofErr w:type="gramStart"/>
      <w:r w:rsidRPr="002208CA">
        <w:rPr>
          <w:rFonts w:ascii="Calibri" w:hAnsi="Calibri" w:cs="Calibri"/>
          <w:i/>
          <w:color w:val="000000"/>
        </w:rPr>
        <w:t>“ to</w:t>
      </w:r>
      <w:proofErr w:type="gramEnd"/>
      <w:r w:rsidRPr="002208CA">
        <w:rPr>
          <w:rFonts w:ascii="Calibri" w:hAnsi="Calibri" w:cs="Calibri"/>
          <w:i/>
          <w:color w:val="000000"/>
        </w:rPr>
        <w:t xml:space="preserve">  </w:t>
      </w:r>
      <w:r w:rsidRPr="002208CA">
        <w:rPr>
          <w:rFonts w:ascii="Calibri" w:hAnsi="Calibri" w:cs="Calibri"/>
          <w:i/>
          <w:color w:val="000000"/>
        </w:rPr>
        <w:t xml:space="preserve">P112L23 </w:t>
      </w:r>
      <w:r w:rsidRPr="002208CA">
        <w:rPr>
          <w:rFonts w:ascii="Calibri" w:hAnsi="Calibri" w:cs="Calibri"/>
          <w:i/>
          <w:color w:val="000000"/>
        </w:rPr>
        <w:t>“… light interference” with the following text:</w:t>
      </w:r>
    </w:p>
    <w:p w:rsidR="002208CA" w:rsidRDefault="002208CA" w:rsidP="002208CA">
      <w:pPr>
        <w:rPr>
          <w:rFonts w:ascii="Calibri" w:hAnsi="Calibri" w:cs="Calibri"/>
          <w:color w:val="000000"/>
        </w:rPr>
      </w:pPr>
    </w:p>
    <w:p w:rsidR="002208CA" w:rsidRDefault="002208CA" w:rsidP="002208CA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Subcarriers with negative indices -28 to -3 are loaded with 24 data symbols and </w:t>
      </w:r>
      <w:proofErr w:type="gramStart"/>
      <w:r>
        <w:rPr>
          <w:rFonts w:ascii="Calibri" w:hAnsi="Calibri" w:cs="Calibri"/>
          <w:color w:val="000000"/>
        </w:rPr>
        <w:t>two</w:t>
      </w:r>
      <w:proofErr w:type="gramEnd"/>
      <w:r>
        <w:rPr>
          <w:rFonts w:ascii="Calibri" w:hAnsi="Calibri" w:cs="Calibri"/>
          <w:color w:val="000000"/>
        </w:rPr>
        <w:t xml:space="preserve"> pilots. The pilots are located at index -21 and -7. </w:t>
      </w:r>
    </w:p>
    <w:p w:rsidR="002208CA" w:rsidRDefault="002208CA" w:rsidP="002208CA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Subcarriers with positive indices 3 to 28 are loaded with the conjugate complex of the data and pilot symbols at the negative indices.</w:t>
      </w:r>
    </w:p>
    <w:p w:rsidR="002208CA" w:rsidRDefault="002208CA" w:rsidP="002208CA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pilot symbols have all value 1. Subcarriers with indices -2, -1, -1, 2 are set to zero in order to avoid possible low-frequency distortion in the system due to baseline wandering and background light interference. </w:t>
      </w:r>
    </w:p>
    <w:p w:rsidR="00595FB4" w:rsidRDefault="002208CA" w:rsidP="002208CA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Subcarriers -31, -30, -29, 29, 30, 31 are set to zero because those are near the </w:t>
      </w:r>
      <w:proofErr w:type="spellStart"/>
      <w:r>
        <w:rPr>
          <w:rFonts w:ascii="Calibri" w:hAnsi="Calibri" w:cs="Calibri"/>
          <w:color w:val="000000"/>
        </w:rPr>
        <w:t>bandedge</w:t>
      </w:r>
      <w:proofErr w:type="spellEnd"/>
      <w:r>
        <w:rPr>
          <w:rFonts w:ascii="Calibri" w:hAnsi="Calibri" w:cs="Calibri"/>
          <w:color w:val="000000"/>
        </w:rPr>
        <w:t xml:space="preserve"> of the </w:t>
      </w:r>
      <w:proofErr w:type="spellStart"/>
      <w:r>
        <w:rPr>
          <w:rFonts w:ascii="Calibri" w:hAnsi="Calibri" w:cs="Calibri"/>
          <w:color w:val="000000"/>
        </w:rPr>
        <w:t>lowpass</w:t>
      </w:r>
      <w:proofErr w:type="spellEnd"/>
      <w:r>
        <w:rPr>
          <w:rFonts w:ascii="Calibri" w:hAnsi="Calibri" w:cs="Calibri"/>
          <w:color w:val="000000"/>
        </w:rPr>
        <w:t xml:space="preserve"> filters in the system and may get attenuated excessively. </w:t>
      </w:r>
      <w:proofErr w:type="spellStart"/>
      <w:r>
        <w:rPr>
          <w:rFonts w:ascii="Calibri" w:hAnsi="Calibri" w:cs="Calibri"/>
          <w:color w:val="000000"/>
        </w:rPr>
        <w:t>Subarriers</w:t>
      </w:r>
      <w:proofErr w:type="spellEnd"/>
      <w:r>
        <w:rPr>
          <w:rFonts w:ascii="Calibri" w:hAnsi="Calibri" w:cs="Calibri"/>
          <w:color w:val="000000"/>
        </w:rPr>
        <w:t xml:space="preserve"> with index 0 (DC) and 32 are also set to zero.</w:t>
      </w:r>
    </w:p>
    <w:sectPr w:rsidR="00595FB4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15E" w:rsidRDefault="0049515E">
      <w:r>
        <w:separator/>
      </w:r>
    </w:p>
  </w:endnote>
  <w:endnote w:type="continuationSeparator" w:id="0">
    <w:p w:rsidR="0049515E" w:rsidRDefault="0049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5E" w:rsidRDefault="0049515E">
    <w:pPr>
      <w:pStyle w:val="Fuzeile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fldSimple w:instr=" AUTHOR  \* MERGEFORMAT ">
      <w:r w:rsidR="001178AF">
        <w:rPr>
          <w:noProof/>
        </w:rPr>
        <w:t>Stephan Berner</w:t>
      </w:r>
    </w:fldSimple>
    <w:r>
      <w:t xml:space="preserve">, </w:t>
    </w:r>
    <w:fldSimple w:instr=" DOCPROPERTY &quot;Company&quot;  \* MERGEFORMAT ">
      <w:r w:rsidR="001178AF">
        <w:t>PureLiFi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5E" w:rsidRDefault="0049515E">
    <w:pPr>
      <w:pStyle w:val="Fuzeile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15E" w:rsidRDefault="0049515E">
      <w:r>
        <w:separator/>
      </w:r>
    </w:p>
  </w:footnote>
  <w:footnote w:type="continuationSeparator" w:id="0">
    <w:p w:rsidR="0049515E" w:rsidRDefault="0049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5E" w:rsidRDefault="0049515E">
    <w:pPr>
      <w:pStyle w:val="Kopfzeile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\@ "MMMM, yyyy" \* MERGEFORMAT </w:instrText>
    </w:r>
    <w:r>
      <w:rPr>
        <w:b/>
        <w:sz w:val="28"/>
      </w:rPr>
      <w:fldChar w:fldCharType="separate"/>
    </w:r>
    <w:r w:rsidR="001178AF">
      <w:rPr>
        <w:b/>
        <w:noProof/>
        <w:sz w:val="28"/>
      </w:rPr>
      <w:t>April, 2020</w:t>
    </w:r>
    <w:r>
      <w:rPr>
        <w:b/>
        <w:sz w:val="28"/>
      </w:rPr>
      <w:fldChar w:fldCharType="end"/>
    </w:r>
    <w:r>
      <w:rPr>
        <w:b/>
        <w:sz w:val="28"/>
      </w:rPr>
      <w:tab/>
      <w:t xml:space="preserve"> IEEE P802.15-</w:t>
    </w:r>
    <w:r>
      <w:rPr>
        <w:b/>
        <w:sz w:val="28"/>
      </w:rPr>
      <w:fldChar w:fldCharType="begin"/>
    </w:r>
    <w:r>
      <w:rPr>
        <w:b/>
        <w:sz w:val="28"/>
      </w:rPr>
      <w:instrText xml:space="preserve"> DOCPROPERTY "Category"  \* MERGEFORMAT </w:instrText>
    </w:r>
    <w:r>
      <w:rPr>
        <w:b/>
        <w:sz w:val="28"/>
      </w:rPr>
      <w:fldChar w:fldCharType="separate"/>
    </w:r>
    <w:r w:rsidR="001178AF">
      <w:rPr>
        <w:b/>
        <w:sz w:val="28"/>
      </w:rPr>
      <w:t>15-20-0120-01-0013</w:t>
    </w:r>
    <w:r>
      <w:rPr>
        <w:b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5E" w:rsidRDefault="0049515E">
    <w:pPr>
      <w:pStyle w:val="Kopfzeile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6E59"/>
    <w:multiLevelType w:val="hybridMultilevel"/>
    <w:tmpl w:val="FAD2E8B2"/>
    <w:lvl w:ilvl="0" w:tplc="A3F20E1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A01BD"/>
    <w:multiLevelType w:val="hybridMultilevel"/>
    <w:tmpl w:val="1B4A2EE8"/>
    <w:lvl w:ilvl="0" w:tplc="F0CA35D2">
      <w:start w:val="1"/>
      <w:numFmt w:val="decimal"/>
      <w:pStyle w:val="IEEEStdsRegularTableCaption"/>
      <w:suff w:val="space"/>
      <w:lvlText w:val="Table %1"/>
      <w:lvlJc w:val="center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74342"/>
    <w:multiLevelType w:val="hybridMultilevel"/>
    <w:tmpl w:val="CF881DFE"/>
    <w:lvl w:ilvl="0" w:tplc="C5A6F03C">
      <w:start w:val="1"/>
      <w:numFmt w:val="decimal"/>
      <w:pStyle w:val="IEEEStdsRegularFigureCaption"/>
      <w:suff w:val="space"/>
      <w:lvlText w:val="Figure 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56C21"/>
    <w:multiLevelType w:val="multilevel"/>
    <w:tmpl w:val="26B8C1E8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pStyle w:val="IEEEStdsLevel4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5">
      <w:start w:val="1"/>
      <w:numFmt w:val="decimal"/>
      <w:pStyle w:val="IEEEStdsLevel3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4" w15:restartNumberingAfterBreak="0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DB"/>
    <w:rsid w:val="000B71C5"/>
    <w:rsid w:val="000F1244"/>
    <w:rsid w:val="0011223E"/>
    <w:rsid w:val="001178AF"/>
    <w:rsid w:val="001441B4"/>
    <w:rsid w:val="00161404"/>
    <w:rsid w:val="00174449"/>
    <w:rsid w:val="002208CA"/>
    <w:rsid w:val="00252989"/>
    <w:rsid w:val="00262552"/>
    <w:rsid w:val="00295F94"/>
    <w:rsid w:val="00342098"/>
    <w:rsid w:val="00343C53"/>
    <w:rsid w:val="00387DF5"/>
    <w:rsid w:val="0039328C"/>
    <w:rsid w:val="003E6FD6"/>
    <w:rsid w:val="00491D66"/>
    <w:rsid w:val="0049515E"/>
    <w:rsid w:val="004F415F"/>
    <w:rsid w:val="004F4C83"/>
    <w:rsid w:val="00505E51"/>
    <w:rsid w:val="0053735F"/>
    <w:rsid w:val="00595FB4"/>
    <w:rsid w:val="005C104B"/>
    <w:rsid w:val="005D4C5B"/>
    <w:rsid w:val="00632ABB"/>
    <w:rsid w:val="00635123"/>
    <w:rsid w:val="006354AF"/>
    <w:rsid w:val="00660558"/>
    <w:rsid w:val="006F383C"/>
    <w:rsid w:val="007F1210"/>
    <w:rsid w:val="008100E5"/>
    <w:rsid w:val="00810A2F"/>
    <w:rsid w:val="00855F2B"/>
    <w:rsid w:val="008C49A4"/>
    <w:rsid w:val="008E2AAC"/>
    <w:rsid w:val="00920DEF"/>
    <w:rsid w:val="00961FDE"/>
    <w:rsid w:val="009961C6"/>
    <w:rsid w:val="009E0D31"/>
    <w:rsid w:val="009F349F"/>
    <w:rsid w:val="00A1002F"/>
    <w:rsid w:val="00A32D56"/>
    <w:rsid w:val="00A46B90"/>
    <w:rsid w:val="00A718EA"/>
    <w:rsid w:val="00A973F9"/>
    <w:rsid w:val="00AB21DB"/>
    <w:rsid w:val="00AB65A9"/>
    <w:rsid w:val="00AF62EF"/>
    <w:rsid w:val="00BD1E78"/>
    <w:rsid w:val="00BF16CD"/>
    <w:rsid w:val="00C34555"/>
    <w:rsid w:val="00C64610"/>
    <w:rsid w:val="00C877AE"/>
    <w:rsid w:val="00CD5A6D"/>
    <w:rsid w:val="00CE7AB0"/>
    <w:rsid w:val="00D259BC"/>
    <w:rsid w:val="00D64C31"/>
    <w:rsid w:val="00D728EC"/>
    <w:rsid w:val="00E5107C"/>
    <w:rsid w:val="00E7601B"/>
    <w:rsid w:val="00E84662"/>
    <w:rsid w:val="00EE63A2"/>
    <w:rsid w:val="00F05164"/>
    <w:rsid w:val="00F40ADD"/>
    <w:rsid w:val="00F52E77"/>
    <w:rsid w:val="00F52F18"/>
    <w:rsid w:val="00F7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431BA"/>
  <w15:chartTrackingRefBased/>
  <w15:docId w15:val="{099EC003-B18F-4E05-97A7-B00462C6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hAnsi="Times New Roman"/>
      <w:sz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berschrift4">
    <w:name w:val="heading 4"/>
    <w:basedOn w:val="Standard"/>
    <w:next w:val="Standard"/>
    <w:qFormat/>
    <w:pPr>
      <w:ind w:left="360"/>
      <w:outlineLvl w:val="3"/>
    </w:pPr>
    <w:rPr>
      <w:rFonts w:ascii="Times" w:hAnsi="Times"/>
      <w:u w:val="single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  <w:u w:val="single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320"/>
        <w:tab w:val="right" w:pos="8640"/>
      </w:tabs>
    </w:pPr>
  </w:style>
  <w:style w:type="paragraph" w:styleId="Kopfzeile">
    <w:name w:val="header"/>
    <w:basedOn w:val="Standard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Standard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Standard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Standard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Textkrper">
    <w:name w:val="Body Text"/>
    <w:basedOn w:val="Standard"/>
    <w:semiHidden/>
    <w:rPr>
      <w:color w:val="000000"/>
      <w:lang w:eastAsia="en-US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  <w:semiHidden/>
  </w:style>
  <w:style w:type="paragraph" w:customStyle="1" w:styleId="covertext">
    <w:name w:val="cover text"/>
    <w:basedOn w:val="Standard"/>
    <w:pPr>
      <w:spacing w:before="120" w:after="120"/>
    </w:pPr>
  </w:style>
  <w:style w:type="paragraph" w:customStyle="1" w:styleId="IEEEStdsParagraph">
    <w:name w:val="IEEEStds Paragraph"/>
    <w:link w:val="IEEEStdsParagraphChar"/>
    <w:rsid w:val="00635123"/>
    <w:pPr>
      <w:spacing w:after="240"/>
      <w:jc w:val="both"/>
    </w:pPr>
    <w:rPr>
      <w:rFonts w:ascii="Times New Roman" w:hAnsi="Times New Roman"/>
      <w:lang w:val="en-US" w:eastAsia="ja-JP"/>
    </w:rPr>
  </w:style>
  <w:style w:type="character" w:customStyle="1" w:styleId="IEEEStdsParagraphChar">
    <w:name w:val="IEEEStds Paragraph Char"/>
    <w:link w:val="IEEEStdsParagraph"/>
    <w:rsid w:val="00635123"/>
    <w:rPr>
      <w:rFonts w:ascii="Times New Roman" w:hAnsi="Times New Roman"/>
      <w:lang w:val="en-US" w:eastAsia="ja-JP"/>
    </w:rPr>
  </w:style>
  <w:style w:type="paragraph" w:customStyle="1" w:styleId="IEEEStdsTableData-Center">
    <w:name w:val="IEEEStds Table Data - Center"/>
    <w:basedOn w:val="IEEEStdsParagraph"/>
    <w:rsid w:val="00635123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35123"/>
    <w:pPr>
      <w:keepNext/>
      <w:keepLines/>
      <w:numPr>
        <w:numId w:val="2"/>
      </w:numPr>
      <w:tabs>
        <w:tab w:val="left" w:pos="360"/>
        <w:tab w:val="left" w:pos="432"/>
        <w:tab w:val="left" w:pos="504"/>
      </w:tabs>
      <w:suppressAutoHyphens/>
      <w:spacing w:before="120" w:after="120"/>
      <w:ind w:left="0" w:firstLine="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35123"/>
    <w:pPr>
      <w:keepNext/>
      <w:keepLines/>
      <w:spacing w:after="0"/>
      <w:jc w:val="center"/>
    </w:pPr>
    <w:rPr>
      <w:b/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635123"/>
    <w:pPr>
      <w:keepNext/>
      <w:keepLines/>
      <w:pageBreakBefore/>
      <w:numPr>
        <w:numId w:val="3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635123"/>
    <w:pPr>
      <w:numPr>
        <w:ilvl w:val="4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35123"/>
    <w:pPr>
      <w:numPr>
        <w:ilvl w:val="5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35123"/>
    <w:pPr>
      <w:pageBreakBefore w:val="0"/>
      <w:numPr>
        <w:ilvl w:val="1"/>
      </w:numPr>
      <w:outlineLvl w:val="1"/>
    </w:pPr>
    <w:rPr>
      <w:sz w:val="22"/>
    </w:rPr>
  </w:style>
  <w:style w:type="paragraph" w:customStyle="1" w:styleId="IEEEStdsLevel7Header">
    <w:name w:val="IEEEStds Level 7 Header"/>
    <w:basedOn w:val="Standard"/>
    <w:next w:val="IEEEStdsParagraph"/>
    <w:rsid w:val="00635123"/>
    <w:pPr>
      <w:keepNext/>
      <w:keepLines/>
      <w:numPr>
        <w:ilvl w:val="6"/>
        <w:numId w:val="3"/>
      </w:numPr>
      <w:suppressAutoHyphens/>
      <w:spacing w:before="240" w:after="240"/>
      <w:outlineLvl w:val="6"/>
    </w:pPr>
    <w:rPr>
      <w:rFonts w:ascii="Arial" w:hAnsi="Arial"/>
      <w:b/>
      <w:sz w:val="20"/>
      <w:lang w:eastAsia="ja-JP"/>
    </w:rPr>
  </w:style>
  <w:style w:type="paragraph" w:customStyle="1" w:styleId="IEEEStdsLevel8Header">
    <w:name w:val="IEEEStds Level 8 Header"/>
    <w:basedOn w:val="IEEEStdsLevel7Header"/>
    <w:next w:val="IEEEStdsParagraph"/>
    <w:rsid w:val="00635123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635123"/>
    <w:pPr>
      <w:numPr>
        <w:ilvl w:val="8"/>
      </w:numPr>
      <w:outlineLvl w:val="8"/>
    </w:pPr>
  </w:style>
  <w:style w:type="paragraph" w:customStyle="1" w:styleId="Default">
    <w:name w:val="Default"/>
    <w:rsid w:val="009E0D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F40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ableData-Left">
    <w:name w:val="IEEEStds Table Data - Left"/>
    <w:basedOn w:val="IEEEStdsParagraph"/>
    <w:rsid w:val="00D64C31"/>
    <w:pPr>
      <w:keepNext/>
      <w:keepLines/>
      <w:spacing w:after="0"/>
      <w:jc w:val="left"/>
    </w:pPr>
    <w:rPr>
      <w:sz w:val="18"/>
    </w:rPr>
  </w:style>
  <w:style w:type="paragraph" w:customStyle="1" w:styleId="IEEEStdsRegularFigureCaption">
    <w:name w:val="IEEEStds Regular Figure Caption"/>
    <w:basedOn w:val="IEEEStdsParagraph"/>
    <w:next w:val="IEEEStdsParagraph"/>
    <w:rsid w:val="008E2AAC"/>
    <w:pPr>
      <w:keepLines/>
      <w:numPr>
        <w:numId w:val="5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er\Downloads\IEEE-P802_15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IEEE-P802_15.dot</Template>
  <TotalTime>0</TotalTime>
  <Pages>4</Pages>
  <Words>609</Words>
  <Characters>2932</Characters>
  <Application>Microsoft Office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Text for CID resolutions on D2</vt:lpstr>
      <vt:lpstr>&lt;title&gt;</vt:lpstr>
    </vt:vector>
  </TitlesOfParts>
  <Company>PureLiFi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for CID resolutions on D2</dc:title>
  <dc:subject/>
  <dc:creator>Stephan Berner</dc:creator>
  <cp:keywords/>
  <dc:description>&lt;street address&gt;_x000d_
TELEPHONE: &lt;phone#&gt;_x000d_
FAX: &lt;fax#&gt;_x000d_
EMAIL: &lt;email&gt;</dc:description>
  <cp:lastModifiedBy>Bober, Kai Lennert</cp:lastModifiedBy>
  <cp:revision>3</cp:revision>
  <cp:lastPrinted>1899-12-31T23:00:00Z</cp:lastPrinted>
  <dcterms:created xsi:type="dcterms:W3CDTF">2020-04-20T09:31:00Z</dcterms:created>
  <dcterms:modified xsi:type="dcterms:W3CDTF">2020-04-20T09:32:00Z</dcterms:modified>
  <cp:category>15-20-0120-01-0013</cp:category>
</cp:coreProperties>
</file>