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9C4AE3"/>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171E0493"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TG4md</w:t>
            </w:r>
            <w:r w:rsidR="005615A6" w:rsidRPr="00A17B56">
              <w:rPr>
                <w:b/>
                <w:sz w:val="28"/>
              </w:rPr>
              <w:t xml:space="preserve"> </w:t>
            </w:r>
            <w:r w:rsidR="006A411A">
              <w:rPr>
                <w:b/>
                <w:sz w:val="28"/>
              </w:rPr>
              <w:t xml:space="preserve">March </w:t>
            </w:r>
            <w:r w:rsidR="00384524">
              <w:rPr>
                <w:b/>
                <w:sz w:val="28"/>
              </w:rPr>
              <w:t>19</w:t>
            </w:r>
            <w:r w:rsidR="00F02F2A">
              <w:rPr>
                <w:b/>
                <w:sz w:val="28"/>
              </w:rPr>
              <w:t>/20</w:t>
            </w:r>
            <w:r w:rsidR="006A411A">
              <w:rPr>
                <w:b/>
                <w:sz w:val="28"/>
              </w:rPr>
              <w:t>, 2020</w:t>
            </w:r>
            <w:r w:rsidR="001B390B">
              <w:rPr>
                <w:b/>
                <w:sz w:val="28"/>
              </w:rPr>
              <w:t xml:space="preserve"> </w:t>
            </w:r>
            <w:r w:rsidR="00C3605E">
              <w:rPr>
                <w:b/>
                <w:sz w:val="28"/>
              </w:rPr>
              <w:t>CRG</w:t>
            </w:r>
            <w:r w:rsidR="001B390B">
              <w:rPr>
                <w:b/>
                <w:sz w:val="28"/>
              </w:rPr>
              <w:t xml:space="preserve"> </w:t>
            </w:r>
            <w:r w:rsidR="00C919CF">
              <w:rPr>
                <w:b/>
                <w:sz w:val="28"/>
              </w:rPr>
              <w:t>Minutes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213DBB0D" w:rsidR="005615A6" w:rsidRDefault="005615A6" w:rsidP="00E06E39">
            <w:pPr>
              <w:pStyle w:val="covertext"/>
            </w:pPr>
            <w:r>
              <w:t>[</w:t>
            </w:r>
            <w:r w:rsidR="006A411A">
              <w:t xml:space="preserve">March </w:t>
            </w:r>
            <w:r w:rsidR="00384524">
              <w:t>20</w:t>
            </w:r>
            <w:r w:rsidR="006A411A">
              <w:t>, 2020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77777777" w:rsidR="005615A6" w:rsidRDefault="005615A6" w:rsidP="00E06E39">
            <w:pPr>
              <w:pStyle w:val="covertext"/>
              <w:spacing w:before="0" w:after="0"/>
            </w:pPr>
            <w:r>
              <w:t>[</w:t>
            </w:r>
            <w:r w:rsidR="001070E5">
              <w:rPr>
                <w:noProof/>
              </w:rPr>
              <w:fldChar w:fldCharType="begin"/>
            </w:r>
            <w:r w:rsidR="001070E5">
              <w:rPr>
                <w:noProof/>
              </w:rPr>
              <w:instrText xml:space="preserve"> AUTHOR  \* MERGEFORMAT </w:instrText>
            </w:r>
            <w:r w:rsidR="001070E5">
              <w:rPr>
                <w:noProof/>
              </w:rPr>
              <w:fldChar w:fldCharType="separate"/>
            </w:r>
            <w:r w:rsidR="001B390B">
              <w:rPr>
                <w:noProof/>
              </w:rPr>
              <w:t>Gary Stuebing</w:t>
            </w:r>
            <w:r w:rsidR="001070E5">
              <w:rPr>
                <w:noProof/>
              </w:rPr>
              <w:fldChar w:fldCharType="end"/>
            </w:r>
            <w:r>
              <w:t>]</w:t>
            </w:r>
            <w:r>
              <w:br/>
              <w:t>[</w:t>
            </w:r>
            <w:fldSimple w:instr=" DOCPROPERTY &quot;Company&quot;  \* MERGEFORMAT ">
              <w:r w:rsidR="001B390B">
                <w:t>Cisco Systems</w:t>
              </w:r>
            </w:fldSimple>
            <w:r>
              <w:t>]</w:t>
            </w:r>
            <w:r>
              <w:br/>
              <w:t>[</w:t>
            </w:r>
            <w:r w:rsidR="001B390B">
              <w:t>North Myrtle Beach, SC</w:t>
            </w:r>
            <w:r>
              <w:t>]</w:t>
            </w:r>
          </w:p>
        </w:tc>
        <w:tc>
          <w:tcPr>
            <w:tcW w:w="4140" w:type="dxa"/>
            <w:tcBorders>
              <w:top w:val="single" w:sz="4" w:space="0" w:color="auto"/>
              <w:bottom w:val="single" w:sz="4" w:space="0" w:color="auto"/>
            </w:tcBorders>
          </w:tcPr>
          <w:p w14:paraId="0753694F" w14:textId="77777777" w:rsidR="005615A6" w:rsidRDefault="005615A6" w:rsidP="00E06E39">
            <w:pPr>
              <w:pStyle w:val="covertext"/>
              <w:tabs>
                <w:tab w:val="left" w:pos="1152"/>
              </w:tabs>
              <w:spacing w:before="0" w:after="0"/>
              <w:rPr>
                <w:sz w:val="18"/>
              </w:rPr>
            </w:pPr>
            <w:r>
              <w:t>Voice:</w:t>
            </w:r>
            <w:r>
              <w:tab/>
            </w:r>
            <w:r w:rsidR="001B390B">
              <w:t>803 230-3027</w:t>
            </w:r>
            <w:r>
              <w:br/>
              <w:t>Fax:</w:t>
            </w:r>
            <w:r>
              <w:tab/>
              <w:t xml:space="preserve">[ </w:t>
            </w:r>
            <w:proofErr w:type="gramStart"/>
            <w:r>
              <w:t xml:space="preserve">  ]</w:t>
            </w:r>
            <w:proofErr w:type="gramEnd"/>
            <w:r>
              <w:br/>
              <w:t>E-mail: [</w:t>
            </w:r>
            <w:r w:rsidR="001B390B">
              <w:t>gstuebin@cisco.com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272E1F52" w:rsidR="005615A6" w:rsidRDefault="003A44B8" w:rsidP="009E28CB">
            <w:r w:rsidRPr="009C0693">
              <w:rPr>
                <w:rFonts w:ascii="Verdana" w:hAnsi="Verdana"/>
                <w:color w:val="000000"/>
                <w:sz w:val="20"/>
                <w:shd w:val="clear" w:color="auto" w:fill="FFFFFF"/>
              </w:rPr>
              <w:t>DCN </w:t>
            </w:r>
            <w:r w:rsidR="009E28CB">
              <w:rPr>
                <w:rFonts w:ascii="Verdana" w:hAnsi="Verdana"/>
                <w:b/>
                <w:bCs/>
                <w:color w:val="000000"/>
                <w:sz w:val="20"/>
                <w:szCs w:val="20"/>
                <w:shd w:val="clear" w:color="auto" w:fill="FFFFFF"/>
              </w:rPr>
              <w:t>15-</w:t>
            </w:r>
            <w:r w:rsidR="00E93675">
              <w:rPr>
                <w:rFonts w:ascii="Verdana" w:hAnsi="Verdana"/>
                <w:b/>
                <w:bCs/>
                <w:color w:val="000000"/>
                <w:sz w:val="20"/>
                <w:szCs w:val="20"/>
                <w:shd w:val="clear" w:color="auto" w:fill="FFFFFF"/>
              </w:rPr>
              <w:t>20-0-</w:t>
            </w:r>
            <w:r w:rsidR="00385675">
              <w:rPr>
                <w:rFonts w:ascii="Verdana" w:hAnsi="Verdana"/>
                <w:b/>
                <w:bCs/>
                <w:color w:val="000000"/>
                <w:sz w:val="20"/>
                <w:szCs w:val="20"/>
                <w:shd w:val="clear" w:color="auto" w:fill="FFFFFF"/>
              </w:rPr>
              <w:t>0101</w:t>
            </w:r>
            <w:r w:rsidR="009E28CB">
              <w:rPr>
                <w:rFonts w:ascii="Verdana" w:hAnsi="Verdana"/>
                <w:b/>
                <w:bCs/>
                <w:color w:val="000000"/>
                <w:sz w:val="20"/>
                <w:szCs w:val="20"/>
                <w:shd w:val="clear" w:color="auto" w:fill="FFFFFF"/>
              </w:rPr>
              <w:t>-00-04m</w:t>
            </w:r>
            <w:r w:rsidR="00246F6C">
              <w:rPr>
                <w:rFonts w:ascii="Verdana" w:hAnsi="Verdana"/>
                <w:b/>
                <w:bCs/>
                <w:color w:val="000000"/>
                <w:sz w:val="20"/>
                <w:szCs w:val="20"/>
                <w:shd w:val="clear" w:color="auto" w:fill="FFFFFF"/>
              </w:rPr>
              <w:t>d</w:t>
            </w: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4EE13104" w:rsidR="005615A6" w:rsidRDefault="005615A6" w:rsidP="00E06E39">
            <w:pPr>
              <w:pStyle w:val="covertext"/>
            </w:pPr>
            <w:r>
              <w:t xml:space="preserve">[IEEE 802.15 </w:t>
            </w:r>
            <w:r w:rsidR="001B390B">
              <w:rPr>
                <w:rFonts w:hint="eastAsia"/>
              </w:rPr>
              <w:t>TG4</w:t>
            </w:r>
            <w:r w:rsidR="001B390B">
              <w:t>md</w:t>
            </w:r>
            <w:r>
              <w:t xml:space="preserve"> </w:t>
            </w:r>
            <w:r w:rsidR="00C3605E">
              <w:t>CRG</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r w:rsidR="00907D4A" w14:paraId="5A1AA2A9" w14:textId="77777777" w:rsidTr="00E06E39">
        <w:tc>
          <w:tcPr>
            <w:tcW w:w="1260" w:type="dxa"/>
            <w:tcBorders>
              <w:top w:val="single" w:sz="6" w:space="0" w:color="auto"/>
              <w:bottom w:val="single" w:sz="6" w:space="0" w:color="auto"/>
            </w:tcBorders>
          </w:tcPr>
          <w:p w14:paraId="1DAD74E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226A10FE" w14:textId="77777777" w:rsidR="00907D4A" w:rsidRDefault="00907D4A" w:rsidP="00E06E39">
            <w:pPr>
              <w:pStyle w:val="covertext"/>
            </w:pPr>
          </w:p>
        </w:tc>
      </w:tr>
      <w:tr w:rsidR="00907D4A" w14:paraId="4075C023" w14:textId="77777777" w:rsidTr="00E06E39">
        <w:tc>
          <w:tcPr>
            <w:tcW w:w="1260" w:type="dxa"/>
            <w:tcBorders>
              <w:top w:val="single" w:sz="6" w:space="0" w:color="auto"/>
              <w:bottom w:val="single" w:sz="6" w:space="0" w:color="auto"/>
            </w:tcBorders>
          </w:tcPr>
          <w:p w14:paraId="33B276B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608098E0" w14:textId="77777777" w:rsidR="00907D4A" w:rsidRDefault="00907D4A" w:rsidP="00E06E39">
            <w:pPr>
              <w:pStyle w:val="covertext"/>
            </w:pPr>
          </w:p>
        </w:tc>
      </w:tr>
      <w:tr w:rsidR="00907D4A" w14:paraId="00DB3BFB" w14:textId="77777777" w:rsidTr="00E06E39">
        <w:tc>
          <w:tcPr>
            <w:tcW w:w="1260" w:type="dxa"/>
            <w:tcBorders>
              <w:top w:val="single" w:sz="6" w:space="0" w:color="auto"/>
              <w:bottom w:val="single" w:sz="6" w:space="0" w:color="auto"/>
            </w:tcBorders>
          </w:tcPr>
          <w:p w14:paraId="136251F2"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3DEE7A6B" w14:textId="77777777" w:rsidR="00907D4A" w:rsidRDefault="00907D4A" w:rsidP="00E06E39">
            <w:pPr>
              <w:pStyle w:val="covertext"/>
            </w:pPr>
          </w:p>
        </w:tc>
      </w:tr>
    </w:tbl>
    <w:p w14:paraId="7949EC59" w14:textId="77777777" w:rsidR="005615A6" w:rsidRDefault="005615A6" w:rsidP="00010C42">
      <w:pPr>
        <w:jc w:val="center"/>
        <w:rPr>
          <w:sz w:val="32"/>
        </w:rPr>
      </w:pPr>
      <w:r>
        <w:rPr>
          <w:b/>
          <w:sz w:val="28"/>
        </w:rPr>
        <w:br w:type="page"/>
      </w:r>
    </w:p>
    <w:p w14:paraId="23FD0666" w14:textId="490763C1" w:rsidR="00010C42" w:rsidRDefault="00010C42" w:rsidP="00010C42">
      <w:pPr>
        <w:jc w:val="center"/>
        <w:rPr>
          <w:sz w:val="32"/>
        </w:rPr>
      </w:pPr>
      <w:r>
        <w:rPr>
          <w:sz w:val="32"/>
        </w:rPr>
        <w:lastRenderedPageBreak/>
        <w:t xml:space="preserve">IEEE 802.15.4md </w:t>
      </w:r>
      <w:r w:rsidR="00AB5702">
        <w:rPr>
          <w:sz w:val="32"/>
        </w:rPr>
        <w:t>Comment Resolution Group</w:t>
      </w:r>
      <w:r>
        <w:rPr>
          <w:sz w:val="32"/>
        </w:rPr>
        <w:t xml:space="preserve"> Teleconference</w:t>
      </w:r>
    </w:p>
    <w:p w14:paraId="3CEB3878" w14:textId="77777777" w:rsidR="00010C42" w:rsidRDefault="00010C42" w:rsidP="00010C42">
      <w:pPr>
        <w:jc w:val="center"/>
        <w:rPr>
          <w:sz w:val="32"/>
        </w:rPr>
      </w:pPr>
    </w:p>
    <w:p w14:paraId="26E21D06" w14:textId="77777777" w:rsidR="00010C42" w:rsidRDefault="00010C42" w:rsidP="00010C42">
      <w:pPr>
        <w:rPr>
          <w:sz w:val="32"/>
        </w:rPr>
      </w:pPr>
      <w:r>
        <w:rPr>
          <w:sz w:val="32"/>
        </w:rPr>
        <w:t xml:space="preserve">Attendees: </w:t>
      </w:r>
    </w:p>
    <w:p w14:paraId="5636B970" w14:textId="6831A0DE" w:rsidR="00112907" w:rsidRDefault="00112907" w:rsidP="00010C42">
      <w:pPr>
        <w:rPr>
          <w:sz w:val="32"/>
        </w:rPr>
      </w:pPr>
      <w:r w:rsidRPr="005E6C87">
        <w:rPr>
          <w:sz w:val="32"/>
        </w:rPr>
        <w:t>Gary Stuebing</w:t>
      </w:r>
      <w:r w:rsidR="00380FEE" w:rsidRPr="005E6C87">
        <w:rPr>
          <w:sz w:val="32"/>
        </w:rPr>
        <w:t xml:space="preserve"> </w:t>
      </w:r>
      <w:r w:rsidR="003526FC">
        <w:rPr>
          <w:sz w:val="32"/>
        </w:rPr>
        <w:t>–</w:t>
      </w:r>
      <w:r w:rsidR="00380FEE" w:rsidRPr="005E6C87">
        <w:rPr>
          <w:sz w:val="32"/>
        </w:rPr>
        <w:t xml:space="preserve"> Chair</w:t>
      </w:r>
    </w:p>
    <w:p w14:paraId="52F558DD" w14:textId="79FD5FE8" w:rsidR="00FD7586" w:rsidRDefault="00FD7586" w:rsidP="00010C42">
      <w:pPr>
        <w:rPr>
          <w:sz w:val="32"/>
        </w:rPr>
      </w:pPr>
      <w:r>
        <w:rPr>
          <w:sz w:val="32"/>
        </w:rPr>
        <w:t>Don Sturek – Vice-Chair</w:t>
      </w:r>
    </w:p>
    <w:p w14:paraId="33B2CF49" w14:textId="09F70F03" w:rsidR="00FD7586" w:rsidRDefault="00FD7586" w:rsidP="00010C42">
      <w:pPr>
        <w:rPr>
          <w:sz w:val="32"/>
        </w:rPr>
      </w:pPr>
      <w:r>
        <w:rPr>
          <w:sz w:val="32"/>
        </w:rPr>
        <w:t>Kunal Shaw</w:t>
      </w:r>
    </w:p>
    <w:p w14:paraId="76E611A5" w14:textId="5B423A34" w:rsidR="002E7642" w:rsidRDefault="004F09B1" w:rsidP="00010C42">
      <w:pPr>
        <w:rPr>
          <w:sz w:val="32"/>
        </w:rPr>
      </w:pPr>
      <w:proofErr w:type="spellStart"/>
      <w:r>
        <w:rPr>
          <w:sz w:val="32"/>
        </w:rPr>
        <w:t>Shoichi</w:t>
      </w:r>
      <w:proofErr w:type="spellEnd"/>
      <w:r>
        <w:rPr>
          <w:sz w:val="32"/>
        </w:rPr>
        <w:t xml:space="preserve"> Kitazawa</w:t>
      </w:r>
    </w:p>
    <w:p w14:paraId="16BFB8D5" w14:textId="3687EF7D" w:rsidR="004F09B1" w:rsidRDefault="004F09B1" w:rsidP="00010C42">
      <w:pPr>
        <w:rPr>
          <w:sz w:val="32"/>
        </w:rPr>
      </w:pPr>
      <w:r>
        <w:rPr>
          <w:sz w:val="32"/>
        </w:rPr>
        <w:t>Phil Beecher</w:t>
      </w:r>
    </w:p>
    <w:p w14:paraId="207BEEF3" w14:textId="258A7F87" w:rsidR="004F09B1" w:rsidRDefault="004F09B1" w:rsidP="00010C42">
      <w:pPr>
        <w:rPr>
          <w:sz w:val="32"/>
        </w:rPr>
      </w:pPr>
      <w:r>
        <w:rPr>
          <w:sz w:val="32"/>
        </w:rPr>
        <w:t xml:space="preserve">Bob </w:t>
      </w:r>
      <w:proofErr w:type="spellStart"/>
      <w:r>
        <w:rPr>
          <w:sz w:val="32"/>
        </w:rPr>
        <w:t>Heile</w:t>
      </w:r>
      <w:proofErr w:type="spellEnd"/>
    </w:p>
    <w:p w14:paraId="2D344380" w14:textId="2A705E11" w:rsidR="00D20246" w:rsidRDefault="004F09B1" w:rsidP="00010C42">
      <w:pPr>
        <w:rPr>
          <w:sz w:val="32"/>
        </w:rPr>
      </w:pPr>
      <w:r>
        <w:rPr>
          <w:sz w:val="32"/>
        </w:rPr>
        <w:t>Tero Kivinen</w:t>
      </w:r>
    </w:p>
    <w:p w14:paraId="33D58413" w14:textId="0EDA98DA" w:rsidR="004F09B1" w:rsidRDefault="004F09B1" w:rsidP="00010C42">
      <w:pPr>
        <w:rPr>
          <w:sz w:val="32"/>
        </w:rPr>
      </w:pPr>
      <w:r>
        <w:rPr>
          <w:sz w:val="32"/>
        </w:rPr>
        <w:t>Kunal Shaw</w:t>
      </w:r>
    </w:p>
    <w:p w14:paraId="716497F1" w14:textId="6EB17F5F" w:rsidR="004F09B1" w:rsidRDefault="004F09B1" w:rsidP="00010C42">
      <w:pPr>
        <w:rPr>
          <w:sz w:val="32"/>
        </w:rPr>
      </w:pPr>
      <w:r>
        <w:rPr>
          <w:sz w:val="32"/>
        </w:rPr>
        <w:t xml:space="preserve">Jonathan Goldberg – IEEE </w:t>
      </w:r>
    </w:p>
    <w:p w14:paraId="5419EAEB" w14:textId="77777777" w:rsidR="004F09B1" w:rsidRDefault="004F09B1" w:rsidP="00010C42">
      <w:pPr>
        <w:rPr>
          <w:sz w:val="32"/>
        </w:rPr>
      </w:pPr>
    </w:p>
    <w:p w14:paraId="72C78876" w14:textId="1C0D9D9E" w:rsidR="002E7642" w:rsidRDefault="002E7642" w:rsidP="00010C42">
      <w:pPr>
        <w:rPr>
          <w:sz w:val="32"/>
        </w:rPr>
      </w:pPr>
      <w:r>
        <w:rPr>
          <w:sz w:val="32"/>
        </w:rPr>
        <w:t>Quorum was achieved</w:t>
      </w:r>
    </w:p>
    <w:p w14:paraId="1F76A5A9" w14:textId="339F0C04" w:rsidR="00E4506A" w:rsidRDefault="00E4506A" w:rsidP="00010C42">
      <w:pPr>
        <w:rPr>
          <w:sz w:val="32"/>
        </w:rPr>
      </w:pPr>
    </w:p>
    <w:p w14:paraId="779CB8E3" w14:textId="712251F2" w:rsidR="00C3605E" w:rsidRDefault="00C3605E" w:rsidP="00010C42">
      <w:pPr>
        <w:rPr>
          <w:sz w:val="32"/>
        </w:rPr>
      </w:pPr>
      <w:r>
        <w:rPr>
          <w:sz w:val="32"/>
        </w:rPr>
        <w:t xml:space="preserve">Meeting began at </w:t>
      </w:r>
      <w:r w:rsidR="009E28CB">
        <w:rPr>
          <w:sz w:val="32"/>
        </w:rPr>
        <w:t>2:0</w:t>
      </w:r>
      <w:r w:rsidR="00EF736D">
        <w:rPr>
          <w:sz w:val="32"/>
        </w:rPr>
        <w:t>7</w:t>
      </w:r>
      <w:r w:rsidR="002E7642">
        <w:rPr>
          <w:sz w:val="32"/>
        </w:rPr>
        <w:t>pm</w:t>
      </w:r>
      <w:r w:rsidR="00907D4A">
        <w:rPr>
          <w:sz w:val="32"/>
        </w:rPr>
        <w:t xml:space="preserve"> </w:t>
      </w:r>
      <w:r>
        <w:rPr>
          <w:sz w:val="32"/>
        </w:rPr>
        <w:t>PT</w:t>
      </w:r>
    </w:p>
    <w:p w14:paraId="50A70CB3" w14:textId="77777777" w:rsidR="00C3605E" w:rsidRDefault="00C3605E" w:rsidP="00010C42">
      <w:pPr>
        <w:rPr>
          <w:sz w:val="32"/>
        </w:rPr>
      </w:pPr>
    </w:p>
    <w:p w14:paraId="3D000245" w14:textId="7832EDFC" w:rsidR="00010C42" w:rsidRDefault="00E4506A" w:rsidP="00010C42">
      <w:pPr>
        <w:rPr>
          <w:sz w:val="32"/>
        </w:rPr>
      </w:pPr>
      <w:r>
        <w:rPr>
          <w:sz w:val="32"/>
        </w:rPr>
        <w:t xml:space="preserve">Attendance was taken and quorum was achieved. </w:t>
      </w:r>
    </w:p>
    <w:p w14:paraId="6C3FFD39" w14:textId="7C906468" w:rsidR="00262D5C" w:rsidRDefault="00262D5C" w:rsidP="00010C42">
      <w:pPr>
        <w:rPr>
          <w:sz w:val="32"/>
        </w:rPr>
      </w:pPr>
      <w:r>
        <w:rPr>
          <w:sz w:val="32"/>
        </w:rPr>
        <w:t>A reminder was given for Confidentiality and Anti-Trust.</w:t>
      </w:r>
    </w:p>
    <w:p w14:paraId="48F45E8D" w14:textId="07688526" w:rsidR="004C71A3" w:rsidRDefault="00112907" w:rsidP="00010C42">
      <w:pPr>
        <w:rPr>
          <w:sz w:val="32"/>
        </w:rPr>
      </w:pPr>
      <w:r>
        <w:rPr>
          <w:sz w:val="32"/>
        </w:rPr>
        <w:t>A call was made for essential patents. None were declared.</w:t>
      </w:r>
    </w:p>
    <w:p w14:paraId="4FC8C929" w14:textId="64DA193C" w:rsidR="00FD7586" w:rsidRDefault="00FD7586" w:rsidP="00010C42">
      <w:pPr>
        <w:rPr>
          <w:sz w:val="32"/>
        </w:rPr>
      </w:pPr>
    </w:p>
    <w:p w14:paraId="4E574FEE" w14:textId="5089CFA3" w:rsidR="004D2ECE" w:rsidRDefault="004F09B1" w:rsidP="00010C42">
      <w:pPr>
        <w:rPr>
          <w:sz w:val="32"/>
        </w:rPr>
      </w:pPr>
      <w:r>
        <w:rPr>
          <w:sz w:val="32"/>
        </w:rPr>
        <w:t xml:space="preserve">Bob </w:t>
      </w:r>
      <w:proofErr w:type="spellStart"/>
      <w:r>
        <w:rPr>
          <w:sz w:val="32"/>
        </w:rPr>
        <w:t>Heile</w:t>
      </w:r>
      <w:proofErr w:type="spellEnd"/>
      <w:r>
        <w:rPr>
          <w:sz w:val="32"/>
        </w:rPr>
        <w:t xml:space="preserve"> reported he was going to have a call with Bob </w:t>
      </w:r>
      <w:proofErr w:type="spellStart"/>
      <w:r>
        <w:rPr>
          <w:sz w:val="32"/>
        </w:rPr>
        <w:t>Gow</w:t>
      </w:r>
      <w:proofErr w:type="spellEnd"/>
      <w:r>
        <w:rPr>
          <w:sz w:val="32"/>
        </w:rPr>
        <w:t xml:space="preserve">. He suggested that we wait until after the call. </w:t>
      </w:r>
      <w:r w:rsidR="004E26CE">
        <w:rPr>
          <w:sz w:val="32"/>
        </w:rPr>
        <w:t xml:space="preserve">Plan B was to have this done via the SASB cycle. </w:t>
      </w:r>
      <w:r w:rsidR="004D2ECE">
        <w:rPr>
          <w:sz w:val="32"/>
        </w:rPr>
        <w:t xml:space="preserve">We decided to have a chat with the IEEE editorial staff regarding the comments submitted at 10am </w:t>
      </w:r>
    </w:p>
    <w:p w14:paraId="51EF7183" w14:textId="69E28B80" w:rsidR="00EF736D" w:rsidRDefault="00EF736D" w:rsidP="00010C42">
      <w:pPr>
        <w:rPr>
          <w:sz w:val="32"/>
        </w:rPr>
      </w:pPr>
    </w:p>
    <w:p w14:paraId="330E9055" w14:textId="0DA6EFF1" w:rsidR="00EF736D" w:rsidRDefault="00EF736D" w:rsidP="00010C42">
      <w:pPr>
        <w:rPr>
          <w:sz w:val="32"/>
        </w:rPr>
      </w:pPr>
      <w:r>
        <w:rPr>
          <w:sz w:val="32"/>
        </w:rPr>
        <w:t>Meeting was recessed at 2:37pm PT until 7:00am March 21, 2020.</w:t>
      </w:r>
    </w:p>
    <w:p w14:paraId="584FBAA7" w14:textId="05B88B2A" w:rsidR="00EF736D" w:rsidRDefault="00EF736D" w:rsidP="00010C42">
      <w:pPr>
        <w:rPr>
          <w:sz w:val="32"/>
        </w:rPr>
      </w:pPr>
    </w:p>
    <w:p w14:paraId="13BF6C5A" w14:textId="66202691" w:rsidR="00EF736D" w:rsidRDefault="00EF736D" w:rsidP="00010C42">
      <w:pPr>
        <w:rPr>
          <w:sz w:val="32"/>
        </w:rPr>
      </w:pPr>
      <w:r>
        <w:rPr>
          <w:sz w:val="32"/>
        </w:rPr>
        <w:t xml:space="preserve">Jonathan did have a conversation with the editorial staff. They will defer to the CRG perspective on that. </w:t>
      </w:r>
    </w:p>
    <w:p w14:paraId="5212427E" w14:textId="218DC559" w:rsidR="00EF736D" w:rsidRDefault="00EF736D" w:rsidP="00010C42">
      <w:pPr>
        <w:rPr>
          <w:sz w:val="32"/>
        </w:rPr>
      </w:pPr>
    </w:p>
    <w:p w14:paraId="56D8BE8C" w14:textId="2DD98A9A" w:rsidR="00EF736D" w:rsidRDefault="00EF736D" w:rsidP="00010C42">
      <w:pPr>
        <w:rPr>
          <w:sz w:val="32"/>
        </w:rPr>
      </w:pPr>
      <w:r>
        <w:rPr>
          <w:sz w:val="32"/>
        </w:rPr>
        <w:t>Meeting was again started on March 21, 2020 at 7:02am PT</w:t>
      </w:r>
    </w:p>
    <w:p w14:paraId="3441D813" w14:textId="5D0B31A2" w:rsidR="00384524" w:rsidRDefault="00384524" w:rsidP="00010C42">
      <w:pPr>
        <w:rPr>
          <w:sz w:val="32"/>
        </w:rPr>
      </w:pPr>
    </w:p>
    <w:p w14:paraId="117C00CD" w14:textId="02A1B826" w:rsidR="00384524" w:rsidRDefault="00384524" w:rsidP="00010C42">
      <w:pPr>
        <w:rPr>
          <w:sz w:val="32"/>
        </w:rPr>
      </w:pPr>
      <w:r>
        <w:rPr>
          <w:sz w:val="32"/>
        </w:rPr>
        <w:t>Gary Reported on the current status of the Sponsor Ballot Recirc 3.</w:t>
      </w:r>
    </w:p>
    <w:p w14:paraId="1122447A" w14:textId="0FA27B28" w:rsidR="00384524" w:rsidRDefault="00384524" w:rsidP="00010C42">
      <w:pPr>
        <w:rPr>
          <w:sz w:val="32"/>
        </w:rPr>
      </w:pPr>
      <w:r>
        <w:rPr>
          <w:sz w:val="32"/>
        </w:rPr>
        <w:lastRenderedPageBreak/>
        <w:t xml:space="preserve">Ballot </w:t>
      </w:r>
      <w:proofErr w:type="gramStart"/>
      <w:r>
        <w:rPr>
          <w:sz w:val="32"/>
        </w:rPr>
        <w:t>Group  -</w:t>
      </w:r>
      <w:proofErr w:type="gramEnd"/>
      <w:r>
        <w:rPr>
          <w:sz w:val="32"/>
        </w:rPr>
        <w:t xml:space="preserve"> 97</w:t>
      </w:r>
    </w:p>
    <w:p w14:paraId="675B5BAF" w14:textId="00B52981" w:rsidR="00384524" w:rsidRDefault="00384524" w:rsidP="00010C42">
      <w:pPr>
        <w:rPr>
          <w:sz w:val="32"/>
        </w:rPr>
      </w:pPr>
      <w:r>
        <w:rPr>
          <w:sz w:val="32"/>
        </w:rPr>
        <w:t>Returned Ballots – 86 (88%)</w:t>
      </w:r>
    </w:p>
    <w:p w14:paraId="4105F761" w14:textId="65540039" w:rsidR="00384524" w:rsidRDefault="00384524" w:rsidP="00010C42">
      <w:pPr>
        <w:rPr>
          <w:sz w:val="32"/>
        </w:rPr>
      </w:pPr>
      <w:r>
        <w:rPr>
          <w:sz w:val="32"/>
        </w:rPr>
        <w:t>Abstentions – 6 (6%)</w:t>
      </w:r>
    </w:p>
    <w:p w14:paraId="62996FDC" w14:textId="30ECBC71" w:rsidR="00384524" w:rsidRDefault="00384524" w:rsidP="00010C42">
      <w:pPr>
        <w:rPr>
          <w:sz w:val="32"/>
        </w:rPr>
      </w:pPr>
      <w:r>
        <w:rPr>
          <w:sz w:val="32"/>
        </w:rPr>
        <w:t>Approval – 100%</w:t>
      </w:r>
    </w:p>
    <w:p w14:paraId="05060755" w14:textId="310B6E90" w:rsidR="00384524" w:rsidRDefault="00384524" w:rsidP="00010C42">
      <w:pPr>
        <w:rPr>
          <w:sz w:val="32"/>
        </w:rPr>
      </w:pPr>
      <w:r>
        <w:rPr>
          <w:sz w:val="32"/>
        </w:rPr>
        <w:t>Comments – 0</w:t>
      </w:r>
    </w:p>
    <w:p w14:paraId="227B0C9C" w14:textId="1E9D608F" w:rsidR="00384524" w:rsidRDefault="00384524" w:rsidP="00010C42">
      <w:pPr>
        <w:rPr>
          <w:sz w:val="32"/>
        </w:rPr>
      </w:pPr>
    </w:p>
    <w:p w14:paraId="168E040D" w14:textId="3A3AC0A2" w:rsidR="00384524" w:rsidRDefault="00384524" w:rsidP="00010C42">
      <w:pPr>
        <w:rPr>
          <w:sz w:val="32"/>
        </w:rPr>
      </w:pPr>
      <w:r>
        <w:rPr>
          <w:sz w:val="32"/>
        </w:rPr>
        <w:t xml:space="preserve">Gary than reported that there were 7 comments submitted by Angela Thomas as Mandatory RAC Coordination – IEEE P802.15.4 </w:t>
      </w:r>
      <w:proofErr w:type="spellStart"/>
      <w:r>
        <w:rPr>
          <w:sz w:val="32"/>
        </w:rPr>
        <w:t>Revd</w:t>
      </w:r>
      <w:proofErr w:type="spellEnd"/>
      <w:r>
        <w:rPr>
          <w:sz w:val="32"/>
        </w:rPr>
        <w:t xml:space="preserve">/D06 </w:t>
      </w:r>
    </w:p>
    <w:p w14:paraId="7AFCD560" w14:textId="4668B7E0" w:rsidR="00384524" w:rsidRDefault="00384524" w:rsidP="00010C42">
      <w:pPr>
        <w:rPr>
          <w:sz w:val="32"/>
        </w:rPr>
      </w:pPr>
      <w:r>
        <w:rPr>
          <w:sz w:val="32"/>
        </w:rPr>
        <w:t>They were as follows:</w:t>
      </w:r>
    </w:p>
    <w:p w14:paraId="49DB5EB9" w14:textId="77777777" w:rsidR="00384524" w:rsidRDefault="00384524" w:rsidP="00384524">
      <w:pPr>
        <w:rPr>
          <w:color w:val="000000"/>
          <w:sz w:val="22"/>
          <w:szCs w:val="22"/>
        </w:rPr>
      </w:pPr>
    </w:p>
    <w:p w14:paraId="2A237C15" w14:textId="5393B571" w:rsidR="00384524" w:rsidRPr="00384524" w:rsidRDefault="00384524" w:rsidP="00384524">
      <w:r w:rsidRPr="00384524">
        <w:rPr>
          <w:color w:val="000000"/>
          <w:sz w:val="22"/>
          <w:szCs w:val="22"/>
        </w:rPr>
        <w:t>1. P. 170, L. 34, 3.2</w:t>
      </w:r>
      <w:r w:rsidRPr="00384524">
        <w:rPr>
          <w:color w:val="000000"/>
          <w:sz w:val="22"/>
          <w:szCs w:val="22"/>
        </w:rPr>
        <w:br/>
        <w:t>Comment: The correct expansion of CID is Company ID. See tutorial "Guidelines for Use of Extended Unique Identifier (EUI), Organizationally Unique Identifier (OUI), and Company ID (CID</w:t>
      </w:r>
      <w:proofErr w:type="gramStart"/>
      <w:r w:rsidRPr="00384524">
        <w:rPr>
          <w:color w:val="000000"/>
          <w:sz w:val="22"/>
          <w:szCs w:val="22"/>
        </w:rPr>
        <w:t>) .</w:t>
      </w:r>
      <w:proofErr w:type="gramEnd"/>
      <w:r w:rsidRPr="00384524">
        <w:rPr>
          <w:color w:val="000000"/>
          <w:sz w:val="22"/>
          <w:szCs w:val="22"/>
        </w:rPr>
        <w:br/>
        <w:t>Suggested Remedy:  CID Company ID</w:t>
      </w:r>
      <w:r w:rsidRPr="00384524">
        <w:rPr>
          <w:color w:val="000000"/>
          <w:sz w:val="22"/>
          <w:szCs w:val="22"/>
        </w:rPr>
        <w:br/>
      </w:r>
      <w:r w:rsidRPr="00384524">
        <w:rPr>
          <w:color w:val="000000"/>
          <w:sz w:val="22"/>
          <w:szCs w:val="22"/>
        </w:rPr>
        <w:br/>
        <w:t>2. P. 317, L. 5, 7.4.2.2</w:t>
      </w:r>
      <w:r w:rsidRPr="00384524">
        <w:rPr>
          <w:color w:val="000000"/>
          <w:sz w:val="22"/>
          <w:szCs w:val="22"/>
        </w:rPr>
        <w:br/>
        <w:t>Comment: Incorrect IEEE RA product name.</w:t>
      </w:r>
      <w:r w:rsidRPr="00384524">
        <w:rPr>
          <w:color w:val="000000"/>
          <w:sz w:val="22"/>
          <w:szCs w:val="22"/>
        </w:rPr>
        <w:br/>
        <w:t>Remedy: Replace company identifier with Company ID</w:t>
      </w:r>
      <w:r w:rsidRPr="00384524">
        <w:rPr>
          <w:color w:val="000000"/>
          <w:sz w:val="22"/>
          <w:szCs w:val="22"/>
        </w:rPr>
        <w:br/>
      </w:r>
      <w:r w:rsidRPr="00384524">
        <w:rPr>
          <w:color w:val="000000"/>
          <w:sz w:val="22"/>
          <w:szCs w:val="22"/>
        </w:rPr>
        <w:br/>
        <w:t>3.  P. 172, L. 31, 3.2</w:t>
      </w:r>
      <w:r w:rsidRPr="00384524">
        <w:rPr>
          <w:color w:val="000000"/>
          <w:sz w:val="22"/>
          <w:szCs w:val="22"/>
        </w:rPr>
        <w:br/>
        <w:t>Comment: Each word of the expansion of OUI should be capitalized. See tutorial "Guidelines for Use of Extended Unique Identifier (EUI), Organizationally Unique Identifier (OUI), and Company ID (CID).</w:t>
      </w:r>
      <w:r w:rsidRPr="00384524">
        <w:rPr>
          <w:color w:val="000000"/>
          <w:sz w:val="22"/>
          <w:szCs w:val="22"/>
        </w:rPr>
        <w:br/>
        <w:t>Suggested Remedy: OUI Organizationally Unique Identifier.</w:t>
      </w:r>
      <w:r w:rsidRPr="00384524">
        <w:rPr>
          <w:color w:val="000000"/>
          <w:sz w:val="22"/>
          <w:szCs w:val="22"/>
        </w:rPr>
        <w:br/>
      </w:r>
      <w:r w:rsidRPr="00384524">
        <w:rPr>
          <w:color w:val="000000"/>
          <w:sz w:val="22"/>
          <w:szCs w:val="22"/>
        </w:rPr>
        <w:br/>
        <w:t>4.  P.177, L. 5, 4.5.2</w:t>
      </w:r>
      <w:r w:rsidRPr="00384524">
        <w:rPr>
          <w:color w:val="000000"/>
          <w:sz w:val="22"/>
          <w:szCs w:val="22"/>
        </w:rPr>
        <w:br/>
        <w:t>Comment: Vendor organizationally unique identifier (OUI) is ambiguous and/or improperly capitalized.  Readers might think OUI is a proper acronym for Vendor OUI.</w:t>
      </w:r>
      <w:r w:rsidRPr="00384524">
        <w:rPr>
          <w:color w:val="000000"/>
          <w:sz w:val="22"/>
          <w:szCs w:val="22"/>
        </w:rPr>
        <w:br/>
        <w:t>Suggested Remedy, Either "Vendor organizationally unique identifier (Vendor OUI)", or "Vendor Organizationally Unique Identifier bit transmission …</w:t>
      </w:r>
      <w:r w:rsidRPr="00384524">
        <w:rPr>
          <w:color w:val="000000"/>
          <w:sz w:val="22"/>
          <w:szCs w:val="22"/>
        </w:rPr>
        <w:br/>
      </w:r>
      <w:r w:rsidRPr="00384524">
        <w:rPr>
          <w:color w:val="000000"/>
          <w:sz w:val="22"/>
          <w:szCs w:val="22"/>
        </w:rPr>
        <w:br/>
        <w:t>5.  P. 317, L. 5, 7.4.2.2 </w:t>
      </w:r>
      <w:r w:rsidRPr="00384524">
        <w:rPr>
          <w:color w:val="000000"/>
          <w:sz w:val="22"/>
          <w:szCs w:val="22"/>
        </w:rPr>
        <w:br/>
        <w:t>Comment: Â The Vendor OUI field is not an OUI, but it may contain an OUI.</w:t>
      </w:r>
      <w:r w:rsidRPr="00384524">
        <w:rPr>
          <w:color w:val="000000"/>
          <w:sz w:val="22"/>
          <w:szCs w:val="22"/>
        </w:rPr>
        <w:br/>
        <w:t>Remedy: Â "The Vendor OUI field contains an OUI or Company ID (CID)…â€ </w:t>
      </w:r>
      <w:r w:rsidRPr="00384524">
        <w:rPr>
          <w:color w:val="000000"/>
          <w:sz w:val="22"/>
          <w:szCs w:val="22"/>
        </w:rPr>
        <w:br/>
      </w:r>
      <w:r w:rsidRPr="00384524">
        <w:rPr>
          <w:color w:val="000000"/>
          <w:sz w:val="22"/>
          <w:szCs w:val="22"/>
        </w:rPr>
        <w:br/>
        <w:t>6.   P. 171, L. 19, 3.2</w:t>
      </w:r>
      <w:r w:rsidRPr="00384524">
        <w:rPr>
          <w:color w:val="000000"/>
          <w:sz w:val="22"/>
          <w:szCs w:val="22"/>
        </w:rPr>
        <w:br/>
        <w:t>Comment:  Misuse of an IEEE-RA term.  See tutorial "Guidelines for Use of Extended Unique Identifier (EUI), Organizationally Unique Identifier (OUI), and Company ID (CID</w:t>
      </w:r>
      <w:proofErr w:type="gramStart"/>
      <w:r w:rsidRPr="00384524">
        <w:rPr>
          <w:color w:val="000000"/>
          <w:sz w:val="22"/>
          <w:szCs w:val="22"/>
        </w:rPr>
        <w:t>) .</w:t>
      </w:r>
      <w:proofErr w:type="gramEnd"/>
      <w:r w:rsidRPr="00384524">
        <w:rPr>
          <w:color w:val="000000"/>
          <w:sz w:val="22"/>
          <w:szCs w:val="22"/>
        </w:rPr>
        <w:t xml:space="preserve">  </w:t>
      </w:r>
      <w:r w:rsidRPr="00384524">
        <w:rPr>
          <w:color w:val="000000"/>
          <w:sz w:val="22"/>
          <w:szCs w:val="22"/>
        </w:rPr>
        <w:br/>
        <w:t>Remedy:  EUI-</w:t>
      </w:r>
      <w:proofErr w:type="gramStart"/>
      <w:r w:rsidRPr="00384524">
        <w:rPr>
          <w:color w:val="000000"/>
          <w:sz w:val="22"/>
          <w:szCs w:val="22"/>
        </w:rPr>
        <w:t>64  64</w:t>
      </w:r>
      <w:proofErr w:type="gramEnd"/>
      <w:r w:rsidRPr="00384524">
        <w:rPr>
          <w:color w:val="000000"/>
          <w:sz w:val="22"/>
          <w:szCs w:val="22"/>
        </w:rPr>
        <w:t>-bit Extended Unique Identifier</w:t>
      </w:r>
      <w:r w:rsidRPr="00384524">
        <w:rPr>
          <w:color w:val="000000"/>
          <w:sz w:val="22"/>
          <w:szCs w:val="22"/>
        </w:rPr>
        <w:br/>
      </w:r>
      <w:r w:rsidRPr="00384524">
        <w:rPr>
          <w:color w:val="000000"/>
          <w:sz w:val="22"/>
          <w:szCs w:val="22"/>
        </w:rPr>
        <w:br/>
        <w:t>7.  P. 237, L. 17, 6.7.2</w:t>
      </w:r>
      <w:r w:rsidRPr="00384524">
        <w:rPr>
          <w:color w:val="000000"/>
          <w:sz w:val="22"/>
          <w:szCs w:val="22"/>
        </w:rPr>
        <w:br/>
        <w:t>Comment:  Misuse of an IEEE-RA term.  See tutorial "Guidelines for Use of Extended Unique Identifier (EUI), Organizationally Unique Identifier (OUI), and Company ID (CID</w:t>
      </w:r>
      <w:proofErr w:type="gramStart"/>
      <w:r w:rsidRPr="00384524">
        <w:rPr>
          <w:color w:val="000000"/>
          <w:sz w:val="22"/>
          <w:szCs w:val="22"/>
        </w:rPr>
        <w:t>)..</w:t>
      </w:r>
      <w:proofErr w:type="gramEnd"/>
      <w:r w:rsidRPr="00384524">
        <w:rPr>
          <w:color w:val="000000"/>
          <w:sz w:val="22"/>
          <w:szCs w:val="22"/>
        </w:rPr>
        <w:t>  Which says "The assignee of an OUI or OUI-36 is exclusively authorized to assign group MAC addresses, with I/G=1, by extending a modified version of the assigned OUI or OUI-36 in which the M bit is set to 1. Such addresses are not EUIs and do not globally identify hardware instances, even though U/L=0."</w:t>
      </w:r>
      <w:r w:rsidRPr="00384524">
        <w:rPr>
          <w:color w:val="000000"/>
          <w:sz w:val="22"/>
          <w:szCs w:val="22"/>
        </w:rPr>
        <w:br/>
      </w:r>
      <w:r w:rsidRPr="00384524">
        <w:rPr>
          <w:color w:val="000000"/>
          <w:sz w:val="22"/>
          <w:szCs w:val="22"/>
        </w:rPr>
        <w:lastRenderedPageBreak/>
        <w:t>Remedy: Change "</w:t>
      </w:r>
      <w:proofErr w:type="gramStart"/>
      <w:r w:rsidRPr="00384524">
        <w:rPr>
          <w:color w:val="000000"/>
          <w:sz w:val="22"/>
          <w:szCs w:val="22"/>
        </w:rPr>
        <w:t>an</w:t>
      </w:r>
      <w:proofErr w:type="gramEnd"/>
      <w:r w:rsidRPr="00384524">
        <w:rPr>
          <w:color w:val="000000"/>
          <w:sz w:val="22"/>
          <w:szCs w:val="22"/>
        </w:rPr>
        <w:t xml:space="preserve"> 64-bit extended unique identifier (EUI-64) group address, as defined in IEEE Std 802. To </w:t>
      </w:r>
      <w:proofErr w:type="gramStart"/>
      <w:r w:rsidRPr="00384524">
        <w:rPr>
          <w:color w:val="000000"/>
          <w:sz w:val="22"/>
          <w:szCs w:val="22"/>
        </w:rPr>
        <w:t>a  64</w:t>
      </w:r>
      <w:proofErr w:type="gramEnd"/>
      <w:r w:rsidRPr="00384524">
        <w:rPr>
          <w:color w:val="000000"/>
          <w:sz w:val="22"/>
          <w:szCs w:val="22"/>
        </w:rPr>
        <w:t>-bit group address, as defined in IEEE Std 802."</w:t>
      </w:r>
    </w:p>
    <w:p w14:paraId="3A62DA9A" w14:textId="77777777" w:rsidR="00384524" w:rsidRDefault="00384524" w:rsidP="00010C42">
      <w:pPr>
        <w:rPr>
          <w:sz w:val="32"/>
        </w:rPr>
      </w:pPr>
    </w:p>
    <w:p w14:paraId="19CFE696" w14:textId="77777777" w:rsidR="00B904F6" w:rsidRDefault="00B904F6" w:rsidP="00B904F6">
      <w:pPr>
        <w:rPr>
          <w:sz w:val="32"/>
        </w:rPr>
      </w:pPr>
      <w:r>
        <w:rPr>
          <w:sz w:val="32"/>
        </w:rPr>
        <w:t xml:space="preserve">Phil Beecher motioned that the seven comments submitted by Angela Thomas on behalf of the IEEE-RAC are valid editorial comments and should be referred to the IEEE Staff Editors. Therefore, the CRG Rejects these comments with disposition detail “This document will be professionally edited prior to publication by the IEEE Staff editors. These comments will be referred to the IEEE Staff Editors”. </w:t>
      </w:r>
    </w:p>
    <w:p w14:paraId="57CDBFDD" w14:textId="77777777" w:rsidR="00B904F6" w:rsidRDefault="00B904F6" w:rsidP="00B904F6">
      <w:pPr>
        <w:rPr>
          <w:sz w:val="32"/>
        </w:rPr>
      </w:pPr>
      <w:r>
        <w:rPr>
          <w:sz w:val="32"/>
        </w:rPr>
        <w:t>Seconded by: Tero Kivinen</w:t>
      </w:r>
    </w:p>
    <w:p w14:paraId="0ACBAD77" w14:textId="039C87FC" w:rsidR="0024496B" w:rsidRDefault="00B904F6" w:rsidP="00010C42">
      <w:pPr>
        <w:rPr>
          <w:sz w:val="32"/>
        </w:rPr>
      </w:pPr>
      <w:r>
        <w:rPr>
          <w:sz w:val="32"/>
        </w:rPr>
        <w:t>Motion is accepted unanimously</w:t>
      </w:r>
    </w:p>
    <w:p w14:paraId="27197CB4" w14:textId="17D1DB09" w:rsidR="0024496B" w:rsidRDefault="0024496B" w:rsidP="00010C42">
      <w:pPr>
        <w:rPr>
          <w:sz w:val="32"/>
        </w:rPr>
      </w:pPr>
    </w:p>
    <w:p w14:paraId="68CCB358" w14:textId="020A49DD" w:rsidR="0024496B" w:rsidRDefault="0024496B" w:rsidP="00010C42">
      <w:pPr>
        <w:rPr>
          <w:sz w:val="32"/>
        </w:rPr>
      </w:pPr>
      <w:r>
        <w:rPr>
          <w:sz w:val="32"/>
        </w:rPr>
        <w:t xml:space="preserve">Kunal will forward the comments to the editorial staff in an email. </w:t>
      </w:r>
    </w:p>
    <w:p w14:paraId="3C958901" w14:textId="77777777" w:rsidR="00137FB2" w:rsidRDefault="00137FB2" w:rsidP="00010C42">
      <w:pPr>
        <w:rPr>
          <w:sz w:val="32"/>
        </w:rPr>
      </w:pPr>
    </w:p>
    <w:p w14:paraId="7269FE8E" w14:textId="43EA03B1" w:rsidR="006639E5" w:rsidRDefault="0024496B" w:rsidP="00010C42">
      <w:pPr>
        <w:rPr>
          <w:sz w:val="32"/>
        </w:rPr>
      </w:pPr>
      <w:r>
        <w:rPr>
          <w:sz w:val="32"/>
        </w:rPr>
        <w:t xml:space="preserve">Gary Stuebing will notify the CRG is additional meetings are required. </w:t>
      </w:r>
    </w:p>
    <w:p w14:paraId="2F6EFDE4" w14:textId="500ECE32" w:rsidR="009E28CB" w:rsidRDefault="009E28CB" w:rsidP="00010C42">
      <w:pPr>
        <w:rPr>
          <w:sz w:val="32"/>
        </w:rPr>
      </w:pPr>
    </w:p>
    <w:p w14:paraId="6309411C" w14:textId="18E1E03D" w:rsidR="009E28CB" w:rsidRDefault="009E28CB" w:rsidP="00010C42">
      <w:pPr>
        <w:rPr>
          <w:sz w:val="32"/>
        </w:rPr>
      </w:pPr>
      <w:r>
        <w:rPr>
          <w:sz w:val="32"/>
        </w:rPr>
        <w:t>The chair asked for AOB. None was presented.</w:t>
      </w:r>
    </w:p>
    <w:p w14:paraId="1154059C" w14:textId="45584344" w:rsidR="006639E5" w:rsidRDefault="006639E5" w:rsidP="00010C42">
      <w:pPr>
        <w:rPr>
          <w:sz w:val="32"/>
        </w:rPr>
      </w:pPr>
    </w:p>
    <w:p w14:paraId="661971BA" w14:textId="215940D3" w:rsidR="0024496B" w:rsidRDefault="0024496B" w:rsidP="00010C42">
      <w:pPr>
        <w:rPr>
          <w:sz w:val="32"/>
        </w:rPr>
      </w:pPr>
      <w:r>
        <w:rPr>
          <w:sz w:val="32"/>
        </w:rPr>
        <w:t xml:space="preserve">Motion to adjourn from Kunal Shah. Second by Ruben Salazar. </w:t>
      </w:r>
    </w:p>
    <w:p w14:paraId="71E6FBD6" w14:textId="77777777" w:rsidR="0024496B" w:rsidRDefault="0024496B" w:rsidP="00010C42">
      <w:pPr>
        <w:rPr>
          <w:sz w:val="32"/>
        </w:rPr>
      </w:pPr>
    </w:p>
    <w:p w14:paraId="2C644653" w14:textId="731E4D87" w:rsidR="009E28CB" w:rsidRDefault="009E28CB" w:rsidP="00010C42">
      <w:pPr>
        <w:rPr>
          <w:sz w:val="32"/>
        </w:rPr>
      </w:pPr>
      <w:r>
        <w:rPr>
          <w:sz w:val="32"/>
        </w:rPr>
        <w:t>Meeting was adjourned at</w:t>
      </w:r>
      <w:r w:rsidR="0024496B">
        <w:rPr>
          <w:sz w:val="32"/>
        </w:rPr>
        <w:t xml:space="preserve"> 7:34am</w:t>
      </w:r>
      <w:r>
        <w:rPr>
          <w:sz w:val="32"/>
        </w:rPr>
        <w:t xml:space="preserve"> PT</w:t>
      </w:r>
    </w:p>
    <w:p w14:paraId="37E7EF22" w14:textId="6EB6158E" w:rsidR="002E7642" w:rsidRPr="002E7642" w:rsidRDefault="002E7642" w:rsidP="00010C42">
      <w:pPr>
        <w:rPr>
          <w:i/>
          <w:iCs/>
          <w:sz w:val="32"/>
        </w:rPr>
      </w:pPr>
    </w:p>
    <w:p w14:paraId="08D2C56D" w14:textId="18EC9E92" w:rsidR="000C57AC" w:rsidRDefault="000C57AC" w:rsidP="00010C42">
      <w:pPr>
        <w:rPr>
          <w:sz w:val="32"/>
        </w:rPr>
      </w:pPr>
    </w:p>
    <w:p w14:paraId="5B98C549" w14:textId="7DFCBDEC" w:rsidR="00010C42" w:rsidRPr="00010C42" w:rsidRDefault="00C3605E" w:rsidP="00010C42">
      <w:pPr>
        <w:rPr>
          <w:sz w:val="32"/>
        </w:rPr>
      </w:pPr>
      <w:r>
        <w:rPr>
          <w:sz w:val="32"/>
        </w:rPr>
        <w:t xml:space="preserve"> </w:t>
      </w:r>
    </w:p>
    <w:sectPr w:rsidR="00010C42" w:rsidRPr="00010C4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B0E79" w14:textId="77777777" w:rsidR="009C4AE3" w:rsidRDefault="009C4AE3" w:rsidP="00010C42">
      <w:r>
        <w:separator/>
      </w:r>
    </w:p>
  </w:endnote>
  <w:endnote w:type="continuationSeparator" w:id="0">
    <w:p w14:paraId="5D446757" w14:textId="77777777" w:rsidR="009C4AE3" w:rsidRDefault="009C4AE3"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6037A3D1" w:rsidR="00010C42" w:rsidRDefault="00010C42">
    <w:r>
      <w:t xml:space="preserve">Date: </w:t>
    </w:r>
    <w:r w:rsidR="009E28CB">
      <w:t>October 31</w:t>
    </w:r>
    <w:r>
      <w:t>, 201</w:t>
    </w:r>
    <w:r w:rsidR="00112907">
      <w:t>9</w:t>
    </w:r>
    <w:r>
      <w:t xml:space="preserve"> – Teleconference</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D06D0" w14:textId="77777777" w:rsidR="009C4AE3" w:rsidRDefault="009C4AE3" w:rsidP="00010C42">
      <w:r>
        <w:separator/>
      </w:r>
    </w:p>
  </w:footnote>
  <w:footnote w:type="continuationSeparator" w:id="0">
    <w:p w14:paraId="42304A9F" w14:textId="77777777" w:rsidR="009C4AE3" w:rsidRDefault="009C4AE3"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1A2092B8" w:rsidR="00010C42" w:rsidRPr="000B28AC" w:rsidRDefault="00010C42" w:rsidP="004D5897">
    <w:r>
      <w:t xml:space="preserve">Document Number : </w:t>
    </w:r>
    <w:r w:rsidR="0038553B">
      <w:t xml:space="preserve"> </w:t>
    </w:r>
    <w:r w:rsidR="00AA5E0F" w:rsidRPr="00AA5E0F">
      <w:rPr>
        <w:rFonts w:ascii="Verdana" w:hAnsi="Verdana"/>
        <w:color w:val="000000"/>
        <w:sz w:val="20"/>
        <w:szCs w:val="20"/>
        <w:shd w:val="clear" w:color="auto" w:fill="FFFFFF"/>
      </w:rPr>
      <w:t>DCN </w:t>
    </w:r>
    <w:r w:rsidR="009E28CB" w:rsidRPr="009E28CB">
      <w:rPr>
        <w:rFonts w:ascii="Verdana" w:hAnsi="Verdana"/>
        <w:b/>
        <w:bCs/>
        <w:color w:val="000000"/>
        <w:sz w:val="20"/>
        <w:szCs w:val="20"/>
        <w:shd w:val="clear" w:color="auto" w:fill="FFFFFF"/>
      </w:rPr>
      <w:t>15-19-0489-00-04md</w:t>
    </w:r>
  </w:p>
  <w:p w14:paraId="3DC4AC95" w14:textId="77777777" w:rsidR="00010C42" w:rsidRDefault="00010C42">
    <w:pPr>
      <w:pStyle w:val="Header"/>
    </w:pPr>
    <w:r>
      <w:t>Created by: Gary Stuebing Cisco Systems</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3366"/>
    <w:multiLevelType w:val="multilevel"/>
    <w:tmpl w:val="0F965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53204D"/>
    <w:multiLevelType w:val="hybridMultilevel"/>
    <w:tmpl w:val="BB0E82F8"/>
    <w:lvl w:ilvl="0" w:tplc="08A02EA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52073"/>
    <w:rsid w:val="00060F17"/>
    <w:rsid w:val="00077A27"/>
    <w:rsid w:val="000A08E7"/>
    <w:rsid w:val="000B28AC"/>
    <w:rsid w:val="000C57AC"/>
    <w:rsid w:val="000D1319"/>
    <w:rsid w:val="000D33DB"/>
    <w:rsid w:val="000E18E3"/>
    <w:rsid w:val="000E70CB"/>
    <w:rsid w:val="001070E5"/>
    <w:rsid w:val="00111096"/>
    <w:rsid w:val="00112907"/>
    <w:rsid w:val="00124841"/>
    <w:rsid w:val="001261FD"/>
    <w:rsid w:val="00137FB2"/>
    <w:rsid w:val="001513E4"/>
    <w:rsid w:val="001533CC"/>
    <w:rsid w:val="00155C20"/>
    <w:rsid w:val="001B13FF"/>
    <w:rsid w:val="001B390B"/>
    <w:rsid w:val="001F6224"/>
    <w:rsid w:val="001F7EED"/>
    <w:rsid w:val="002027AC"/>
    <w:rsid w:val="00213110"/>
    <w:rsid w:val="0024496B"/>
    <w:rsid w:val="002455C4"/>
    <w:rsid w:val="00246F6C"/>
    <w:rsid w:val="00262D5C"/>
    <w:rsid w:val="00267320"/>
    <w:rsid w:val="0028028E"/>
    <w:rsid w:val="002A76A6"/>
    <w:rsid w:val="002A7BCF"/>
    <w:rsid w:val="002B69AE"/>
    <w:rsid w:val="002D413F"/>
    <w:rsid w:val="002E7642"/>
    <w:rsid w:val="003215CF"/>
    <w:rsid w:val="0032534C"/>
    <w:rsid w:val="003471C1"/>
    <w:rsid w:val="003526FC"/>
    <w:rsid w:val="00357DEB"/>
    <w:rsid w:val="00380FEE"/>
    <w:rsid w:val="00384524"/>
    <w:rsid w:val="0038553B"/>
    <w:rsid w:val="00385675"/>
    <w:rsid w:val="003868E7"/>
    <w:rsid w:val="0038704B"/>
    <w:rsid w:val="003A44B8"/>
    <w:rsid w:val="003A6104"/>
    <w:rsid w:val="003A7DA7"/>
    <w:rsid w:val="003B2D18"/>
    <w:rsid w:val="003B3F8D"/>
    <w:rsid w:val="003C5C24"/>
    <w:rsid w:val="00400EA0"/>
    <w:rsid w:val="00402117"/>
    <w:rsid w:val="00415834"/>
    <w:rsid w:val="004251B1"/>
    <w:rsid w:val="00432DAC"/>
    <w:rsid w:val="00472C4B"/>
    <w:rsid w:val="004858EE"/>
    <w:rsid w:val="004943AB"/>
    <w:rsid w:val="004C21D7"/>
    <w:rsid w:val="004C27B0"/>
    <w:rsid w:val="004C71A3"/>
    <w:rsid w:val="004D2ECE"/>
    <w:rsid w:val="004D5897"/>
    <w:rsid w:val="004E26CE"/>
    <w:rsid w:val="004F09B1"/>
    <w:rsid w:val="00526D3B"/>
    <w:rsid w:val="005615A6"/>
    <w:rsid w:val="005A07A2"/>
    <w:rsid w:val="005A0B49"/>
    <w:rsid w:val="005B2226"/>
    <w:rsid w:val="005E5AC9"/>
    <w:rsid w:val="005E6C87"/>
    <w:rsid w:val="00604DE4"/>
    <w:rsid w:val="006370DD"/>
    <w:rsid w:val="006639E5"/>
    <w:rsid w:val="006864E5"/>
    <w:rsid w:val="006A411A"/>
    <w:rsid w:val="006A4801"/>
    <w:rsid w:val="006C3F4E"/>
    <w:rsid w:val="006C5978"/>
    <w:rsid w:val="006D3065"/>
    <w:rsid w:val="006E4761"/>
    <w:rsid w:val="006E4A24"/>
    <w:rsid w:val="007039E5"/>
    <w:rsid w:val="00711752"/>
    <w:rsid w:val="00726D63"/>
    <w:rsid w:val="00744786"/>
    <w:rsid w:val="00756726"/>
    <w:rsid w:val="00807305"/>
    <w:rsid w:val="00833F7D"/>
    <w:rsid w:val="0087286E"/>
    <w:rsid w:val="008776A0"/>
    <w:rsid w:val="008E5B77"/>
    <w:rsid w:val="008F6A82"/>
    <w:rsid w:val="00907D4A"/>
    <w:rsid w:val="0094201D"/>
    <w:rsid w:val="00966167"/>
    <w:rsid w:val="009706C5"/>
    <w:rsid w:val="00997452"/>
    <w:rsid w:val="009A12F2"/>
    <w:rsid w:val="009B6734"/>
    <w:rsid w:val="009C0693"/>
    <w:rsid w:val="009C4AE3"/>
    <w:rsid w:val="009D4820"/>
    <w:rsid w:val="009E28CB"/>
    <w:rsid w:val="009F0A79"/>
    <w:rsid w:val="009F7B0F"/>
    <w:rsid w:val="00A7017B"/>
    <w:rsid w:val="00A825A5"/>
    <w:rsid w:val="00AA1143"/>
    <w:rsid w:val="00AA2F20"/>
    <w:rsid w:val="00AA5E0F"/>
    <w:rsid w:val="00AB5702"/>
    <w:rsid w:val="00AD2EDC"/>
    <w:rsid w:val="00AE2369"/>
    <w:rsid w:val="00B06F4D"/>
    <w:rsid w:val="00B116E1"/>
    <w:rsid w:val="00B1357D"/>
    <w:rsid w:val="00B47883"/>
    <w:rsid w:val="00B50374"/>
    <w:rsid w:val="00B61D0A"/>
    <w:rsid w:val="00B904F6"/>
    <w:rsid w:val="00BA0023"/>
    <w:rsid w:val="00BE3D75"/>
    <w:rsid w:val="00BF2F57"/>
    <w:rsid w:val="00C164FF"/>
    <w:rsid w:val="00C25042"/>
    <w:rsid w:val="00C3605E"/>
    <w:rsid w:val="00C54527"/>
    <w:rsid w:val="00C74482"/>
    <w:rsid w:val="00C919CF"/>
    <w:rsid w:val="00C93829"/>
    <w:rsid w:val="00C97C01"/>
    <w:rsid w:val="00CA7F49"/>
    <w:rsid w:val="00CC745F"/>
    <w:rsid w:val="00CD4EEF"/>
    <w:rsid w:val="00CF5061"/>
    <w:rsid w:val="00D06098"/>
    <w:rsid w:val="00D17620"/>
    <w:rsid w:val="00D20246"/>
    <w:rsid w:val="00D570BC"/>
    <w:rsid w:val="00D832D2"/>
    <w:rsid w:val="00D86A26"/>
    <w:rsid w:val="00DB7944"/>
    <w:rsid w:val="00DE7A69"/>
    <w:rsid w:val="00DF174E"/>
    <w:rsid w:val="00DF1C3C"/>
    <w:rsid w:val="00E135F5"/>
    <w:rsid w:val="00E1766B"/>
    <w:rsid w:val="00E4506A"/>
    <w:rsid w:val="00E455A4"/>
    <w:rsid w:val="00E81BC1"/>
    <w:rsid w:val="00E93675"/>
    <w:rsid w:val="00EA7341"/>
    <w:rsid w:val="00EA79CB"/>
    <w:rsid w:val="00EF736D"/>
    <w:rsid w:val="00EF78A1"/>
    <w:rsid w:val="00F02F2A"/>
    <w:rsid w:val="00F4714E"/>
    <w:rsid w:val="00F65F97"/>
    <w:rsid w:val="00F67787"/>
    <w:rsid w:val="00F75571"/>
    <w:rsid w:val="00F82778"/>
    <w:rsid w:val="00FC22EE"/>
    <w:rsid w:val="00FD7586"/>
    <w:rsid w:val="00FF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E28C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rPr>
      <w:rFonts w:asciiTheme="minorHAnsi" w:eastAsiaTheme="minorHAnsi" w:hAnsiTheme="minorHAnsi" w:cstheme="minorBidi"/>
    </w:rPr>
  </w:style>
  <w:style w:type="paragraph" w:customStyle="1" w:styleId="covertext">
    <w:name w:val="cover text"/>
    <w:basedOn w:val="Normal"/>
    <w:rsid w:val="005615A6"/>
    <w:pPr>
      <w:spacing w:before="120" w:after="120"/>
    </w:pPr>
    <w:rPr>
      <w:rFonts w:eastAsiaTheme="minorEastAsia"/>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7039E5"/>
    <w:rPr>
      <w:color w:val="0563C1" w:themeColor="hyperlink"/>
      <w:u w:val="single"/>
    </w:rPr>
  </w:style>
  <w:style w:type="character" w:styleId="UnresolvedMention">
    <w:name w:val="Unresolved Mention"/>
    <w:basedOn w:val="DefaultParagraphFont"/>
    <w:uiPriority w:val="99"/>
    <w:rsid w:val="00703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303439030">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59665718">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492257674">
      <w:bodyDiv w:val="1"/>
      <w:marLeft w:val="0"/>
      <w:marRight w:val="0"/>
      <w:marTop w:val="0"/>
      <w:marBottom w:val="0"/>
      <w:divBdr>
        <w:top w:val="none" w:sz="0" w:space="0" w:color="auto"/>
        <w:left w:val="none" w:sz="0" w:space="0" w:color="auto"/>
        <w:bottom w:val="none" w:sz="0" w:space="0" w:color="auto"/>
        <w:right w:val="none" w:sz="0" w:space="0" w:color="auto"/>
      </w:divBdr>
    </w:div>
    <w:div w:id="1969899504">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51877196">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 w:id="214002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CEE78-AC4F-1B4A-BCC9-A2952268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Gary Stuebing (gstuebin)</cp:lastModifiedBy>
  <cp:revision>5</cp:revision>
  <dcterms:created xsi:type="dcterms:W3CDTF">2020-03-19T20:35:00Z</dcterms:created>
  <dcterms:modified xsi:type="dcterms:W3CDTF">2020-03-20T15:45:00Z</dcterms:modified>
</cp:coreProperties>
</file>