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7D49A1B" w:rsidR="00D13DD9" w:rsidRPr="00FF5325" w:rsidRDefault="00C32042" w:rsidP="00B9567F">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03</w:t>
            </w:r>
            <w:r w:rsidR="00826365" w:rsidRPr="00FF5325">
              <w:rPr>
                <w:b w:val="0"/>
                <w:sz w:val="24"/>
                <w:szCs w:val="24"/>
              </w:rPr>
              <w:t>-</w:t>
            </w:r>
            <w:r w:rsidR="00B9567F">
              <w:rPr>
                <w:b w:val="0"/>
                <w:sz w:val="24"/>
                <w:szCs w:val="24"/>
              </w:rPr>
              <w:t>23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Pr="00A43E19">
        <w:rPr>
          <w:rFonts w:ascii="Times New Roman" w:hAnsi="Times New Roman" w:cs="Times New Roman"/>
        </w:rPr>
        <w:fldChar w:fldCharType="begin"/>
      </w:r>
      <w:r w:rsidRPr="00A43E19">
        <w:rPr>
          <w:rFonts w:ascii="Times New Roman" w:hAnsi="Times New Roman" w:cs="Times New Roman"/>
        </w:rPr>
        <w:instrText xml:space="preserve"> HYPERLINK "https://mentor.ieee.org/myproject/Public/mytools/draft/chklist.pdf" </w:instrText>
      </w:r>
      <w:r w:rsidRPr="00A43E19">
        <w:rPr>
          <w:rFonts w:ascii="Times New Roman" w:hAnsi="Times New Roman" w:cs="Times New Roman"/>
        </w:rPr>
        <w:fldChar w:fldCharType="separate"/>
      </w:r>
      <w:r w:rsidRPr="00A43E19">
        <w:rPr>
          <w:rStyle w:val="Hyperlink"/>
          <w:rFonts w:ascii="Times New Roman" w:hAnsi="Times New Roman" w:cs="Times New Roman"/>
        </w:rPr>
        <w:t>https://mentor.ieee.org/myproject/Public/mytools/draft/chklist.pdf</w:t>
      </w:r>
      <w:r w:rsidRPr="00A43E19">
        <w:rPr>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Monday</w:t>
      </w:r>
      <w:r>
        <w:rPr>
          <w:b/>
          <w:sz w:val="28"/>
          <w:u w:val="single"/>
          <w:lang w:eastAsia="ja-JP"/>
        </w:rPr>
        <w:t xml:space="preserve">,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w:t>
      </w:r>
      <w:r>
        <w:rPr>
          <w:b/>
          <w:sz w:val="28"/>
          <w:u w:val="single"/>
          <w:lang w:eastAsia="ja-JP"/>
        </w:rPr>
        <w:t>1</w:t>
      </w:r>
      <w:r>
        <w:rPr>
          <w:b/>
          <w:sz w:val="28"/>
          <w:u w:val="single"/>
          <w:lang w:eastAsia="ja-JP"/>
        </w:rPr>
        <w:t>:00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bookmarkStart w:id="0" w:name="_GoBack"/>
      <w:bookmarkEnd w:id="0"/>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DE047" w14:textId="77777777" w:rsidR="00A26A48" w:rsidRDefault="00A26A48">
      <w:r>
        <w:separator/>
      </w:r>
    </w:p>
  </w:endnote>
  <w:endnote w:type="continuationSeparator" w:id="0">
    <w:p w14:paraId="4096020F" w14:textId="77777777" w:rsidR="00A26A48" w:rsidRDefault="00A2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AFD1AD8"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ED727C">
      <w:rPr>
        <w:noProof/>
        <w:lang w:val="de-DE"/>
      </w:rPr>
      <w:t>3</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A88A" w14:textId="77777777" w:rsidR="00A26A48" w:rsidRDefault="00A26A48">
      <w:r>
        <w:separator/>
      </w:r>
    </w:p>
  </w:footnote>
  <w:footnote w:type="continuationSeparator" w:id="0">
    <w:p w14:paraId="405B48CE" w14:textId="77777777" w:rsidR="00A26A48" w:rsidRDefault="00A2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0879017"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B9567F">
      <w:rPr>
        <w:rStyle w:val="highlight"/>
      </w:rPr>
      <w:t>2</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A4C0006E"/>
    <w:lvl w:ilvl="0" w:tplc="10C0157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638D"/>
    <w:rsid w:val="00882B53"/>
    <w:rsid w:val="008869A1"/>
    <w:rsid w:val="00893F37"/>
    <w:rsid w:val="00894559"/>
    <w:rsid w:val="008962FE"/>
    <w:rsid w:val="00897204"/>
    <w:rsid w:val="008A294D"/>
    <w:rsid w:val="008A353A"/>
    <w:rsid w:val="008A775F"/>
    <w:rsid w:val="008A7EF9"/>
    <w:rsid w:val="008B3E88"/>
    <w:rsid w:val="008B4170"/>
    <w:rsid w:val="008C58B4"/>
    <w:rsid w:val="008C684B"/>
    <w:rsid w:val="008D2388"/>
    <w:rsid w:val="008D3E7E"/>
    <w:rsid w:val="008D59B3"/>
    <w:rsid w:val="008D6B12"/>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1EE7"/>
    <w:rsid w:val="009D2487"/>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B31B9"/>
    <w:rsid w:val="00BC0578"/>
    <w:rsid w:val="00BC0A6E"/>
    <w:rsid w:val="00BC1C69"/>
    <w:rsid w:val="00BC560E"/>
    <w:rsid w:val="00BD35EE"/>
    <w:rsid w:val="00BD4137"/>
    <w:rsid w:val="00BD58FF"/>
    <w:rsid w:val="00BD6C7D"/>
    <w:rsid w:val="00BE0D6F"/>
    <w:rsid w:val="00BE2462"/>
    <w:rsid w:val="00BE49AC"/>
    <w:rsid w:val="00BE5CA2"/>
    <w:rsid w:val="00BF037E"/>
    <w:rsid w:val="00BF1B30"/>
    <w:rsid w:val="00BF7770"/>
    <w:rsid w:val="00C05964"/>
    <w:rsid w:val="00C07418"/>
    <w:rsid w:val="00C075E3"/>
    <w:rsid w:val="00C13BAD"/>
    <w:rsid w:val="00C1407A"/>
    <w:rsid w:val="00C16276"/>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F009B0"/>
    <w:rsid w:val="00F018E8"/>
    <w:rsid w:val="00F01D83"/>
    <w:rsid w:val="00F05181"/>
    <w:rsid w:val="00F0700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C225-EE8D-40D5-B305-AAE34C5F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2020-03-23T08:36:00Z</dcterms:created>
  <dcterms:modified xsi:type="dcterms:W3CDTF">2020-03-23T10:11:00Z</dcterms:modified>
  <cp:category/>
  <dc:language/>
</cp:coreProperties>
</file>