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CC" w:rsidRDefault="002929CC" w:rsidP="002929CC">
      <w:pPr>
        <w:jc w:val="center"/>
      </w:pPr>
    </w:p>
    <w:p w:rsidR="002929CC" w:rsidRPr="00D524D2" w:rsidRDefault="002929CC" w:rsidP="00D524D2">
      <w:pPr>
        <w:spacing w:after="0" w:line="240" w:lineRule="auto"/>
        <w:jc w:val="center"/>
        <w:rPr>
          <w:rFonts w:ascii="Times New Roman" w:eastAsia="Times New Roman" w:hAnsi="Times New Roman" w:cs="Times New Roman"/>
          <w:b/>
          <w:sz w:val="28"/>
          <w:szCs w:val="20"/>
        </w:rPr>
      </w:pPr>
      <w:r w:rsidRPr="00D524D2">
        <w:rPr>
          <w:rFonts w:ascii="Times New Roman" w:eastAsia="Times New Roman" w:hAnsi="Times New Roman" w:cs="Times New Roman"/>
          <w:b/>
          <w:sz w:val="28"/>
          <w:szCs w:val="20"/>
        </w:rPr>
        <w:t>IEEE P802.15</w:t>
      </w:r>
    </w:p>
    <w:p w:rsidR="002929CC" w:rsidRPr="00D524D2" w:rsidRDefault="002929CC" w:rsidP="00D524D2">
      <w:pPr>
        <w:spacing w:after="0" w:line="240" w:lineRule="auto"/>
        <w:jc w:val="center"/>
        <w:rPr>
          <w:rFonts w:ascii="Times New Roman" w:eastAsia="Times New Roman" w:hAnsi="Times New Roman" w:cs="Times New Roman"/>
          <w:b/>
          <w:sz w:val="28"/>
          <w:szCs w:val="20"/>
        </w:rPr>
      </w:pPr>
      <w:r w:rsidRPr="00D524D2">
        <w:rPr>
          <w:rFonts w:ascii="Times New Roman" w:eastAsia="Times New Roman" w:hAnsi="Times New Roman" w:cs="Times New Roman"/>
          <w:b/>
          <w:sz w:val="28"/>
          <w:szCs w:val="20"/>
        </w:rPr>
        <w:t>Wireless Personal Area Networks</w:t>
      </w:r>
    </w:p>
    <w:p w:rsidR="002929CC" w:rsidRDefault="002929CC" w:rsidP="002929C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929CC" w:rsidTr="00E35054">
        <w:tc>
          <w:tcPr>
            <w:tcW w:w="1260" w:type="dxa"/>
            <w:tcBorders>
              <w:top w:val="single" w:sz="6" w:space="0" w:color="auto"/>
            </w:tcBorders>
          </w:tcPr>
          <w:p w:rsidR="002929CC" w:rsidRDefault="002929CC" w:rsidP="00E35054">
            <w:pPr>
              <w:pStyle w:val="covertext"/>
            </w:pPr>
            <w:r>
              <w:t>Project</w:t>
            </w:r>
          </w:p>
        </w:tc>
        <w:tc>
          <w:tcPr>
            <w:tcW w:w="8190" w:type="dxa"/>
            <w:gridSpan w:val="2"/>
            <w:tcBorders>
              <w:top w:val="single" w:sz="6" w:space="0" w:color="auto"/>
            </w:tcBorders>
          </w:tcPr>
          <w:p w:rsidR="002929CC" w:rsidRDefault="002929CC" w:rsidP="00E35054">
            <w:pPr>
              <w:pStyle w:val="covertext"/>
            </w:pPr>
            <w:r>
              <w:t>IEEE P802.15 Working Group for Wireless Personal Area Networks (WPANs)</w:t>
            </w:r>
          </w:p>
        </w:tc>
      </w:tr>
      <w:tr w:rsidR="002929CC" w:rsidTr="00E35054">
        <w:tc>
          <w:tcPr>
            <w:tcW w:w="1260" w:type="dxa"/>
            <w:tcBorders>
              <w:top w:val="single" w:sz="6" w:space="0" w:color="auto"/>
            </w:tcBorders>
          </w:tcPr>
          <w:p w:rsidR="002929CC" w:rsidRDefault="002929CC" w:rsidP="00E35054">
            <w:pPr>
              <w:pStyle w:val="covertext"/>
            </w:pPr>
            <w:r>
              <w:t>Title</w:t>
            </w:r>
          </w:p>
        </w:tc>
        <w:tc>
          <w:tcPr>
            <w:tcW w:w="8190" w:type="dxa"/>
            <w:gridSpan w:val="2"/>
            <w:tcBorders>
              <w:top w:val="single" w:sz="6" w:space="0" w:color="auto"/>
            </w:tcBorders>
          </w:tcPr>
          <w:p w:rsidR="002929CC" w:rsidRDefault="002929CC" w:rsidP="00E35054">
            <w:pPr>
              <w:pStyle w:val="covertext"/>
            </w:pPr>
            <w:r>
              <w:t>Task Group 4z meeting minutes for January 2020</w:t>
            </w:r>
          </w:p>
        </w:tc>
      </w:tr>
      <w:tr w:rsidR="002929CC" w:rsidTr="00E35054">
        <w:tc>
          <w:tcPr>
            <w:tcW w:w="1260" w:type="dxa"/>
            <w:tcBorders>
              <w:top w:val="single" w:sz="6" w:space="0" w:color="auto"/>
            </w:tcBorders>
          </w:tcPr>
          <w:p w:rsidR="002929CC" w:rsidRDefault="002929CC" w:rsidP="00E35054">
            <w:pPr>
              <w:pStyle w:val="covertext"/>
            </w:pPr>
            <w:r>
              <w:t>Date Submitted</w:t>
            </w:r>
          </w:p>
        </w:tc>
        <w:tc>
          <w:tcPr>
            <w:tcW w:w="8190" w:type="dxa"/>
            <w:gridSpan w:val="2"/>
            <w:tcBorders>
              <w:top w:val="single" w:sz="6" w:space="0" w:color="auto"/>
            </w:tcBorders>
          </w:tcPr>
          <w:p w:rsidR="002929CC" w:rsidRDefault="002929CC" w:rsidP="00E35054">
            <w:pPr>
              <w:pStyle w:val="covertext"/>
            </w:pPr>
            <w:r>
              <w:t>16-Jan-2020</w:t>
            </w:r>
          </w:p>
        </w:tc>
      </w:tr>
      <w:tr w:rsidR="002929CC" w:rsidTr="00E35054">
        <w:tc>
          <w:tcPr>
            <w:tcW w:w="1260" w:type="dxa"/>
            <w:tcBorders>
              <w:top w:val="single" w:sz="4" w:space="0" w:color="auto"/>
              <w:bottom w:val="single" w:sz="4" w:space="0" w:color="auto"/>
            </w:tcBorders>
          </w:tcPr>
          <w:p w:rsidR="002929CC" w:rsidRDefault="002929CC" w:rsidP="00E35054">
            <w:pPr>
              <w:pStyle w:val="covertext"/>
            </w:pPr>
            <w:r>
              <w:t>Source</w:t>
            </w:r>
          </w:p>
        </w:tc>
        <w:tc>
          <w:tcPr>
            <w:tcW w:w="4050" w:type="dxa"/>
            <w:tcBorders>
              <w:top w:val="single" w:sz="4" w:space="0" w:color="auto"/>
              <w:bottom w:val="single" w:sz="4" w:space="0" w:color="auto"/>
            </w:tcBorders>
          </w:tcPr>
          <w:p w:rsidR="002929CC" w:rsidRDefault="002929CC" w:rsidP="00E35054">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rsidR="002929CC" w:rsidRDefault="002929CC" w:rsidP="00E35054">
            <w:pPr>
              <w:pStyle w:val="covertext"/>
              <w:spacing w:before="0" w:after="0"/>
            </w:pPr>
            <w:r>
              <w:t>[Benjamin A. Rolfe]</w:t>
            </w:r>
          </w:p>
          <w:p w:rsidR="002929CC" w:rsidRDefault="002929CC" w:rsidP="00E35054">
            <w:pPr>
              <w:pStyle w:val="covertext"/>
              <w:spacing w:before="0" w:after="0"/>
            </w:pPr>
            <w:r>
              <w:t>[BCA]</w:t>
            </w:r>
          </w:p>
        </w:tc>
        <w:tc>
          <w:tcPr>
            <w:tcW w:w="4140" w:type="dxa"/>
            <w:tcBorders>
              <w:top w:val="single" w:sz="4" w:space="0" w:color="auto"/>
              <w:bottom w:val="single" w:sz="4" w:space="0" w:color="auto"/>
            </w:tcBorders>
          </w:tcPr>
          <w:p w:rsidR="002929CC" w:rsidRDefault="002929CC" w:rsidP="00E35054">
            <w:pPr>
              <w:pStyle w:val="covertext"/>
              <w:tabs>
                <w:tab w:val="left" w:pos="1152"/>
              </w:tabs>
              <w:spacing w:before="0" w:after="0"/>
            </w:pPr>
            <w:r>
              <w:t>E-mail: [</w:t>
            </w:r>
            <w:proofErr w:type="spellStart"/>
            <w:r>
              <w:t>ben.rolfe</w:t>
            </w:r>
            <w:proofErr w:type="spellEnd"/>
            <w:r>
              <w:t xml:space="preserve"> @ ieee.org ]</w:t>
            </w:r>
          </w:p>
          <w:p w:rsidR="002929CC" w:rsidRPr="0061562F" w:rsidRDefault="002929CC" w:rsidP="00E35054">
            <w:pPr>
              <w:pStyle w:val="covertext"/>
              <w:tabs>
                <w:tab w:val="left" w:pos="1152"/>
              </w:tabs>
              <w:spacing w:before="0" w:after="0"/>
            </w:pPr>
            <w:r>
              <w:t xml:space="preserve">             </w:t>
            </w:r>
          </w:p>
        </w:tc>
      </w:tr>
      <w:tr w:rsidR="002929CC" w:rsidTr="00E35054">
        <w:tc>
          <w:tcPr>
            <w:tcW w:w="1260" w:type="dxa"/>
            <w:tcBorders>
              <w:top w:val="single" w:sz="6" w:space="0" w:color="auto"/>
            </w:tcBorders>
          </w:tcPr>
          <w:p w:rsidR="002929CC" w:rsidRDefault="002929CC" w:rsidP="00E35054">
            <w:pPr>
              <w:pStyle w:val="covertext"/>
            </w:pPr>
            <w:r>
              <w:t>Re:</w:t>
            </w:r>
          </w:p>
        </w:tc>
        <w:tc>
          <w:tcPr>
            <w:tcW w:w="8190" w:type="dxa"/>
            <w:gridSpan w:val="2"/>
            <w:tcBorders>
              <w:top w:val="single" w:sz="6" w:space="0" w:color="auto"/>
            </w:tcBorders>
          </w:tcPr>
          <w:p w:rsidR="002929CC" w:rsidRDefault="002929CC" w:rsidP="00E35054">
            <w:pPr>
              <w:pStyle w:val="covertext"/>
            </w:pPr>
            <w:r>
              <w:t>Meeting minutes</w:t>
            </w:r>
          </w:p>
        </w:tc>
      </w:tr>
      <w:tr w:rsidR="002929CC" w:rsidTr="00E35054">
        <w:tc>
          <w:tcPr>
            <w:tcW w:w="1260" w:type="dxa"/>
            <w:tcBorders>
              <w:top w:val="single" w:sz="6" w:space="0" w:color="auto"/>
            </w:tcBorders>
          </w:tcPr>
          <w:p w:rsidR="002929CC" w:rsidRDefault="002929CC" w:rsidP="00E35054">
            <w:pPr>
              <w:pStyle w:val="covertext"/>
            </w:pPr>
            <w:r>
              <w:t>Abstract</w:t>
            </w:r>
          </w:p>
        </w:tc>
        <w:tc>
          <w:tcPr>
            <w:tcW w:w="8190" w:type="dxa"/>
            <w:gridSpan w:val="2"/>
            <w:tcBorders>
              <w:top w:val="single" w:sz="6" w:space="0" w:color="auto"/>
            </w:tcBorders>
          </w:tcPr>
          <w:p w:rsidR="002929CC" w:rsidRDefault="002929CC" w:rsidP="00E35054">
            <w:pPr>
              <w:pStyle w:val="covertext"/>
            </w:pPr>
            <w:r>
              <w:t>Task</w:t>
            </w:r>
            <w:r w:rsidRPr="00713A35">
              <w:t xml:space="preserve"> Gro</w:t>
            </w:r>
            <w:r>
              <w:t xml:space="preserve">up minutes </w:t>
            </w:r>
          </w:p>
        </w:tc>
      </w:tr>
      <w:tr w:rsidR="002929CC" w:rsidTr="00E35054">
        <w:tc>
          <w:tcPr>
            <w:tcW w:w="1260" w:type="dxa"/>
            <w:tcBorders>
              <w:top w:val="single" w:sz="6" w:space="0" w:color="auto"/>
            </w:tcBorders>
          </w:tcPr>
          <w:p w:rsidR="002929CC" w:rsidRDefault="002929CC" w:rsidP="00E35054">
            <w:pPr>
              <w:pStyle w:val="covertext"/>
            </w:pPr>
            <w:r>
              <w:t>Purpose</w:t>
            </w:r>
          </w:p>
        </w:tc>
        <w:tc>
          <w:tcPr>
            <w:tcW w:w="8190" w:type="dxa"/>
            <w:gridSpan w:val="2"/>
            <w:tcBorders>
              <w:top w:val="single" w:sz="6" w:space="0" w:color="auto"/>
            </w:tcBorders>
          </w:tcPr>
          <w:p w:rsidR="002929CC" w:rsidRDefault="002929CC" w:rsidP="00E35054">
            <w:pPr>
              <w:pStyle w:val="covertext"/>
            </w:pPr>
            <w:r>
              <w:t>Document task group meeting</w:t>
            </w:r>
          </w:p>
        </w:tc>
      </w:tr>
      <w:tr w:rsidR="002929CC" w:rsidTr="00E35054">
        <w:tc>
          <w:tcPr>
            <w:tcW w:w="1260" w:type="dxa"/>
            <w:tcBorders>
              <w:top w:val="single" w:sz="6" w:space="0" w:color="auto"/>
              <w:bottom w:val="single" w:sz="6" w:space="0" w:color="auto"/>
            </w:tcBorders>
          </w:tcPr>
          <w:p w:rsidR="002929CC" w:rsidRDefault="002929CC" w:rsidP="00E35054">
            <w:pPr>
              <w:pStyle w:val="covertext"/>
            </w:pPr>
            <w:r>
              <w:t>Notice</w:t>
            </w:r>
          </w:p>
        </w:tc>
        <w:tc>
          <w:tcPr>
            <w:tcW w:w="8190" w:type="dxa"/>
            <w:gridSpan w:val="2"/>
            <w:tcBorders>
              <w:top w:val="single" w:sz="6" w:space="0" w:color="auto"/>
              <w:bottom w:val="single" w:sz="6" w:space="0" w:color="auto"/>
            </w:tcBorders>
          </w:tcPr>
          <w:p w:rsidR="002929CC" w:rsidRDefault="002929CC" w:rsidP="00E3505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929CC" w:rsidTr="00E35054">
        <w:tc>
          <w:tcPr>
            <w:tcW w:w="1260" w:type="dxa"/>
            <w:tcBorders>
              <w:top w:val="single" w:sz="6" w:space="0" w:color="auto"/>
              <w:bottom w:val="single" w:sz="6" w:space="0" w:color="auto"/>
            </w:tcBorders>
          </w:tcPr>
          <w:p w:rsidR="002929CC" w:rsidRDefault="002929CC" w:rsidP="00E35054">
            <w:pPr>
              <w:pStyle w:val="covertext"/>
            </w:pPr>
            <w:r>
              <w:t>Release</w:t>
            </w:r>
          </w:p>
        </w:tc>
        <w:tc>
          <w:tcPr>
            <w:tcW w:w="8190" w:type="dxa"/>
            <w:gridSpan w:val="2"/>
            <w:tcBorders>
              <w:top w:val="single" w:sz="6" w:space="0" w:color="auto"/>
              <w:bottom w:val="single" w:sz="6" w:space="0" w:color="auto"/>
            </w:tcBorders>
          </w:tcPr>
          <w:p w:rsidR="002929CC" w:rsidRDefault="002929CC" w:rsidP="00E35054">
            <w:pPr>
              <w:pStyle w:val="covertext"/>
            </w:pPr>
            <w:r>
              <w:t>The contributor acknowledges and accepts that this contribution becomes the property of IEEE and may be made publicly available by P802.15.</w:t>
            </w:r>
          </w:p>
        </w:tc>
      </w:tr>
    </w:tbl>
    <w:p w:rsidR="002929CC" w:rsidRDefault="002929CC">
      <w:r>
        <w:br w:type="page"/>
      </w:r>
    </w:p>
    <w:p w:rsidR="002929CC" w:rsidRDefault="002929CC"/>
    <w:tbl>
      <w:tblPr>
        <w:tblW w:w="14310" w:type="dxa"/>
        <w:tblLook w:val="04A0" w:firstRow="1" w:lastRow="0" w:firstColumn="1" w:lastColumn="0" w:noHBand="0" w:noVBand="1"/>
      </w:tblPr>
      <w:tblGrid>
        <w:gridCol w:w="720"/>
        <w:gridCol w:w="810"/>
        <w:gridCol w:w="1109"/>
        <w:gridCol w:w="585"/>
        <w:gridCol w:w="4356"/>
        <w:gridCol w:w="1260"/>
        <w:gridCol w:w="5470"/>
      </w:tblGrid>
      <w:tr w:rsidR="002929CC" w:rsidRPr="002929CC" w:rsidTr="002929CC">
        <w:tc>
          <w:tcPr>
            <w:tcW w:w="720" w:type="dxa"/>
            <w:tcBorders>
              <w:top w:val="nil"/>
              <w:left w:val="nil"/>
              <w:bottom w:val="nil"/>
              <w:right w:val="nil"/>
            </w:tcBorders>
            <w:shd w:val="clear" w:color="auto" w:fill="auto"/>
            <w:noWrap/>
          </w:tcPr>
          <w:p w:rsidR="002929CC" w:rsidRDefault="002929CC" w:rsidP="002929CC">
            <w:pPr>
              <w:rPr>
                <w:rFonts w:ascii="Calibri" w:hAnsi="Calibri" w:cs="Arial"/>
                <w:color w:val="000000"/>
              </w:rPr>
            </w:pPr>
            <w:r>
              <w:rPr>
                <w:rFonts w:ascii="Calibri" w:hAnsi="Calibri" w:cs="Arial"/>
                <w:color w:val="000000"/>
              </w:rPr>
              <w:t>CID</w:t>
            </w:r>
          </w:p>
        </w:tc>
        <w:tc>
          <w:tcPr>
            <w:tcW w:w="810" w:type="dxa"/>
            <w:tcBorders>
              <w:top w:val="nil"/>
              <w:left w:val="nil"/>
              <w:bottom w:val="nil"/>
              <w:right w:val="nil"/>
            </w:tcBorders>
            <w:shd w:val="clear" w:color="auto" w:fill="auto"/>
            <w:noWrap/>
          </w:tcPr>
          <w:p w:rsidR="002929CC" w:rsidRDefault="002929CC" w:rsidP="002929CC">
            <w:pPr>
              <w:rPr>
                <w:rFonts w:ascii="Calibri" w:hAnsi="Calibri" w:cs="Arial"/>
                <w:color w:val="000000"/>
              </w:rPr>
            </w:pPr>
            <w:r>
              <w:rPr>
                <w:rFonts w:ascii="Calibri" w:hAnsi="Calibri" w:cs="Arial"/>
                <w:color w:val="000000"/>
              </w:rPr>
              <w:t>Page</w:t>
            </w:r>
          </w:p>
        </w:tc>
        <w:tc>
          <w:tcPr>
            <w:tcW w:w="1109" w:type="dxa"/>
            <w:tcBorders>
              <w:top w:val="nil"/>
              <w:left w:val="nil"/>
              <w:bottom w:val="nil"/>
              <w:right w:val="nil"/>
            </w:tcBorders>
            <w:shd w:val="clear" w:color="auto" w:fill="auto"/>
            <w:noWrap/>
          </w:tcPr>
          <w:p w:rsidR="002929CC" w:rsidRDefault="002929CC" w:rsidP="002929CC">
            <w:pPr>
              <w:rPr>
                <w:rFonts w:ascii="Calibri" w:hAnsi="Calibri" w:cs="Arial"/>
                <w:color w:val="000000"/>
              </w:rPr>
            </w:pPr>
            <w:r>
              <w:rPr>
                <w:rFonts w:ascii="Calibri" w:hAnsi="Calibri" w:cs="Arial"/>
                <w:color w:val="000000"/>
              </w:rPr>
              <w:t>Subclause</w:t>
            </w:r>
          </w:p>
        </w:tc>
        <w:tc>
          <w:tcPr>
            <w:tcW w:w="585" w:type="dxa"/>
            <w:tcBorders>
              <w:top w:val="nil"/>
              <w:left w:val="nil"/>
              <w:bottom w:val="nil"/>
              <w:right w:val="nil"/>
            </w:tcBorders>
            <w:shd w:val="clear" w:color="auto" w:fill="auto"/>
            <w:noWrap/>
          </w:tcPr>
          <w:p w:rsidR="002929CC" w:rsidRDefault="002929CC" w:rsidP="002929CC">
            <w:pPr>
              <w:rPr>
                <w:rFonts w:ascii="Calibri" w:hAnsi="Calibri" w:cs="Arial"/>
                <w:color w:val="000000"/>
              </w:rPr>
            </w:pPr>
            <w:r>
              <w:rPr>
                <w:rFonts w:ascii="Calibri" w:hAnsi="Calibri" w:cs="Arial"/>
                <w:color w:val="000000"/>
              </w:rPr>
              <w:t>Line</w:t>
            </w:r>
          </w:p>
        </w:tc>
        <w:tc>
          <w:tcPr>
            <w:tcW w:w="4356" w:type="dxa"/>
            <w:tcBorders>
              <w:top w:val="nil"/>
              <w:left w:val="nil"/>
              <w:bottom w:val="nil"/>
              <w:right w:val="nil"/>
            </w:tcBorders>
            <w:shd w:val="clear" w:color="auto" w:fill="auto"/>
          </w:tcPr>
          <w:p w:rsidR="002929CC" w:rsidRDefault="002929CC" w:rsidP="002929CC">
            <w:pPr>
              <w:rPr>
                <w:rFonts w:ascii="Calibri" w:hAnsi="Calibri" w:cs="Arial"/>
                <w:color w:val="000000"/>
              </w:rPr>
            </w:pPr>
            <w:r>
              <w:rPr>
                <w:rFonts w:ascii="Calibri" w:hAnsi="Calibri" w:cs="Arial"/>
                <w:color w:val="000000"/>
              </w:rPr>
              <w:t>Comment</w:t>
            </w:r>
          </w:p>
        </w:tc>
        <w:tc>
          <w:tcPr>
            <w:tcW w:w="1260" w:type="dxa"/>
            <w:tcBorders>
              <w:top w:val="nil"/>
              <w:left w:val="nil"/>
              <w:bottom w:val="nil"/>
              <w:right w:val="nil"/>
            </w:tcBorders>
            <w:shd w:val="clear" w:color="auto" w:fill="auto"/>
            <w:noWrap/>
          </w:tcPr>
          <w:p w:rsidR="002929CC" w:rsidRDefault="002929CC" w:rsidP="002929CC">
            <w:pPr>
              <w:rPr>
                <w:rFonts w:ascii="Calibri" w:hAnsi="Calibri" w:cs="Arial"/>
                <w:color w:val="000000"/>
              </w:rPr>
            </w:pPr>
            <w:r>
              <w:rPr>
                <w:rFonts w:ascii="Calibri" w:hAnsi="Calibri" w:cs="Arial"/>
                <w:color w:val="000000"/>
              </w:rPr>
              <w:t>Disposition Status</w:t>
            </w:r>
          </w:p>
        </w:tc>
        <w:tc>
          <w:tcPr>
            <w:tcW w:w="5470" w:type="dxa"/>
            <w:tcBorders>
              <w:top w:val="nil"/>
              <w:left w:val="nil"/>
              <w:bottom w:val="nil"/>
              <w:right w:val="nil"/>
            </w:tcBorders>
            <w:shd w:val="clear" w:color="auto" w:fill="auto"/>
          </w:tcPr>
          <w:p w:rsidR="002929CC" w:rsidRDefault="002929CC" w:rsidP="002929CC">
            <w:pPr>
              <w:rPr>
                <w:rFonts w:ascii="Calibri" w:hAnsi="Calibri" w:cs="Arial"/>
                <w:color w:val="000000"/>
              </w:rPr>
            </w:pPr>
            <w:r>
              <w:rPr>
                <w:rFonts w:ascii="Calibri" w:hAnsi="Calibri" w:cs="Arial"/>
                <w:color w:val="000000"/>
              </w:rPr>
              <w:t>Disposition Detail</w:t>
            </w:r>
          </w:p>
        </w:tc>
      </w:tr>
      <w:tr w:rsidR="002929CC" w:rsidRPr="002929CC" w:rsidTr="002929CC">
        <w:trPr>
          <w:trHeight w:val="6336"/>
        </w:trPr>
        <w:tc>
          <w:tcPr>
            <w:tcW w:w="72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i-221</w:t>
            </w:r>
          </w:p>
        </w:tc>
        <w:tc>
          <w:tcPr>
            <w:tcW w:w="810"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12</w:t>
            </w:r>
          </w:p>
        </w:tc>
        <w:tc>
          <w:tcPr>
            <w:tcW w:w="1109"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2</w:t>
            </w:r>
          </w:p>
        </w:tc>
        <w:tc>
          <w:tcPr>
            <w:tcW w:w="585"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3</w:t>
            </w:r>
          </w:p>
        </w:tc>
        <w:tc>
          <w:tcPr>
            <w:tcW w:w="4356"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 do not think the IEEE 802.15.9 is normative reference for this amendment. The 6.9.6.9 using it says it can be used, it is not mandatory, thus 802.15.4z can be implemented without implementing 802.15.9 or even reading that document at all.</w:t>
            </w:r>
          </w:p>
        </w:tc>
        <w:tc>
          <w:tcPr>
            <w:tcW w:w="126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Revised</w:t>
            </w:r>
          </w:p>
        </w:tc>
        <w:tc>
          <w:tcPr>
            <w:tcW w:w="5470"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 xml:space="preserve">Replace the third and </w:t>
            </w:r>
            <w:proofErr w:type="spellStart"/>
            <w:r w:rsidRPr="002929CC">
              <w:rPr>
                <w:rFonts w:ascii="Calibri" w:eastAsia="Times New Roman" w:hAnsi="Calibri" w:cs="Arial"/>
                <w:color w:val="000000"/>
              </w:rPr>
              <w:t>forth</w:t>
            </w:r>
            <w:proofErr w:type="spellEnd"/>
            <w:r w:rsidRPr="002929CC">
              <w:rPr>
                <w:rFonts w:ascii="Calibri" w:eastAsia="Times New Roman" w:hAnsi="Calibri" w:cs="Arial"/>
                <w:color w:val="000000"/>
              </w:rPr>
              <w:t xml:space="preserve"> sentences of the first paragraph of 6.9.6.9 as follows</w:t>
            </w:r>
            <w:proofErr w:type="gramStart"/>
            <w:r w:rsidRPr="002929CC">
              <w:rPr>
                <w:rFonts w:ascii="Calibri" w:eastAsia="Times New Roman" w:hAnsi="Calibri" w:cs="Arial"/>
                <w:color w:val="000000"/>
              </w:rPr>
              <w:t>:</w:t>
            </w:r>
            <w:proofErr w:type="gramEnd"/>
            <w:r w:rsidRPr="002929CC">
              <w:rPr>
                <w:rFonts w:ascii="Calibri" w:eastAsia="Times New Roman" w:hAnsi="Calibri" w:cs="Arial"/>
                <w:color w:val="000000"/>
              </w:rPr>
              <w:br/>
              <w:t>When used for this purpose, the MPX IE shall be used as follows: (refer to Figure 9 of 21 IEEE Std 802.15.9).</w:t>
            </w:r>
            <w:r w:rsidRPr="002929CC">
              <w:rPr>
                <w:rFonts w:ascii="Calibri" w:eastAsia="Times New Roman" w:hAnsi="Calibri" w:cs="Arial"/>
                <w:color w:val="000000"/>
              </w:rPr>
              <w:br/>
            </w:r>
            <w:r w:rsidRPr="002929CC">
              <w:rPr>
                <w:rFonts w:ascii="Calibri" w:eastAsia="Times New Roman" w:hAnsi="Calibri" w:cs="Arial"/>
                <w:color w:val="000000"/>
              </w:rPr>
              <w:br/>
              <w:t>Replace the second paragraph of 6.9.6.9</w:t>
            </w:r>
            <w:proofErr w:type="gramStart"/>
            <w:r w:rsidRPr="002929CC">
              <w:rPr>
                <w:rFonts w:ascii="Calibri" w:eastAsia="Times New Roman" w:hAnsi="Calibri" w:cs="Arial"/>
                <w:color w:val="000000"/>
              </w:rPr>
              <w:t>:</w:t>
            </w:r>
            <w:proofErr w:type="gramEnd"/>
            <w:r w:rsidRPr="002929CC">
              <w:rPr>
                <w:rFonts w:ascii="Calibri" w:eastAsia="Times New Roman" w:hAnsi="Calibri" w:cs="Arial"/>
                <w:color w:val="000000"/>
              </w:rPr>
              <w:br/>
              <w:t>The Transfer Type field shall be set to one (0b001) to indicate that the Multiplex ID associated with the dispatch code for the MPX IE is indicated by the Transaction ID field of the Transaction Control field. The Transaction ID field contains the five least significant bits of the Multiplex ID used as the dispatch code as defined in Table 20, of IEEE Std 802.15.9, and is used as an identifier to specify that this frame contains information used for Ranging Enhanced Secure Transactions.</w:t>
            </w:r>
            <w:r w:rsidRPr="002929CC">
              <w:rPr>
                <w:rFonts w:ascii="Calibri" w:eastAsia="Times New Roman" w:hAnsi="Calibri" w:cs="Arial"/>
                <w:color w:val="000000"/>
              </w:rPr>
              <w:br/>
            </w:r>
            <w:r w:rsidRPr="002929CC">
              <w:rPr>
                <w:rFonts w:ascii="Calibri" w:eastAsia="Times New Roman" w:hAnsi="Calibri" w:cs="Arial"/>
                <w:color w:val="000000"/>
              </w:rPr>
              <w:br/>
              <w:t>Change third sentence of third paragraph of 6.9.6.9 to</w:t>
            </w:r>
            <w:proofErr w:type="gramStart"/>
            <w:r w:rsidRPr="002929CC">
              <w:rPr>
                <w:rFonts w:ascii="Calibri" w:eastAsia="Times New Roman" w:hAnsi="Calibri" w:cs="Arial"/>
                <w:color w:val="000000"/>
              </w:rPr>
              <w:t>:</w:t>
            </w:r>
            <w:proofErr w:type="gramEnd"/>
            <w:r w:rsidRPr="002929CC">
              <w:rPr>
                <w:rFonts w:ascii="Calibri" w:eastAsia="Times New Roman" w:hAnsi="Calibri" w:cs="Arial"/>
                <w:color w:val="000000"/>
              </w:rPr>
              <w:br/>
              <w:t xml:space="preserve">When used for this purpose, the Upper-Layer Frame Fragment field of the MPX IE </w:t>
            </w:r>
            <w:r w:rsidRPr="002929CC">
              <w:rPr>
                <w:rFonts w:ascii="Calibri" w:eastAsia="Times New Roman" w:hAnsi="Calibri" w:cs="Arial"/>
                <w:color w:val="000000"/>
              </w:rPr>
              <w:br/>
              <w:t xml:space="preserve">carries information to identify and distinguish transactions, with MAC payload used by the next higher layer to route the payload, and shall be formatted as shown in Figure 12.  </w:t>
            </w:r>
          </w:p>
        </w:tc>
      </w:tr>
      <w:tr w:rsidR="002929CC" w:rsidRPr="002929CC" w:rsidTr="002929CC">
        <w:trPr>
          <w:trHeight w:val="2304"/>
        </w:trPr>
        <w:tc>
          <w:tcPr>
            <w:tcW w:w="72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lastRenderedPageBreak/>
              <w:t>i-217</w:t>
            </w:r>
          </w:p>
        </w:tc>
        <w:tc>
          <w:tcPr>
            <w:tcW w:w="810"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12</w:t>
            </w:r>
          </w:p>
        </w:tc>
        <w:tc>
          <w:tcPr>
            <w:tcW w:w="1109"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2</w:t>
            </w:r>
          </w:p>
        </w:tc>
        <w:tc>
          <w:tcPr>
            <w:tcW w:w="585"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5</w:t>
            </w:r>
          </w:p>
        </w:tc>
        <w:tc>
          <w:tcPr>
            <w:tcW w:w="4356"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 do not think ISO/IEC 7816-4:2013 is normative reference for 802.15.4.</w:t>
            </w:r>
          </w:p>
        </w:tc>
        <w:tc>
          <w:tcPr>
            <w:tcW w:w="126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Rejected</w:t>
            </w:r>
          </w:p>
        </w:tc>
        <w:tc>
          <w:tcPr>
            <w:tcW w:w="5470"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 xml:space="preserve">The CRG disagrees with the comment:  ISO/IEC 7816-4 is referenced normatively in Table 5 and Table 6 (6.9.6.9); the role and </w:t>
            </w:r>
            <w:proofErr w:type="spellStart"/>
            <w:r w:rsidRPr="002929CC">
              <w:rPr>
                <w:rFonts w:ascii="Calibri" w:eastAsia="Times New Roman" w:hAnsi="Calibri" w:cs="Arial"/>
                <w:color w:val="000000"/>
              </w:rPr>
              <w:t>siginficance</w:t>
            </w:r>
            <w:proofErr w:type="spellEnd"/>
            <w:r w:rsidRPr="002929CC">
              <w:rPr>
                <w:rFonts w:ascii="Calibri" w:eastAsia="Times New Roman" w:hAnsi="Calibri" w:cs="Arial"/>
                <w:color w:val="000000"/>
              </w:rPr>
              <w:t xml:space="preserve"> of the reference is clear: it is defining format of a field in an over the air data structure, the format of which is defined in this standard. The reference contains information users of the standard must have and understand in order to correctly implement the Information Element.</w:t>
            </w:r>
          </w:p>
        </w:tc>
      </w:tr>
      <w:tr w:rsidR="002929CC" w:rsidRPr="002929CC" w:rsidTr="002929CC">
        <w:trPr>
          <w:trHeight w:val="2304"/>
        </w:trPr>
        <w:tc>
          <w:tcPr>
            <w:tcW w:w="72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i-218</w:t>
            </w:r>
          </w:p>
        </w:tc>
        <w:tc>
          <w:tcPr>
            <w:tcW w:w="810"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12</w:t>
            </w:r>
          </w:p>
        </w:tc>
        <w:tc>
          <w:tcPr>
            <w:tcW w:w="1109"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2</w:t>
            </w:r>
          </w:p>
        </w:tc>
        <w:tc>
          <w:tcPr>
            <w:tcW w:w="585"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7</w:t>
            </w:r>
          </w:p>
        </w:tc>
        <w:tc>
          <w:tcPr>
            <w:tcW w:w="4356"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 do not think ISO/IEC 7816-5:2013 is normative reference for 802.15.4.</w:t>
            </w:r>
          </w:p>
        </w:tc>
        <w:tc>
          <w:tcPr>
            <w:tcW w:w="126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Rejected</w:t>
            </w:r>
          </w:p>
        </w:tc>
        <w:tc>
          <w:tcPr>
            <w:tcW w:w="5470"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 xml:space="preserve">The CRG disagrees with the comment:  ISO/IEC 7816-4 is referenced normatively in Table 5 and Table 6 (6.9.6.9); the role and </w:t>
            </w:r>
            <w:proofErr w:type="spellStart"/>
            <w:r w:rsidRPr="002929CC">
              <w:rPr>
                <w:rFonts w:ascii="Calibri" w:eastAsia="Times New Roman" w:hAnsi="Calibri" w:cs="Arial"/>
                <w:color w:val="000000"/>
              </w:rPr>
              <w:t>siginficance</w:t>
            </w:r>
            <w:proofErr w:type="spellEnd"/>
            <w:r w:rsidRPr="002929CC">
              <w:rPr>
                <w:rFonts w:ascii="Calibri" w:eastAsia="Times New Roman" w:hAnsi="Calibri" w:cs="Arial"/>
                <w:color w:val="000000"/>
              </w:rPr>
              <w:t xml:space="preserve"> of the reference is clear: it is defining format of a field in an over the air data structure, the format of which is defined in this standard. The reference contains information users of the standard must have and understand in order to correctly implement the Information Element.</w:t>
            </w:r>
          </w:p>
        </w:tc>
      </w:tr>
      <w:tr w:rsidR="002929CC" w:rsidRPr="002929CC" w:rsidTr="002929CC">
        <w:trPr>
          <w:trHeight w:val="2304"/>
        </w:trPr>
        <w:tc>
          <w:tcPr>
            <w:tcW w:w="72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i-219</w:t>
            </w:r>
          </w:p>
        </w:tc>
        <w:tc>
          <w:tcPr>
            <w:tcW w:w="810"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12</w:t>
            </w:r>
          </w:p>
        </w:tc>
        <w:tc>
          <w:tcPr>
            <w:tcW w:w="1109"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2</w:t>
            </w:r>
          </w:p>
        </w:tc>
        <w:tc>
          <w:tcPr>
            <w:tcW w:w="585"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9</w:t>
            </w:r>
          </w:p>
        </w:tc>
        <w:tc>
          <w:tcPr>
            <w:tcW w:w="4356"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I do not think JIS X 6319-4:2016 is normative reference for 802.15.4.</w:t>
            </w:r>
          </w:p>
        </w:tc>
        <w:tc>
          <w:tcPr>
            <w:tcW w:w="126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Rejected</w:t>
            </w:r>
          </w:p>
        </w:tc>
        <w:tc>
          <w:tcPr>
            <w:tcW w:w="5470"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 xml:space="preserve">The CRG disagrees with the comment:  JIS X 6319 is referenced normatively in Table 5 and text in 6.9.6.9; the role and </w:t>
            </w:r>
            <w:proofErr w:type="spellStart"/>
            <w:r w:rsidRPr="002929CC">
              <w:rPr>
                <w:rFonts w:ascii="Calibri" w:eastAsia="Times New Roman" w:hAnsi="Calibri" w:cs="Arial"/>
                <w:color w:val="000000"/>
              </w:rPr>
              <w:t>siginficance</w:t>
            </w:r>
            <w:proofErr w:type="spellEnd"/>
            <w:r w:rsidRPr="002929CC">
              <w:rPr>
                <w:rFonts w:ascii="Calibri" w:eastAsia="Times New Roman" w:hAnsi="Calibri" w:cs="Arial"/>
                <w:color w:val="000000"/>
              </w:rPr>
              <w:t xml:space="preserve"> of the reference is clear as it is defining format of a field in an over the air data structure defined in this standard.   The reference contains information users of the standard must have and understand in order to correctly implement the Information Element.</w:t>
            </w:r>
          </w:p>
        </w:tc>
      </w:tr>
      <w:tr w:rsidR="002929CC" w:rsidRPr="002929CC" w:rsidTr="002929CC">
        <w:trPr>
          <w:trHeight w:val="3744"/>
        </w:trPr>
        <w:tc>
          <w:tcPr>
            <w:tcW w:w="72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lastRenderedPageBreak/>
              <w:t>i-216</w:t>
            </w:r>
          </w:p>
        </w:tc>
        <w:tc>
          <w:tcPr>
            <w:tcW w:w="810"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34</w:t>
            </w:r>
          </w:p>
        </w:tc>
        <w:tc>
          <w:tcPr>
            <w:tcW w:w="1109"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6.9.6.9</w:t>
            </w:r>
          </w:p>
        </w:tc>
        <w:tc>
          <w:tcPr>
            <w:tcW w:w="585" w:type="dxa"/>
            <w:tcBorders>
              <w:top w:val="nil"/>
              <w:left w:val="nil"/>
              <w:bottom w:val="nil"/>
              <w:right w:val="nil"/>
            </w:tcBorders>
            <w:shd w:val="clear" w:color="auto" w:fill="auto"/>
            <w:noWrap/>
            <w:hideMark/>
          </w:tcPr>
          <w:p w:rsidR="002929CC" w:rsidRPr="002929CC" w:rsidRDefault="002929CC" w:rsidP="002929CC">
            <w:pPr>
              <w:spacing w:after="0" w:line="240" w:lineRule="auto"/>
              <w:jc w:val="right"/>
              <w:rPr>
                <w:rFonts w:ascii="Calibri" w:eastAsia="Times New Roman" w:hAnsi="Calibri" w:cs="Arial"/>
                <w:color w:val="000000"/>
              </w:rPr>
            </w:pPr>
            <w:r w:rsidRPr="002929CC">
              <w:rPr>
                <w:rFonts w:ascii="Calibri" w:eastAsia="Times New Roman" w:hAnsi="Calibri" w:cs="Arial"/>
                <w:color w:val="000000"/>
              </w:rPr>
              <w:t>33</w:t>
            </w:r>
          </w:p>
        </w:tc>
        <w:tc>
          <w:tcPr>
            <w:tcW w:w="4356"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Text starting from the line 33 with sentence "The Upper-Layer Frame Fragment" describes application protocol to be run between two secure elements and which does not belong to this standard. The MPX IE with &lt;ANA&gt; allocated dispatch code allows upper layers to include their own data with ranging data for secure transactions. The actual specification of this application layer protocol belongs to some other document, and most likely to some other SDO. This application layer protocol is also outside the PAR of the 802.15.4z.</w:t>
            </w:r>
          </w:p>
        </w:tc>
        <w:tc>
          <w:tcPr>
            <w:tcW w:w="1260" w:type="dxa"/>
            <w:tcBorders>
              <w:top w:val="nil"/>
              <w:left w:val="nil"/>
              <w:bottom w:val="nil"/>
              <w:right w:val="nil"/>
            </w:tcBorders>
            <w:shd w:val="clear" w:color="auto" w:fill="auto"/>
            <w:noWrap/>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Rejected</w:t>
            </w:r>
          </w:p>
        </w:tc>
        <w:tc>
          <w:tcPr>
            <w:tcW w:w="5470" w:type="dxa"/>
            <w:tcBorders>
              <w:top w:val="nil"/>
              <w:left w:val="nil"/>
              <w:bottom w:val="nil"/>
              <w:right w:val="nil"/>
            </w:tcBorders>
            <w:shd w:val="clear" w:color="auto" w:fill="auto"/>
            <w:hideMark/>
          </w:tcPr>
          <w:p w:rsidR="002929CC" w:rsidRPr="002929CC" w:rsidRDefault="002929CC" w:rsidP="002929CC">
            <w:pPr>
              <w:spacing w:after="0" w:line="240" w:lineRule="auto"/>
              <w:rPr>
                <w:rFonts w:ascii="Calibri" w:eastAsia="Times New Roman" w:hAnsi="Calibri" w:cs="Arial"/>
                <w:color w:val="000000"/>
              </w:rPr>
            </w:pPr>
            <w:r w:rsidRPr="002929CC">
              <w:rPr>
                <w:rFonts w:ascii="Calibri" w:eastAsia="Times New Roman" w:hAnsi="Calibri" w:cs="Arial"/>
                <w:color w:val="000000"/>
              </w:rPr>
              <w:t xml:space="preserve">The CRG disagrees with the comment:  This sub-clause provides a capability that </w:t>
            </w:r>
            <w:proofErr w:type="spellStart"/>
            <w:r w:rsidRPr="002929CC">
              <w:rPr>
                <w:rFonts w:ascii="Calibri" w:eastAsia="Times New Roman" w:hAnsi="Calibri" w:cs="Arial"/>
                <w:color w:val="000000"/>
              </w:rPr>
              <w:t>ehances</w:t>
            </w:r>
            <w:proofErr w:type="spellEnd"/>
            <w:r w:rsidRPr="002929CC">
              <w:rPr>
                <w:rFonts w:ascii="Calibri" w:eastAsia="Times New Roman" w:hAnsi="Calibri" w:cs="Arial"/>
                <w:color w:val="000000"/>
              </w:rPr>
              <w:t xml:space="preserve"> ranging techniques by providing a standardized information exchanged supporting a widely used ranging application. The feature is optional, but when used, the group believes defining how it is done enables doing so in an interoperable manner. </w:t>
            </w:r>
          </w:p>
        </w:tc>
      </w:tr>
    </w:tbl>
    <w:p w:rsidR="00793A73" w:rsidRDefault="00D524D2"/>
    <w:sectPr w:rsidR="00793A73" w:rsidSect="002929CC">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CC" w:rsidRDefault="002929CC" w:rsidP="002929CC">
      <w:pPr>
        <w:spacing w:after="0" w:line="240" w:lineRule="auto"/>
      </w:pPr>
      <w:r>
        <w:separator/>
      </w:r>
    </w:p>
  </w:endnote>
  <w:endnote w:type="continuationSeparator" w:id="0">
    <w:p w:rsidR="002929CC" w:rsidRDefault="002929CC" w:rsidP="0029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2" w:rsidRDefault="00D52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CC" w:rsidRPr="008B2E13" w:rsidRDefault="002929CC" w:rsidP="002929CC">
    <w:pPr>
      <w:pStyle w:val="Footer"/>
      <w:widowControl w:val="0"/>
      <w:pBdr>
        <w:top w:val="single" w:sz="6" w:space="0" w:color="auto"/>
      </w:pBdr>
      <w:rPr>
        <w:szCs w:val="24"/>
      </w:rPr>
    </w:pPr>
    <w:r>
      <w:t>Submission</w:t>
    </w:r>
    <w:r>
      <w:tab/>
      <w:t xml:space="preserve">Page </w:t>
    </w:r>
    <w:r>
      <w:pgNum/>
    </w:r>
    <w:r>
      <w:tab/>
      <w:t xml:space="preserve">Benjamin A. Rolfe (BCA) </w:t>
    </w:r>
  </w:p>
  <w:p w:rsidR="002929CC" w:rsidRDefault="002929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2" w:rsidRDefault="00D52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CC" w:rsidRDefault="002929CC" w:rsidP="002929CC">
      <w:pPr>
        <w:spacing w:after="0" w:line="240" w:lineRule="auto"/>
      </w:pPr>
      <w:r>
        <w:separator/>
      </w:r>
    </w:p>
  </w:footnote>
  <w:footnote w:type="continuationSeparator" w:id="0">
    <w:p w:rsidR="002929CC" w:rsidRDefault="002929CC" w:rsidP="00292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2" w:rsidRDefault="00D52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CC" w:rsidRPr="002929CC" w:rsidRDefault="002929CC" w:rsidP="002929CC">
    <w:pPr>
      <w:pStyle w:val="Header"/>
      <w:widowControl w:val="0"/>
      <w:pBdr>
        <w:bottom w:val="single" w:sz="6" w:space="0" w:color="auto"/>
        <w:between w:val="single" w:sz="6" w:space="0" w:color="auto"/>
      </w:pBdr>
      <w:tabs>
        <w:tab w:val="clear" w:pos="4680"/>
        <w:tab w:val="clear" w:pos="9360"/>
        <w:tab w:val="right" w:pos="9270"/>
      </w:tabs>
      <w:spacing w:after="360"/>
      <w:jc w:val="both"/>
      <w:rPr>
        <w:rFonts w:ascii="Times New Roman" w:eastAsia="Times New Roman" w:hAnsi="Times New Roman" w:cs="Times New Roman"/>
        <w:b/>
        <w:sz w:val="28"/>
        <w:szCs w:val="20"/>
      </w:rPr>
    </w:pPr>
    <w:r w:rsidRPr="002929CC">
      <w:rPr>
        <w:rFonts w:ascii="Times New Roman" w:eastAsia="Times New Roman" w:hAnsi="Times New Roman" w:cs="Times New Roman"/>
        <w:b/>
        <w:sz w:val="28"/>
        <w:szCs w:val="20"/>
      </w:rPr>
      <w:t>Jan 2020</w:t>
    </w:r>
    <w:r w:rsidRPr="002929CC">
      <w:rPr>
        <w:rFonts w:ascii="Times New Roman" w:eastAsia="Times New Roman" w:hAnsi="Times New Roman" w:cs="Times New Roman"/>
        <w:b/>
        <w:sz w:val="28"/>
        <w:szCs w:val="20"/>
      </w:rPr>
      <w:tab/>
      <w:t xml:space="preserve"> </w:t>
    </w:r>
    <w:bookmarkStart w:id="0" w:name="_GoBack"/>
    <w:bookmarkEnd w:id="0"/>
    <w:r w:rsidRPr="002929CC">
      <w:rPr>
        <w:rFonts w:ascii="Times New Roman" w:eastAsia="Times New Roman" w:hAnsi="Times New Roman" w:cs="Times New Roman"/>
        <w:b/>
        <w:sz w:val="28"/>
        <w:szCs w:val="20"/>
      </w:rPr>
      <w:t xml:space="preserve">IEEE </w:t>
    </w:r>
    <w:r w:rsidR="00D524D2">
      <w:rPr>
        <w:rFonts w:ascii="Times New Roman" w:eastAsia="Times New Roman" w:hAnsi="Times New Roman" w:cs="Times New Roman"/>
        <w:b/>
        <w:sz w:val="28"/>
        <w:szCs w:val="20"/>
      </w:rPr>
      <w:t>802.</w:t>
    </w:r>
    <w:r w:rsidR="00D524D2" w:rsidRPr="00D524D2">
      <w:rPr>
        <w:rFonts w:ascii="Times New Roman" w:eastAsia="Times New Roman" w:hAnsi="Times New Roman" w:cs="Times New Roman"/>
        <w:b/>
        <w:sz w:val="28"/>
        <w:szCs w:val="20"/>
      </w:rPr>
      <w:t>15-20-0031-00-004z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2" w:rsidRDefault="00D52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C"/>
    <w:rsid w:val="0015548E"/>
    <w:rsid w:val="002929CC"/>
    <w:rsid w:val="008A3797"/>
    <w:rsid w:val="009B5A2B"/>
    <w:rsid w:val="00D524D2"/>
    <w:rsid w:val="00E1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58676-C366-476F-8466-A57073FC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2929CC"/>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29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CC"/>
  </w:style>
  <w:style w:type="paragraph" w:styleId="Footer">
    <w:name w:val="footer"/>
    <w:basedOn w:val="Normal"/>
    <w:link w:val="FooterChar"/>
    <w:unhideWhenUsed/>
    <w:rsid w:val="0029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0848">
      <w:bodyDiv w:val="1"/>
      <w:marLeft w:val="0"/>
      <w:marRight w:val="0"/>
      <w:marTop w:val="0"/>
      <w:marBottom w:val="0"/>
      <w:divBdr>
        <w:top w:val="none" w:sz="0" w:space="0" w:color="auto"/>
        <w:left w:val="none" w:sz="0" w:space="0" w:color="auto"/>
        <w:bottom w:val="none" w:sz="0" w:space="0" w:color="auto"/>
        <w:right w:val="none" w:sz="0" w:space="0" w:color="auto"/>
      </w:divBdr>
    </w:div>
    <w:div w:id="604070516">
      <w:bodyDiv w:val="1"/>
      <w:marLeft w:val="0"/>
      <w:marRight w:val="0"/>
      <w:marTop w:val="0"/>
      <w:marBottom w:val="0"/>
      <w:divBdr>
        <w:top w:val="none" w:sz="0" w:space="0" w:color="auto"/>
        <w:left w:val="none" w:sz="0" w:space="0" w:color="auto"/>
        <w:bottom w:val="none" w:sz="0" w:space="0" w:color="auto"/>
        <w:right w:val="none" w:sz="0" w:space="0" w:color="auto"/>
      </w:divBdr>
    </w:div>
    <w:div w:id="20513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1</cp:revision>
  <dcterms:created xsi:type="dcterms:W3CDTF">2020-01-14T18:02:00Z</dcterms:created>
  <dcterms:modified xsi:type="dcterms:W3CDTF">2020-01-14T18:17:00Z</dcterms:modified>
</cp:coreProperties>
</file>