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D35BD" w14:textId="77777777" w:rsidR="00BF0609" w:rsidRDefault="00BF5C82" w:rsidP="0010731D">
      <w:pPr>
        <w:spacing w:line="276" w:lineRule="auto"/>
        <w:jc w:val="center"/>
        <w:outlineLvl w:val="0"/>
        <w:rPr>
          <w:b/>
          <w:sz w:val="28"/>
        </w:rPr>
      </w:pPr>
      <w:r>
        <w:rPr>
          <w:b/>
          <w:sz w:val="28"/>
        </w:rPr>
        <w:t>IEEE P802.15</w:t>
      </w:r>
    </w:p>
    <w:p w14:paraId="6CE365DB" w14:textId="77777777" w:rsidR="00BF0609" w:rsidRDefault="00BF5C82" w:rsidP="0010731D">
      <w:pPr>
        <w:spacing w:line="276" w:lineRule="auto"/>
        <w:jc w:val="center"/>
        <w:outlineLvl w:val="0"/>
        <w:rPr>
          <w:b/>
          <w:sz w:val="28"/>
        </w:rPr>
      </w:pPr>
      <w:r>
        <w:rPr>
          <w:b/>
          <w:sz w:val="28"/>
        </w:rPr>
        <w:t>Wireless Personal Area Networks</w:t>
      </w:r>
    </w:p>
    <w:p w14:paraId="6AC7665C" w14:textId="77777777" w:rsidR="00BF0609" w:rsidRDefault="00BF0609" w:rsidP="00230E2D">
      <w:pPr>
        <w:spacing w:line="276" w:lineRule="auto"/>
        <w:jc w:val="center"/>
        <w:rPr>
          <w:b/>
          <w:sz w:val="28"/>
        </w:rPr>
      </w:pPr>
    </w:p>
    <w:tbl>
      <w:tblPr>
        <w:tblW w:w="9742" w:type="dxa"/>
        <w:tblInd w:w="108" w:type="dxa"/>
        <w:tblLayout w:type="fixed"/>
        <w:tblLook w:val="0000" w:firstRow="0" w:lastRow="0" w:firstColumn="0" w:lastColumn="0" w:noHBand="0" w:noVBand="0"/>
      </w:tblPr>
      <w:tblGrid>
        <w:gridCol w:w="1166"/>
        <w:gridCol w:w="4245"/>
        <w:gridCol w:w="4331"/>
      </w:tblGrid>
      <w:tr w:rsidR="00BF0609" w14:paraId="52FC4481" w14:textId="77777777" w:rsidTr="00402739">
        <w:trPr>
          <w:trHeight w:val="563"/>
        </w:trPr>
        <w:tc>
          <w:tcPr>
            <w:tcW w:w="1166" w:type="dxa"/>
            <w:tcBorders>
              <w:top w:val="single" w:sz="6" w:space="0" w:color="auto"/>
            </w:tcBorders>
          </w:tcPr>
          <w:p w14:paraId="7EAED586" w14:textId="77777777" w:rsidR="00BF0609" w:rsidRDefault="00BF5C82" w:rsidP="00230E2D">
            <w:pPr>
              <w:pStyle w:val="covertext"/>
              <w:spacing w:line="276" w:lineRule="auto"/>
            </w:pPr>
            <w:r>
              <w:t>Project</w:t>
            </w:r>
          </w:p>
        </w:tc>
        <w:tc>
          <w:tcPr>
            <w:tcW w:w="8576" w:type="dxa"/>
            <w:gridSpan w:val="2"/>
            <w:tcBorders>
              <w:top w:val="single" w:sz="6" w:space="0" w:color="auto"/>
            </w:tcBorders>
          </w:tcPr>
          <w:p w14:paraId="14426A7F" w14:textId="6B9F27F4" w:rsidR="00BF0609" w:rsidRDefault="00BF5C82" w:rsidP="00230E2D">
            <w:pPr>
              <w:pStyle w:val="covertext"/>
              <w:spacing w:line="276" w:lineRule="auto"/>
            </w:pPr>
            <w:r>
              <w:t>IEEE P802.15 Working Group for Wireless Personal Area Networks (WPANs)</w:t>
            </w:r>
            <w:r w:rsidR="0040720F">
              <w:t xml:space="preserve"> </w:t>
            </w:r>
          </w:p>
        </w:tc>
      </w:tr>
      <w:tr w:rsidR="00BF0609" w14:paraId="5910EA52" w14:textId="77777777" w:rsidTr="00402739">
        <w:trPr>
          <w:trHeight w:val="563"/>
        </w:trPr>
        <w:tc>
          <w:tcPr>
            <w:tcW w:w="1166" w:type="dxa"/>
            <w:tcBorders>
              <w:top w:val="single" w:sz="6" w:space="0" w:color="auto"/>
            </w:tcBorders>
          </w:tcPr>
          <w:p w14:paraId="32DCF5CF" w14:textId="77777777" w:rsidR="00BF0609" w:rsidRDefault="00BF5C82" w:rsidP="00230E2D">
            <w:pPr>
              <w:pStyle w:val="covertext"/>
              <w:spacing w:line="276" w:lineRule="auto"/>
            </w:pPr>
            <w:r>
              <w:t>Title</w:t>
            </w:r>
          </w:p>
        </w:tc>
        <w:tc>
          <w:tcPr>
            <w:tcW w:w="8576" w:type="dxa"/>
            <w:gridSpan w:val="2"/>
            <w:tcBorders>
              <w:top w:val="single" w:sz="6" w:space="0" w:color="auto"/>
            </w:tcBorders>
          </w:tcPr>
          <w:p w14:paraId="61CEE415" w14:textId="3B95CA8F" w:rsidR="00BF0609" w:rsidRDefault="00D6015A" w:rsidP="00A15B80">
            <w:pPr>
              <w:pStyle w:val="covertext"/>
              <w:spacing w:line="276" w:lineRule="auto"/>
            </w:pPr>
            <w:r>
              <w:t>Updated HB-PHY header</w:t>
            </w:r>
            <w:r w:rsidR="002321D2">
              <w:t xml:space="preserve"> </w:t>
            </w:r>
            <w:r w:rsidR="004F6151">
              <w:t>structure</w:t>
            </w:r>
          </w:p>
        </w:tc>
      </w:tr>
      <w:tr w:rsidR="00BF0609" w14:paraId="128AAAF1" w14:textId="77777777" w:rsidTr="00402739">
        <w:trPr>
          <w:trHeight w:val="898"/>
        </w:trPr>
        <w:tc>
          <w:tcPr>
            <w:tcW w:w="1166" w:type="dxa"/>
            <w:tcBorders>
              <w:top w:val="single" w:sz="6" w:space="0" w:color="auto"/>
            </w:tcBorders>
          </w:tcPr>
          <w:p w14:paraId="78FA2CD1" w14:textId="77777777" w:rsidR="00BF0609" w:rsidRDefault="00BF5C82" w:rsidP="00230E2D">
            <w:pPr>
              <w:pStyle w:val="covertext"/>
              <w:spacing w:line="276" w:lineRule="auto"/>
            </w:pPr>
            <w:r>
              <w:t>Date Submitted</w:t>
            </w:r>
          </w:p>
        </w:tc>
        <w:tc>
          <w:tcPr>
            <w:tcW w:w="8576" w:type="dxa"/>
            <w:gridSpan w:val="2"/>
            <w:tcBorders>
              <w:top w:val="single" w:sz="6" w:space="0" w:color="auto"/>
            </w:tcBorders>
          </w:tcPr>
          <w:p w14:paraId="309656BF" w14:textId="18E73E49" w:rsidR="00BF0609" w:rsidRDefault="00402739" w:rsidP="00C629A1">
            <w:pPr>
              <w:pStyle w:val="covertext"/>
              <w:spacing w:line="276" w:lineRule="auto"/>
            </w:pPr>
            <w:r>
              <w:t>November 13</w:t>
            </w:r>
            <w:bookmarkStart w:id="0" w:name="_GoBack"/>
            <w:bookmarkEnd w:id="0"/>
            <w:r w:rsidR="003B32D2">
              <w:t>,</w:t>
            </w:r>
            <w:r w:rsidR="005E2B53">
              <w:t xml:space="preserve"> </w:t>
            </w:r>
            <w:r w:rsidR="00FD7099">
              <w:t>201</w:t>
            </w:r>
            <w:r w:rsidR="00C629A1">
              <w:t>9</w:t>
            </w:r>
          </w:p>
        </w:tc>
      </w:tr>
      <w:tr w:rsidR="00BF0609" w14:paraId="36889ACE" w14:textId="77777777" w:rsidTr="00402739">
        <w:trPr>
          <w:trHeight w:val="958"/>
        </w:trPr>
        <w:tc>
          <w:tcPr>
            <w:tcW w:w="1166" w:type="dxa"/>
            <w:tcBorders>
              <w:top w:val="single" w:sz="4" w:space="0" w:color="auto"/>
              <w:bottom w:val="single" w:sz="4" w:space="0" w:color="auto"/>
            </w:tcBorders>
          </w:tcPr>
          <w:p w14:paraId="6CCC92F3" w14:textId="77777777" w:rsidR="00BF0609" w:rsidRDefault="00BF5C82" w:rsidP="00230E2D">
            <w:pPr>
              <w:pStyle w:val="covertext"/>
              <w:spacing w:line="276" w:lineRule="auto"/>
            </w:pPr>
            <w:r>
              <w:t>Source</w:t>
            </w:r>
          </w:p>
        </w:tc>
        <w:tc>
          <w:tcPr>
            <w:tcW w:w="4245" w:type="dxa"/>
            <w:tcBorders>
              <w:top w:val="single" w:sz="4" w:space="0" w:color="auto"/>
              <w:bottom w:val="single" w:sz="4" w:space="0" w:color="auto"/>
            </w:tcBorders>
          </w:tcPr>
          <w:p w14:paraId="1F99BA2F" w14:textId="77777777" w:rsidR="00276C3E" w:rsidRDefault="004B3837" w:rsidP="00CD73BC">
            <w:pPr>
              <w:spacing w:line="276" w:lineRule="auto"/>
              <w:rPr>
                <w:lang w:val="de-DE"/>
              </w:rPr>
            </w:pPr>
            <w:r>
              <w:rPr>
                <w:lang w:val="de-DE"/>
              </w:rPr>
              <w:t xml:space="preserve">Kai </w:t>
            </w:r>
            <w:r w:rsidR="00CD73BC">
              <w:rPr>
                <w:lang w:val="de-DE"/>
              </w:rPr>
              <w:t>Lennert Bober</w:t>
            </w:r>
            <w:r w:rsidR="00276C3E">
              <w:rPr>
                <w:lang w:val="de-DE"/>
              </w:rPr>
              <w:t>,</w:t>
            </w:r>
          </w:p>
          <w:p w14:paraId="3BA0E5A8" w14:textId="12342350" w:rsidR="00CD73BC" w:rsidRPr="00BA344E" w:rsidRDefault="007C23E9" w:rsidP="00CD73BC">
            <w:pPr>
              <w:spacing w:line="276" w:lineRule="auto"/>
              <w:rPr>
                <w:lang w:val="de-DE"/>
              </w:rPr>
            </w:pPr>
            <w:r>
              <w:rPr>
                <w:lang w:val="de-DE"/>
              </w:rPr>
              <w:t>Volker Jungnickel</w:t>
            </w:r>
            <w:r w:rsidR="004B3837">
              <w:rPr>
                <w:lang w:val="de-DE"/>
              </w:rPr>
              <w:t xml:space="preserve"> (Fraunhofer HHI)</w:t>
            </w:r>
          </w:p>
          <w:p w14:paraId="31F2BE8E" w14:textId="7DED6B26" w:rsidR="00CD73BC" w:rsidRPr="007175E9" w:rsidRDefault="00CD73BC" w:rsidP="00BA344E">
            <w:pPr>
              <w:spacing w:line="276" w:lineRule="auto"/>
              <w:rPr>
                <w:lang w:val="de-DE"/>
              </w:rPr>
            </w:pPr>
          </w:p>
        </w:tc>
        <w:tc>
          <w:tcPr>
            <w:tcW w:w="4331" w:type="dxa"/>
            <w:tcBorders>
              <w:top w:val="single" w:sz="4" w:space="0" w:color="auto"/>
              <w:bottom w:val="single" w:sz="4" w:space="0" w:color="auto"/>
            </w:tcBorders>
          </w:tcPr>
          <w:p w14:paraId="4885227B" w14:textId="722F2061" w:rsidR="00BF0609" w:rsidRDefault="00BF5C82" w:rsidP="00230E2D">
            <w:pPr>
              <w:pStyle w:val="covertext"/>
              <w:tabs>
                <w:tab w:val="left" w:pos="1152"/>
              </w:tabs>
              <w:spacing w:before="0" w:after="0" w:line="276" w:lineRule="auto"/>
              <w:rPr>
                <w:sz w:val="18"/>
              </w:rPr>
            </w:pPr>
            <w:r>
              <w:t>Voice:</w:t>
            </w:r>
            <w:r w:rsidR="00381F0F">
              <w:t xml:space="preserve"> </w:t>
            </w:r>
            <w:r>
              <w:t>[   ]</w:t>
            </w:r>
            <w:r>
              <w:br/>
              <w:t>Fax:</w:t>
            </w:r>
            <w:r w:rsidR="00381F0F">
              <w:t xml:space="preserve"> </w:t>
            </w:r>
            <w:r>
              <w:t>[   ]</w:t>
            </w:r>
            <w:r>
              <w:br/>
              <w:t>E-mail:</w:t>
            </w:r>
            <w:r w:rsidR="00381F0F">
              <w:t xml:space="preserve"> </w:t>
            </w:r>
            <w:r>
              <w:t>[   ]</w:t>
            </w:r>
          </w:p>
        </w:tc>
      </w:tr>
      <w:tr w:rsidR="00BF0609" w14:paraId="0D23E7B3" w14:textId="77777777" w:rsidTr="00402739">
        <w:trPr>
          <w:trHeight w:val="563"/>
        </w:trPr>
        <w:tc>
          <w:tcPr>
            <w:tcW w:w="1166" w:type="dxa"/>
            <w:tcBorders>
              <w:top w:val="single" w:sz="6" w:space="0" w:color="auto"/>
            </w:tcBorders>
          </w:tcPr>
          <w:p w14:paraId="31A7ADAC" w14:textId="77777777" w:rsidR="00BF0609" w:rsidRDefault="00BF5C82" w:rsidP="00230E2D">
            <w:pPr>
              <w:pStyle w:val="covertext"/>
              <w:spacing w:line="276" w:lineRule="auto"/>
            </w:pPr>
            <w:r>
              <w:t>Re:</w:t>
            </w:r>
          </w:p>
        </w:tc>
        <w:tc>
          <w:tcPr>
            <w:tcW w:w="8576" w:type="dxa"/>
            <w:gridSpan w:val="2"/>
            <w:tcBorders>
              <w:top w:val="single" w:sz="6" w:space="0" w:color="auto"/>
            </w:tcBorders>
          </w:tcPr>
          <w:p w14:paraId="184E4118" w14:textId="0BCF7786" w:rsidR="00BF0609" w:rsidRDefault="00BF0609" w:rsidP="00230E2D">
            <w:pPr>
              <w:pStyle w:val="covertext"/>
              <w:spacing w:line="276" w:lineRule="auto"/>
              <w:jc w:val="both"/>
            </w:pPr>
          </w:p>
        </w:tc>
      </w:tr>
      <w:tr w:rsidR="00BF0609" w14:paraId="3827FB24" w14:textId="77777777" w:rsidTr="00402739">
        <w:trPr>
          <w:trHeight w:val="563"/>
        </w:trPr>
        <w:tc>
          <w:tcPr>
            <w:tcW w:w="1166" w:type="dxa"/>
            <w:tcBorders>
              <w:top w:val="single" w:sz="6" w:space="0" w:color="auto"/>
            </w:tcBorders>
          </w:tcPr>
          <w:p w14:paraId="357C776C" w14:textId="77777777" w:rsidR="00BF0609" w:rsidRDefault="00BF5C82" w:rsidP="00230E2D">
            <w:pPr>
              <w:pStyle w:val="covertext"/>
              <w:spacing w:line="276" w:lineRule="auto"/>
            </w:pPr>
            <w:r>
              <w:t>Abstract</w:t>
            </w:r>
          </w:p>
        </w:tc>
        <w:tc>
          <w:tcPr>
            <w:tcW w:w="8576" w:type="dxa"/>
            <w:gridSpan w:val="2"/>
            <w:tcBorders>
              <w:top w:val="single" w:sz="6" w:space="0" w:color="auto"/>
            </w:tcBorders>
          </w:tcPr>
          <w:p w14:paraId="704F9585" w14:textId="02827656" w:rsidR="00BF0609" w:rsidRDefault="00D6015A" w:rsidP="004D1506">
            <w:pPr>
              <w:pStyle w:val="covertext"/>
              <w:spacing w:line="276" w:lineRule="auto"/>
            </w:pPr>
            <w:r>
              <w:t>Updated text for the HB-PHY header</w:t>
            </w:r>
          </w:p>
        </w:tc>
      </w:tr>
      <w:tr w:rsidR="00BF0609" w14:paraId="7F10367A" w14:textId="77777777" w:rsidTr="00402739">
        <w:trPr>
          <w:trHeight w:val="563"/>
        </w:trPr>
        <w:tc>
          <w:tcPr>
            <w:tcW w:w="1166" w:type="dxa"/>
            <w:tcBorders>
              <w:top w:val="single" w:sz="6" w:space="0" w:color="auto"/>
            </w:tcBorders>
          </w:tcPr>
          <w:p w14:paraId="70DA6D2A" w14:textId="77777777" w:rsidR="00BF0609" w:rsidRDefault="00BF5C82" w:rsidP="00230E2D">
            <w:pPr>
              <w:pStyle w:val="covertext"/>
              <w:spacing w:line="276" w:lineRule="auto"/>
            </w:pPr>
            <w:r>
              <w:t>Purpose</w:t>
            </w:r>
          </w:p>
        </w:tc>
        <w:tc>
          <w:tcPr>
            <w:tcW w:w="8576" w:type="dxa"/>
            <w:gridSpan w:val="2"/>
            <w:tcBorders>
              <w:top w:val="single" w:sz="6" w:space="0" w:color="auto"/>
            </w:tcBorders>
          </w:tcPr>
          <w:p w14:paraId="069AE357" w14:textId="458D767F" w:rsidR="00BF0609" w:rsidRDefault="00D6015A" w:rsidP="004D1506">
            <w:pPr>
              <w:pStyle w:val="covertext"/>
              <w:spacing w:line="276" w:lineRule="auto"/>
              <w:jc w:val="both"/>
            </w:pPr>
            <w:r>
              <w:t>Contribution</w:t>
            </w:r>
          </w:p>
        </w:tc>
      </w:tr>
      <w:tr w:rsidR="00BF0609" w14:paraId="4D0D6E3D" w14:textId="77777777" w:rsidTr="00402739">
        <w:trPr>
          <w:trHeight w:val="1537"/>
        </w:trPr>
        <w:tc>
          <w:tcPr>
            <w:tcW w:w="1166" w:type="dxa"/>
            <w:tcBorders>
              <w:top w:val="single" w:sz="6" w:space="0" w:color="auto"/>
              <w:bottom w:val="single" w:sz="6" w:space="0" w:color="auto"/>
            </w:tcBorders>
          </w:tcPr>
          <w:p w14:paraId="2C06D72A" w14:textId="77777777" w:rsidR="00BF0609" w:rsidRDefault="00BF5C82" w:rsidP="00230E2D">
            <w:pPr>
              <w:pStyle w:val="covertext"/>
              <w:spacing w:line="276" w:lineRule="auto"/>
            </w:pPr>
            <w:r>
              <w:t>Notice</w:t>
            </w:r>
          </w:p>
        </w:tc>
        <w:tc>
          <w:tcPr>
            <w:tcW w:w="8576" w:type="dxa"/>
            <w:gridSpan w:val="2"/>
            <w:tcBorders>
              <w:top w:val="single" w:sz="6" w:space="0" w:color="auto"/>
              <w:bottom w:val="single" w:sz="6" w:space="0" w:color="auto"/>
            </w:tcBorders>
          </w:tcPr>
          <w:p w14:paraId="1D792F04" w14:textId="6F378375" w:rsidR="00BF0609" w:rsidRDefault="00BF5C82" w:rsidP="00230E2D">
            <w:pPr>
              <w:pStyle w:val="covertext"/>
              <w:spacing w:line="276" w:lineRule="auto"/>
              <w:jc w:val="both"/>
            </w:pPr>
            <w:r>
              <w:t>This document has been prepa</w:t>
            </w:r>
            <w:r w:rsidR="004F6151">
              <w:t>red to assist the IEEE P802.15.</w:t>
            </w:r>
            <w:r>
              <w:t xml:space="preser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rsidTr="00402739">
        <w:trPr>
          <w:trHeight w:val="882"/>
        </w:trPr>
        <w:tc>
          <w:tcPr>
            <w:tcW w:w="1166" w:type="dxa"/>
            <w:tcBorders>
              <w:top w:val="single" w:sz="6" w:space="0" w:color="auto"/>
              <w:bottom w:val="single" w:sz="6" w:space="0" w:color="auto"/>
            </w:tcBorders>
          </w:tcPr>
          <w:p w14:paraId="174B066F" w14:textId="77777777" w:rsidR="00BF0609" w:rsidRDefault="00BF5C82" w:rsidP="00230E2D">
            <w:pPr>
              <w:pStyle w:val="covertext"/>
              <w:spacing w:line="276" w:lineRule="auto"/>
            </w:pPr>
            <w:r>
              <w:t>Release</w:t>
            </w:r>
          </w:p>
        </w:tc>
        <w:tc>
          <w:tcPr>
            <w:tcW w:w="8576" w:type="dxa"/>
            <w:gridSpan w:val="2"/>
            <w:tcBorders>
              <w:top w:val="single" w:sz="6" w:space="0" w:color="auto"/>
              <w:bottom w:val="single" w:sz="6" w:space="0" w:color="auto"/>
            </w:tcBorders>
          </w:tcPr>
          <w:p w14:paraId="344295DC" w14:textId="77777777" w:rsidR="00BF0609" w:rsidRDefault="00BF5C82" w:rsidP="00230E2D">
            <w:pPr>
              <w:pStyle w:val="covertext"/>
              <w:spacing w:line="276" w:lineRule="auto"/>
              <w:jc w:val="both"/>
            </w:pPr>
            <w:r>
              <w:t>The contributor acknowledges and accepts that this contribution becomes the property of IEEE and may be made publicly available by P802.15.</w:t>
            </w:r>
          </w:p>
        </w:tc>
      </w:tr>
    </w:tbl>
    <w:p w14:paraId="12FBDF6F" w14:textId="3DA48B5D" w:rsidR="001260D9" w:rsidRDefault="001260D9" w:rsidP="001260D9">
      <w:pPr>
        <w:widowControl w:val="0"/>
        <w:spacing w:before="120" w:line="276" w:lineRule="auto"/>
        <w:ind w:left="284"/>
        <w:outlineLvl w:val="0"/>
        <w:rPr>
          <w:b/>
          <w:sz w:val="32"/>
        </w:rPr>
      </w:pPr>
    </w:p>
    <w:p w14:paraId="6C83555C" w14:textId="0A70E514" w:rsidR="00D6015A" w:rsidRDefault="00D6015A">
      <w:pPr>
        <w:rPr>
          <w:b/>
          <w:sz w:val="32"/>
        </w:rPr>
      </w:pPr>
      <w:r>
        <w:rPr>
          <w:b/>
          <w:sz w:val="32"/>
        </w:rPr>
        <w:br w:type="page"/>
      </w:r>
    </w:p>
    <w:p w14:paraId="1C092132" w14:textId="68E5A870" w:rsidR="00926CEF" w:rsidRDefault="00D6015A" w:rsidP="00926CEF">
      <w:pPr>
        <w:widowControl w:val="0"/>
        <w:numPr>
          <w:ilvl w:val="0"/>
          <w:numId w:val="1"/>
        </w:numPr>
        <w:spacing w:before="120" w:line="276" w:lineRule="auto"/>
        <w:outlineLvl w:val="0"/>
        <w:rPr>
          <w:b/>
          <w:sz w:val="32"/>
        </w:rPr>
      </w:pPr>
      <w:r>
        <w:rPr>
          <w:b/>
          <w:sz w:val="32"/>
        </w:rPr>
        <w:lastRenderedPageBreak/>
        <w:t>HB-</w:t>
      </w:r>
      <w:r w:rsidR="008670F0" w:rsidRPr="00D30C66">
        <w:rPr>
          <w:b/>
          <w:sz w:val="32"/>
        </w:rPr>
        <w:t>PHY</w:t>
      </w:r>
    </w:p>
    <w:p w14:paraId="4D7BD16A" w14:textId="5D056731" w:rsidR="00926CEF" w:rsidRDefault="00926CEF" w:rsidP="00926CEF">
      <w:pPr>
        <w:widowControl w:val="0"/>
        <w:numPr>
          <w:ilvl w:val="1"/>
          <w:numId w:val="4"/>
        </w:numPr>
        <w:spacing w:before="120" w:line="276" w:lineRule="auto"/>
        <w:outlineLvl w:val="0"/>
        <w:rPr>
          <w:b/>
          <w:sz w:val="32"/>
        </w:rPr>
      </w:pPr>
      <w:r>
        <w:rPr>
          <w:b/>
          <w:sz w:val="32"/>
        </w:rPr>
        <w:t xml:space="preserve"> </w:t>
      </w:r>
    </w:p>
    <w:p w14:paraId="3354B943" w14:textId="009FF14F" w:rsidR="00926CEF" w:rsidRDefault="00926CEF" w:rsidP="00926CEF">
      <w:pPr>
        <w:widowControl w:val="0"/>
        <w:numPr>
          <w:ilvl w:val="2"/>
          <w:numId w:val="5"/>
        </w:numPr>
        <w:spacing w:before="120" w:line="276" w:lineRule="auto"/>
        <w:outlineLvl w:val="0"/>
        <w:rPr>
          <w:b/>
          <w:sz w:val="32"/>
        </w:rPr>
      </w:pPr>
      <w:r>
        <w:rPr>
          <w:b/>
          <w:sz w:val="32"/>
        </w:rPr>
        <w:t xml:space="preserve"> </w:t>
      </w:r>
    </w:p>
    <w:p w14:paraId="2D2C58C0" w14:textId="69AD3CF6" w:rsidR="00E22366" w:rsidRPr="00926CEF" w:rsidRDefault="00926CEF" w:rsidP="00E22366">
      <w:pPr>
        <w:widowControl w:val="0"/>
        <w:numPr>
          <w:ilvl w:val="3"/>
          <w:numId w:val="5"/>
        </w:numPr>
        <w:spacing w:before="120" w:line="276" w:lineRule="auto"/>
        <w:outlineLvl w:val="0"/>
        <w:rPr>
          <w:b/>
          <w:sz w:val="32"/>
        </w:rPr>
      </w:pPr>
      <w:r>
        <w:rPr>
          <w:b/>
          <w:sz w:val="32"/>
        </w:rPr>
        <w:t>PHY header</w:t>
      </w:r>
    </w:p>
    <w:p w14:paraId="7F889FA0" w14:textId="087378BF" w:rsidR="00D6015A" w:rsidRPr="004D1506" w:rsidRDefault="00D6015A" w:rsidP="004D1506">
      <w:pPr>
        <w:spacing w:before="120" w:after="120" w:line="276" w:lineRule="auto"/>
        <w:jc w:val="both"/>
        <w:rPr>
          <w:rFonts w:eastAsia="Malgun Gothic"/>
        </w:rPr>
      </w:pPr>
      <w:r w:rsidRPr="00D6015A">
        <w:rPr>
          <w:rFonts w:eastAsia="Malgun Gothic"/>
        </w:rPr>
        <w:t xml:space="preserve">The PHY header is </w:t>
      </w:r>
      <w:r w:rsidR="004D1506">
        <w:rPr>
          <w:rFonts w:eastAsia="Malgun Gothic"/>
        </w:rPr>
        <w:t>168</w:t>
      </w:r>
      <w:r w:rsidRPr="00D6015A">
        <w:rPr>
          <w:rFonts w:eastAsia="Malgun Gothic"/>
        </w:rPr>
        <w:t xml:space="preserve"> bits long. It is transmitted over </w:t>
      </w:r>
      <w:r w:rsidRPr="00D6015A">
        <w:rPr>
          <w:rFonts w:eastAsia="Malgun Gothic"/>
          <w:i/>
          <w:iCs/>
        </w:rPr>
        <w:t>D</w:t>
      </w:r>
      <w:r w:rsidRPr="00D6015A">
        <w:rPr>
          <w:rFonts w:eastAsia="Malgun Gothic"/>
        </w:rPr>
        <w:t xml:space="preserve"> consecutive OFDM symbols, where </w:t>
      </w:r>
      <w:r w:rsidRPr="00D6015A">
        <w:rPr>
          <w:rFonts w:eastAsia="Malgun Gothic"/>
          <w:i/>
          <w:iCs/>
        </w:rPr>
        <w:t>D</w:t>
      </w:r>
      <w:r w:rsidR="00926CEF">
        <w:rPr>
          <w:rFonts w:eastAsia="Malgun Gothic"/>
        </w:rPr>
        <w:t xml:space="preserve"> may be either 1 or 2. </w:t>
      </w:r>
      <w:r w:rsidRPr="00D6015A">
        <w:rPr>
          <w:rFonts w:eastAsia="Malgun Gothic"/>
        </w:rPr>
        <w:t>The content of the core part is protected by the 16-bit header check sequence (HCS)</w:t>
      </w:r>
      <w:r w:rsidR="004D1506">
        <w:rPr>
          <w:rFonts w:eastAsia="Malgun Gothic"/>
        </w:rPr>
        <w:t xml:space="preserve">. The information bits contained in the HB-PHY </w:t>
      </w:r>
      <w:r w:rsidR="00D01F5C">
        <w:rPr>
          <w:rFonts w:eastAsia="Malgun Gothic"/>
        </w:rPr>
        <w:t xml:space="preserve">header are as specified in </w:t>
      </w:r>
      <w:r w:rsidR="00D01F5C">
        <w:rPr>
          <w:rFonts w:eastAsia="Malgun Gothic"/>
        </w:rPr>
        <w:fldChar w:fldCharType="begin"/>
      </w:r>
      <w:r w:rsidR="00D01F5C">
        <w:rPr>
          <w:rFonts w:eastAsia="Malgun Gothic"/>
        </w:rPr>
        <w:instrText xml:space="preserve"> REF _Ref24372609 \r \h </w:instrText>
      </w:r>
      <w:r w:rsidR="00D01F5C">
        <w:rPr>
          <w:rFonts w:eastAsia="Malgun Gothic"/>
        </w:rPr>
      </w:r>
      <w:r w:rsidR="00D01F5C">
        <w:rPr>
          <w:rFonts w:eastAsia="Malgun Gothic"/>
        </w:rPr>
        <w:fldChar w:fldCharType="separate"/>
      </w:r>
      <w:r w:rsidR="00D01F5C">
        <w:rPr>
          <w:rFonts w:eastAsia="Malgun Gothic"/>
        </w:rPr>
        <w:t>Table 1</w:t>
      </w:r>
      <w:r w:rsidR="00D01F5C">
        <w:rPr>
          <w:rFonts w:eastAsia="Malgun Gothic"/>
        </w:rPr>
        <w:fldChar w:fldCharType="end"/>
      </w:r>
      <w:r w:rsidR="004D1506">
        <w:rPr>
          <w:rFonts w:eastAsia="Malgun Gothic"/>
        </w:rPr>
        <w:t>.</w:t>
      </w:r>
    </w:p>
    <w:tbl>
      <w:tblPr>
        <w:tblStyle w:val="Tabellenraster1"/>
        <w:tblW w:w="5000" w:type="pct"/>
        <w:tblInd w:w="0" w:type="dxa"/>
        <w:tblCellMar>
          <w:top w:w="28" w:type="dxa"/>
          <w:bottom w:w="28" w:type="dxa"/>
        </w:tblCellMar>
        <w:tblLook w:val="04A0" w:firstRow="1" w:lastRow="0" w:firstColumn="1" w:lastColumn="0" w:noHBand="0" w:noVBand="1"/>
      </w:tblPr>
      <w:tblGrid>
        <w:gridCol w:w="1243"/>
        <w:gridCol w:w="1904"/>
        <w:gridCol w:w="1070"/>
        <w:gridCol w:w="5133"/>
      </w:tblGrid>
      <w:tr w:rsidR="00D6015A" w:rsidRPr="00D6015A" w14:paraId="4622D855" w14:textId="77777777" w:rsidTr="00E22366">
        <w:trPr>
          <w:trHeight w:val="468"/>
        </w:trPr>
        <w:tc>
          <w:tcPr>
            <w:tcW w:w="665" w:type="pct"/>
            <w:tcBorders>
              <w:top w:val="single" w:sz="4" w:space="0" w:color="auto"/>
              <w:left w:val="single" w:sz="4" w:space="0" w:color="auto"/>
              <w:bottom w:val="single" w:sz="4" w:space="0" w:color="auto"/>
              <w:right w:val="single" w:sz="4" w:space="0" w:color="auto"/>
            </w:tcBorders>
            <w:hideMark/>
          </w:tcPr>
          <w:p w14:paraId="3760C56C" w14:textId="77777777" w:rsidR="00D6015A" w:rsidRPr="00D6015A" w:rsidRDefault="00D6015A" w:rsidP="004D1506">
            <w:pPr>
              <w:autoSpaceDE w:val="0"/>
              <w:autoSpaceDN w:val="0"/>
              <w:adjustRightInd w:val="0"/>
              <w:spacing w:before="120" w:after="120" w:line="276" w:lineRule="auto"/>
              <w:jc w:val="center"/>
              <w:rPr>
                <w:rFonts w:eastAsia="MS Mincho"/>
                <w:b/>
                <w:bdr w:val="none" w:sz="0" w:space="0" w:color="auto" w:frame="1"/>
              </w:rPr>
            </w:pPr>
            <w:r w:rsidRPr="00D6015A">
              <w:rPr>
                <w:rFonts w:eastAsia="MS Mincho"/>
                <w:b/>
                <w:bdr w:val="none" w:sz="0" w:space="0" w:color="auto" w:frame="1"/>
              </w:rPr>
              <w:t>Bit</w:t>
            </w:r>
          </w:p>
        </w:tc>
        <w:tc>
          <w:tcPr>
            <w:tcW w:w="1018" w:type="pct"/>
            <w:tcBorders>
              <w:top w:val="single" w:sz="4" w:space="0" w:color="auto"/>
              <w:left w:val="single" w:sz="4" w:space="0" w:color="auto"/>
              <w:bottom w:val="single" w:sz="4" w:space="0" w:color="auto"/>
              <w:right w:val="single" w:sz="4" w:space="0" w:color="auto"/>
            </w:tcBorders>
            <w:hideMark/>
          </w:tcPr>
          <w:p w14:paraId="1682834C" w14:textId="77777777" w:rsidR="00D6015A" w:rsidRPr="00D6015A" w:rsidRDefault="00D6015A" w:rsidP="004D1506">
            <w:pPr>
              <w:autoSpaceDE w:val="0"/>
              <w:autoSpaceDN w:val="0"/>
              <w:adjustRightInd w:val="0"/>
              <w:spacing w:before="120" w:after="120" w:line="276" w:lineRule="auto"/>
              <w:jc w:val="center"/>
              <w:rPr>
                <w:rFonts w:eastAsia="MS Mincho"/>
                <w:b/>
                <w:bdr w:val="none" w:sz="0" w:space="0" w:color="auto" w:frame="1"/>
              </w:rPr>
            </w:pPr>
            <w:r w:rsidRPr="00D6015A">
              <w:rPr>
                <w:rFonts w:eastAsia="MS Mincho"/>
                <w:b/>
                <w:bdr w:val="none" w:sz="0" w:space="0" w:color="auto" w:frame="1"/>
              </w:rPr>
              <w:t>Field</w:t>
            </w:r>
          </w:p>
        </w:tc>
        <w:tc>
          <w:tcPr>
            <w:tcW w:w="572" w:type="pct"/>
            <w:tcBorders>
              <w:top w:val="single" w:sz="4" w:space="0" w:color="auto"/>
              <w:left w:val="single" w:sz="4" w:space="0" w:color="auto"/>
              <w:bottom w:val="single" w:sz="4" w:space="0" w:color="auto"/>
              <w:right w:val="single" w:sz="4" w:space="0" w:color="auto"/>
            </w:tcBorders>
            <w:hideMark/>
          </w:tcPr>
          <w:p w14:paraId="27F3C3E4" w14:textId="77777777" w:rsidR="00D6015A" w:rsidRPr="00D6015A" w:rsidRDefault="00D6015A" w:rsidP="004D1506">
            <w:pPr>
              <w:autoSpaceDE w:val="0"/>
              <w:autoSpaceDN w:val="0"/>
              <w:adjustRightInd w:val="0"/>
              <w:spacing w:before="120" w:after="120" w:line="276" w:lineRule="auto"/>
              <w:jc w:val="center"/>
              <w:rPr>
                <w:rFonts w:eastAsia="MS Mincho"/>
                <w:b/>
                <w:bdr w:val="none" w:sz="0" w:space="0" w:color="auto" w:frame="1"/>
              </w:rPr>
            </w:pPr>
            <w:r w:rsidRPr="00D6015A">
              <w:rPr>
                <w:rFonts w:eastAsia="MS Mincho"/>
                <w:b/>
                <w:bdr w:val="none" w:sz="0" w:space="0" w:color="auto" w:frame="1"/>
              </w:rPr>
              <w:t>Number of Bits</w:t>
            </w:r>
          </w:p>
        </w:tc>
        <w:tc>
          <w:tcPr>
            <w:tcW w:w="2745" w:type="pct"/>
            <w:tcBorders>
              <w:top w:val="single" w:sz="4" w:space="0" w:color="auto"/>
              <w:left w:val="single" w:sz="4" w:space="0" w:color="auto"/>
              <w:bottom w:val="single" w:sz="4" w:space="0" w:color="auto"/>
              <w:right w:val="single" w:sz="4" w:space="0" w:color="auto"/>
            </w:tcBorders>
            <w:hideMark/>
          </w:tcPr>
          <w:p w14:paraId="4DAECE08" w14:textId="77777777" w:rsidR="00D6015A" w:rsidRPr="00D6015A" w:rsidRDefault="00D6015A" w:rsidP="004D1506">
            <w:pPr>
              <w:autoSpaceDE w:val="0"/>
              <w:autoSpaceDN w:val="0"/>
              <w:adjustRightInd w:val="0"/>
              <w:spacing w:before="120" w:after="120" w:line="276" w:lineRule="auto"/>
              <w:jc w:val="center"/>
              <w:rPr>
                <w:rFonts w:eastAsia="MS Mincho"/>
                <w:b/>
                <w:bdr w:val="none" w:sz="0" w:space="0" w:color="auto" w:frame="1"/>
              </w:rPr>
            </w:pPr>
            <w:r w:rsidRPr="00D6015A">
              <w:rPr>
                <w:rFonts w:eastAsia="MS Mincho"/>
                <w:b/>
                <w:bdr w:val="none" w:sz="0" w:space="0" w:color="auto" w:frame="1"/>
              </w:rPr>
              <w:t>Description</w:t>
            </w:r>
          </w:p>
        </w:tc>
      </w:tr>
      <w:tr w:rsidR="00D6015A" w:rsidRPr="00D6015A" w14:paraId="3777CFD6" w14:textId="77777777" w:rsidTr="00E22366">
        <w:tc>
          <w:tcPr>
            <w:tcW w:w="665" w:type="pct"/>
            <w:tcBorders>
              <w:top w:val="single" w:sz="4" w:space="0" w:color="auto"/>
              <w:left w:val="single" w:sz="4" w:space="0" w:color="auto"/>
              <w:bottom w:val="single" w:sz="4" w:space="0" w:color="auto"/>
              <w:right w:val="single" w:sz="4" w:space="0" w:color="auto"/>
            </w:tcBorders>
            <w:hideMark/>
          </w:tcPr>
          <w:p w14:paraId="41D1FD09" w14:textId="77777777" w:rsidR="00D6015A" w:rsidRPr="00D6015A" w:rsidRDefault="00D6015A" w:rsidP="004D1506">
            <w:pPr>
              <w:spacing w:before="120"/>
            </w:pPr>
            <w:r w:rsidRPr="00D6015A">
              <w:t>B0-B3</w:t>
            </w:r>
          </w:p>
        </w:tc>
        <w:tc>
          <w:tcPr>
            <w:tcW w:w="1018" w:type="pct"/>
            <w:tcBorders>
              <w:top w:val="single" w:sz="4" w:space="0" w:color="auto"/>
              <w:left w:val="single" w:sz="4" w:space="0" w:color="auto"/>
              <w:bottom w:val="single" w:sz="4" w:space="0" w:color="auto"/>
              <w:right w:val="single" w:sz="4" w:space="0" w:color="auto"/>
            </w:tcBorders>
            <w:hideMark/>
          </w:tcPr>
          <w:p w14:paraId="2FE5190A" w14:textId="77777777" w:rsidR="00D6015A" w:rsidRPr="00D6015A" w:rsidRDefault="00D6015A" w:rsidP="004D1506">
            <w:pPr>
              <w:spacing w:before="120"/>
            </w:pPr>
            <w:r w:rsidRPr="00D6015A">
              <w:t>Frame Type (FT)</w:t>
            </w:r>
          </w:p>
        </w:tc>
        <w:tc>
          <w:tcPr>
            <w:tcW w:w="572" w:type="pct"/>
            <w:tcBorders>
              <w:top w:val="single" w:sz="4" w:space="0" w:color="auto"/>
              <w:left w:val="single" w:sz="4" w:space="0" w:color="auto"/>
              <w:bottom w:val="single" w:sz="4" w:space="0" w:color="auto"/>
              <w:right w:val="single" w:sz="4" w:space="0" w:color="auto"/>
            </w:tcBorders>
            <w:hideMark/>
          </w:tcPr>
          <w:p w14:paraId="02FE5526" w14:textId="77777777" w:rsidR="00D6015A" w:rsidRPr="00D6015A" w:rsidRDefault="00D6015A" w:rsidP="004D1506">
            <w:pPr>
              <w:spacing w:before="120"/>
              <w:jc w:val="center"/>
            </w:pPr>
            <w:r w:rsidRPr="00D6015A">
              <w:t>4</w:t>
            </w:r>
          </w:p>
        </w:tc>
        <w:tc>
          <w:tcPr>
            <w:tcW w:w="2745" w:type="pct"/>
            <w:tcBorders>
              <w:top w:val="single" w:sz="4" w:space="0" w:color="auto"/>
              <w:left w:val="single" w:sz="4" w:space="0" w:color="auto"/>
              <w:bottom w:val="single" w:sz="4" w:space="0" w:color="auto"/>
              <w:right w:val="single" w:sz="4" w:space="0" w:color="auto"/>
            </w:tcBorders>
            <w:hideMark/>
          </w:tcPr>
          <w:p w14:paraId="72155557" w14:textId="314A4F66" w:rsidR="00D6015A" w:rsidRPr="00D6015A" w:rsidRDefault="00D6015A" w:rsidP="00B625F7">
            <w:pPr>
              <w:spacing w:before="120"/>
            </w:pPr>
            <w:r w:rsidRPr="00D6015A">
              <w:t xml:space="preserve">The FT field indicates the PHY frame type. For compatibility and coexistence with other standards, the field is reserved to have a value of </w:t>
            </w:r>
            <w:r w:rsidRPr="00B625F7">
              <w:t>0b</w:t>
            </w:r>
            <w:r w:rsidR="00B625F7" w:rsidRPr="00B625F7">
              <w:t>1100</w:t>
            </w:r>
            <w:r w:rsidRPr="00B625F7">
              <w:t>.</w:t>
            </w:r>
          </w:p>
        </w:tc>
      </w:tr>
      <w:tr w:rsidR="00D6015A" w:rsidRPr="00D6015A" w14:paraId="12968AC2" w14:textId="77777777" w:rsidTr="00E22366">
        <w:tc>
          <w:tcPr>
            <w:tcW w:w="665" w:type="pct"/>
            <w:tcBorders>
              <w:top w:val="single" w:sz="4" w:space="0" w:color="auto"/>
              <w:left w:val="single" w:sz="4" w:space="0" w:color="auto"/>
              <w:bottom w:val="single" w:sz="4" w:space="0" w:color="auto"/>
              <w:right w:val="single" w:sz="4" w:space="0" w:color="auto"/>
            </w:tcBorders>
            <w:hideMark/>
          </w:tcPr>
          <w:p w14:paraId="0A6D1E6F" w14:textId="77777777" w:rsidR="00D6015A" w:rsidRPr="00D6015A" w:rsidRDefault="00D6015A" w:rsidP="004D1506">
            <w:pPr>
              <w:spacing w:before="120"/>
            </w:pPr>
            <w:r w:rsidRPr="00D6015A">
              <w:t>B4-B25</w:t>
            </w:r>
          </w:p>
        </w:tc>
        <w:tc>
          <w:tcPr>
            <w:tcW w:w="1018" w:type="pct"/>
            <w:tcBorders>
              <w:top w:val="single" w:sz="4" w:space="0" w:color="auto"/>
              <w:left w:val="single" w:sz="4" w:space="0" w:color="auto"/>
              <w:bottom w:val="single" w:sz="4" w:space="0" w:color="auto"/>
              <w:right w:val="single" w:sz="4" w:space="0" w:color="auto"/>
            </w:tcBorders>
            <w:hideMark/>
          </w:tcPr>
          <w:p w14:paraId="17354C10" w14:textId="422EB67B" w:rsidR="00D6015A" w:rsidRPr="00513B63" w:rsidRDefault="00513B63" w:rsidP="004D1506">
            <w:pPr>
              <w:spacing w:before="120"/>
            </w:pPr>
            <w:r>
              <w:t>PSDU Size (PS)</w:t>
            </w:r>
          </w:p>
        </w:tc>
        <w:tc>
          <w:tcPr>
            <w:tcW w:w="572" w:type="pct"/>
            <w:tcBorders>
              <w:top w:val="single" w:sz="4" w:space="0" w:color="auto"/>
              <w:left w:val="single" w:sz="4" w:space="0" w:color="auto"/>
              <w:bottom w:val="single" w:sz="4" w:space="0" w:color="auto"/>
              <w:right w:val="single" w:sz="4" w:space="0" w:color="auto"/>
            </w:tcBorders>
            <w:hideMark/>
          </w:tcPr>
          <w:p w14:paraId="72B3BD14" w14:textId="4746637C" w:rsidR="00D6015A" w:rsidRPr="00D6015A" w:rsidRDefault="004C7D01" w:rsidP="004D1506">
            <w:pPr>
              <w:spacing w:before="120"/>
              <w:jc w:val="center"/>
            </w:pPr>
            <w:r>
              <w:t>22</w:t>
            </w:r>
          </w:p>
        </w:tc>
        <w:tc>
          <w:tcPr>
            <w:tcW w:w="2745" w:type="pct"/>
            <w:tcBorders>
              <w:top w:val="single" w:sz="4" w:space="0" w:color="auto"/>
              <w:left w:val="single" w:sz="4" w:space="0" w:color="auto"/>
              <w:bottom w:val="single" w:sz="4" w:space="0" w:color="auto"/>
              <w:right w:val="single" w:sz="4" w:space="0" w:color="auto"/>
            </w:tcBorders>
          </w:tcPr>
          <w:p w14:paraId="74699C1A" w14:textId="1210B53B" w:rsidR="00D6015A" w:rsidRPr="00D6015A" w:rsidRDefault="00425E09" w:rsidP="004D1506">
            <w:pPr>
              <w:spacing w:before="120"/>
            </w:pPr>
            <w:r>
              <w:t>The PS</w:t>
            </w:r>
            <w:r w:rsidR="00513B63">
              <w:t xml:space="preserve"> field specifies the length of the PSDU in octets.</w:t>
            </w:r>
          </w:p>
        </w:tc>
      </w:tr>
      <w:tr w:rsidR="00D6015A" w:rsidRPr="00D6015A" w14:paraId="530D5627" w14:textId="77777777" w:rsidTr="00E22366">
        <w:tc>
          <w:tcPr>
            <w:tcW w:w="665" w:type="pct"/>
            <w:tcBorders>
              <w:top w:val="single" w:sz="4" w:space="0" w:color="auto"/>
              <w:left w:val="single" w:sz="4" w:space="0" w:color="auto"/>
              <w:bottom w:val="single" w:sz="4" w:space="0" w:color="auto"/>
              <w:right w:val="single" w:sz="4" w:space="0" w:color="auto"/>
            </w:tcBorders>
            <w:hideMark/>
          </w:tcPr>
          <w:p w14:paraId="3455EAF3" w14:textId="77777777" w:rsidR="00D6015A" w:rsidRPr="00D6015A" w:rsidRDefault="00D6015A" w:rsidP="004D1506">
            <w:pPr>
              <w:spacing w:before="120"/>
            </w:pPr>
            <w:r w:rsidRPr="00D6015A">
              <w:t>B26</w:t>
            </w:r>
          </w:p>
        </w:tc>
        <w:tc>
          <w:tcPr>
            <w:tcW w:w="1018" w:type="pct"/>
            <w:tcBorders>
              <w:top w:val="single" w:sz="4" w:space="0" w:color="auto"/>
              <w:left w:val="single" w:sz="4" w:space="0" w:color="auto"/>
              <w:bottom w:val="single" w:sz="4" w:space="0" w:color="auto"/>
              <w:right w:val="single" w:sz="4" w:space="0" w:color="auto"/>
            </w:tcBorders>
            <w:hideMark/>
          </w:tcPr>
          <w:p w14:paraId="5F234823" w14:textId="77777777" w:rsidR="00D6015A" w:rsidRPr="00D6015A" w:rsidRDefault="00D6015A" w:rsidP="004D1506">
            <w:pPr>
              <w:spacing w:before="120"/>
            </w:pPr>
            <w:r w:rsidRPr="00D6015A">
              <w:t>Extended Header Indication (EHI)</w:t>
            </w:r>
          </w:p>
        </w:tc>
        <w:tc>
          <w:tcPr>
            <w:tcW w:w="572" w:type="pct"/>
            <w:tcBorders>
              <w:top w:val="single" w:sz="4" w:space="0" w:color="auto"/>
              <w:left w:val="single" w:sz="4" w:space="0" w:color="auto"/>
              <w:bottom w:val="single" w:sz="4" w:space="0" w:color="auto"/>
              <w:right w:val="single" w:sz="4" w:space="0" w:color="auto"/>
            </w:tcBorders>
            <w:hideMark/>
          </w:tcPr>
          <w:p w14:paraId="67935B14" w14:textId="77777777" w:rsidR="00D6015A" w:rsidRPr="00D6015A" w:rsidRDefault="00D6015A" w:rsidP="004D1506">
            <w:pPr>
              <w:spacing w:before="120"/>
              <w:jc w:val="center"/>
            </w:pPr>
            <w:r w:rsidRPr="00D6015A">
              <w:t>1</w:t>
            </w:r>
          </w:p>
        </w:tc>
        <w:tc>
          <w:tcPr>
            <w:tcW w:w="2745" w:type="pct"/>
            <w:tcBorders>
              <w:top w:val="single" w:sz="4" w:space="0" w:color="auto"/>
              <w:left w:val="single" w:sz="4" w:space="0" w:color="auto"/>
              <w:bottom w:val="single" w:sz="4" w:space="0" w:color="auto"/>
              <w:right w:val="single" w:sz="4" w:space="0" w:color="auto"/>
            </w:tcBorders>
          </w:tcPr>
          <w:p w14:paraId="1B19EB7B" w14:textId="53780B80" w:rsidR="00D6015A" w:rsidRPr="00D6015A" w:rsidRDefault="00D6015A" w:rsidP="004D1506">
            <w:pPr>
              <w:spacing w:before="120"/>
            </w:pPr>
            <w:r w:rsidRPr="00D6015A">
              <w:t xml:space="preserve">If EHI=”0”, the PHY header contains </w:t>
            </w:r>
            <w:r w:rsidR="003867EE">
              <w:t>168</w:t>
            </w:r>
            <w:r w:rsidRPr="00D6015A">
              <w:rPr>
                <w:vertAlign w:val="subscript"/>
              </w:rPr>
              <w:t xml:space="preserve"> </w:t>
            </w:r>
            <w:r w:rsidRPr="00D6015A">
              <w:t xml:space="preserve">information bits. If EHI=”1”, the PHY header </w:t>
            </w:r>
            <w:r w:rsidR="003867EE">
              <w:t xml:space="preserve">spans two consecutive OFDM symbols and </w:t>
            </w:r>
            <w:r w:rsidRPr="00D6015A">
              <w:t>contains 2×</w:t>
            </w:r>
            <w:r w:rsidR="003867EE">
              <w:t>168</w:t>
            </w:r>
            <w:r w:rsidRPr="00D6015A">
              <w:t xml:space="preserve"> information bits</w:t>
            </w:r>
            <w:r w:rsidR="003867EE">
              <w:t xml:space="preserve"> in total</w:t>
            </w:r>
            <w:r w:rsidRPr="00D6015A">
              <w:t>.</w:t>
            </w:r>
          </w:p>
          <w:p w14:paraId="4C6B7FA9" w14:textId="77777777" w:rsidR="00D6015A" w:rsidRPr="00D6015A" w:rsidRDefault="00D6015A" w:rsidP="004D1506">
            <w:pPr>
              <w:spacing w:before="120"/>
            </w:pPr>
          </w:p>
        </w:tc>
      </w:tr>
      <w:tr w:rsidR="00D6015A" w:rsidRPr="00D6015A" w14:paraId="022A5434" w14:textId="77777777" w:rsidTr="00E22366">
        <w:tc>
          <w:tcPr>
            <w:tcW w:w="665" w:type="pct"/>
            <w:tcBorders>
              <w:top w:val="single" w:sz="4" w:space="0" w:color="auto"/>
              <w:left w:val="single" w:sz="4" w:space="0" w:color="auto"/>
              <w:bottom w:val="single" w:sz="4" w:space="0" w:color="auto"/>
              <w:right w:val="single" w:sz="4" w:space="0" w:color="auto"/>
            </w:tcBorders>
            <w:hideMark/>
          </w:tcPr>
          <w:p w14:paraId="41AEF541" w14:textId="77777777" w:rsidR="00D6015A" w:rsidRPr="00D6015A" w:rsidRDefault="00D6015A" w:rsidP="004D1506">
            <w:pPr>
              <w:spacing w:before="120"/>
            </w:pPr>
            <w:r w:rsidRPr="00D6015A">
              <w:t>B27</w:t>
            </w:r>
          </w:p>
        </w:tc>
        <w:tc>
          <w:tcPr>
            <w:tcW w:w="1018" w:type="pct"/>
            <w:tcBorders>
              <w:top w:val="single" w:sz="4" w:space="0" w:color="auto"/>
              <w:left w:val="single" w:sz="4" w:space="0" w:color="auto"/>
              <w:bottom w:val="single" w:sz="4" w:space="0" w:color="auto"/>
              <w:right w:val="single" w:sz="4" w:space="0" w:color="auto"/>
            </w:tcBorders>
            <w:hideMark/>
          </w:tcPr>
          <w:p w14:paraId="70038558" w14:textId="35ADA04B" w:rsidR="00D6015A" w:rsidRPr="00D6015A" w:rsidRDefault="00D6015A" w:rsidP="00425E09">
            <w:pPr>
              <w:spacing w:before="120"/>
            </w:pPr>
            <w:r w:rsidRPr="00D6015A">
              <w:t>Header Segmentation Indication (HS</w:t>
            </w:r>
            <w:r w:rsidR="00425E09">
              <w:t>I</w:t>
            </w:r>
            <w:r w:rsidRPr="00D6015A">
              <w:t>)</w:t>
            </w:r>
          </w:p>
        </w:tc>
        <w:tc>
          <w:tcPr>
            <w:tcW w:w="572" w:type="pct"/>
            <w:tcBorders>
              <w:top w:val="single" w:sz="4" w:space="0" w:color="auto"/>
              <w:left w:val="single" w:sz="4" w:space="0" w:color="auto"/>
              <w:bottom w:val="single" w:sz="4" w:space="0" w:color="auto"/>
              <w:right w:val="single" w:sz="4" w:space="0" w:color="auto"/>
            </w:tcBorders>
          </w:tcPr>
          <w:p w14:paraId="521F6CCA" w14:textId="0839AC88" w:rsidR="00D6015A" w:rsidRPr="00D6015A" w:rsidRDefault="004C7D01" w:rsidP="004D1506">
            <w:pPr>
              <w:spacing w:before="120"/>
              <w:jc w:val="center"/>
            </w:pPr>
            <w:r>
              <w:t>1</w:t>
            </w:r>
          </w:p>
        </w:tc>
        <w:tc>
          <w:tcPr>
            <w:tcW w:w="2745" w:type="pct"/>
            <w:tcBorders>
              <w:top w:val="single" w:sz="4" w:space="0" w:color="auto"/>
              <w:left w:val="single" w:sz="4" w:space="0" w:color="auto"/>
              <w:bottom w:val="single" w:sz="4" w:space="0" w:color="auto"/>
              <w:right w:val="single" w:sz="4" w:space="0" w:color="auto"/>
            </w:tcBorders>
          </w:tcPr>
          <w:p w14:paraId="1A9D69E9" w14:textId="04334D65" w:rsidR="00D6015A" w:rsidRPr="00D6015A" w:rsidRDefault="00D6015A" w:rsidP="004D1506">
            <w:pPr>
              <w:spacing w:before="120"/>
            </w:pPr>
            <w:r w:rsidRPr="00D6015A">
              <w:t>The HS</w:t>
            </w:r>
            <w:r w:rsidR="00425E09">
              <w:t>I</w:t>
            </w:r>
            <w:r w:rsidRPr="00D6015A">
              <w:t xml:space="preserve"> indicates whether the header is spread over two symbols.</w:t>
            </w:r>
          </w:p>
          <w:p w14:paraId="23F4D208" w14:textId="77777777" w:rsidR="00D6015A" w:rsidRPr="00D6015A" w:rsidRDefault="00D6015A" w:rsidP="004D1506">
            <w:pPr>
              <w:spacing w:before="120"/>
            </w:pPr>
          </w:p>
        </w:tc>
      </w:tr>
      <w:tr w:rsidR="00D6015A" w:rsidRPr="00D6015A" w14:paraId="0BF0A172" w14:textId="77777777" w:rsidTr="00E22366">
        <w:tc>
          <w:tcPr>
            <w:tcW w:w="665" w:type="pct"/>
            <w:tcBorders>
              <w:top w:val="single" w:sz="4" w:space="0" w:color="auto"/>
              <w:left w:val="single" w:sz="4" w:space="0" w:color="auto"/>
              <w:bottom w:val="single" w:sz="4" w:space="0" w:color="auto"/>
              <w:right w:val="single" w:sz="4" w:space="0" w:color="auto"/>
            </w:tcBorders>
            <w:hideMark/>
          </w:tcPr>
          <w:p w14:paraId="2CECF375" w14:textId="77777777" w:rsidR="00D6015A" w:rsidRPr="00D6015A" w:rsidRDefault="00D6015A" w:rsidP="004D1506">
            <w:pPr>
              <w:spacing w:before="120"/>
            </w:pPr>
            <w:r w:rsidRPr="00D6015A">
              <w:t>B28-B31</w:t>
            </w:r>
          </w:p>
        </w:tc>
        <w:tc>
          <w:tcPr>
            <w:tcW w:w="1018" w:type="pct"/>
            <w:tcBorders>
              <w:top w:val="single" w:sz="4" w:space="0" w:color="auto"/>
              <w:left w:val="single" w:sz="4" w:space="0" w:color="auto"/>
              <w:bottom w:val="single" w:sz="4" w:space="0" w:color="auto"/>
              <w:right w:val="single" w:sz="4" w:space="0" w:color="auto"/>
            </w:tcBorders>
            <w:hideMark/>
          </w:tcPr>
          <w:p w14:paraId="19449B90" w14:textId="66E974D8" w:rsidR="00D6015A" w:rsidRPr="00D6015A" w:rsidRDefault="00B625F7" w:rsidP="004D1506">
            <w:pPr>
              <w:spacing w:before="120"/>
              <w:rPr>
                <w:i/>
                <w:highlight w:val="yellow"/>
              </w:rPr>
            </w:pPr>
            <w:r>
              <w:rPr>
                <w:b/>
                <w:i/>
              </w:rPr>
              <w:t>reserved</w:t>
            </w:r>
          </w:p>
        </w:tc>
        <w:tc>
          <w:tcPr>
            <w:tcW w:w="572" w:type="pct"/>
            <w:tcBorders>
              <w:top w:val="single" w:sz="4" w:space="0" w:color="auto"/>
              <w:left w:val="single" w:sz="4" w:space="0" w:color="auto"/>
              <w:bottom w:val="single" w:sz="4" w:space="0" w:color="auto"/>
              <w:right w:val="single" w:sz="4" w:space="0" w:color="auto"/>
            </w:tcBorders>
            <w:hideMark/>
          </w:tcPr>
          <w:p w14:paraId="78109570" w14:textId="77777777" w:rsidR="00D6015A" w:rsidRPr="00D6015A" w:rsidRDefault="00D6015A" w:rsidP="004D1506">
            <w:pPr>
              <w:spacing w:before="120"/>
              <w:jc w:val="center"/>
            </w:pPr>
            <w:r w:rsidRPr="00D6015A">
              <w:t>4</w:t>
            </w:r>
          </w:p>
        </w:tc>
        <w:tc>
          <w:tcPr>
            <w:tcW w:w="2745" w:type="pct"/>
            <w:tcBorders>
              <w:top w:val="single" w:sz="4" w:space="0" w:color="auto"/>
              <w:left w:val="single" w:sz="4" w:space="0" w:color="auto"/>
              <w:bottom w:val="single" w:sz="4" w:space="0" w:color="auto"/>
              <w:right w:val="single" w:sz="4" w:space="0" w:color="auto"/>
            </w:tcBorders>
          </w:tcPr>
          <w:p w14:paraId="2F41D762" w14:textId="77777777" w:rsidR="00D6015A" w:rsidRPr="00D6015A" w:rsidRDefault="00D6015A" w:rsidP="004D1506">
            <w:pPr>
              <w:spacing w:before="120"/>
            </w:pPr>
          </w:p>
        </w:tc>
      </w:tr>
      <w:tr w:rsidR="00D6015A" w:rsidRPr="00D6015A" w14:paraId="49BAB95C" w14:textId="77777777" w:rsidTr="00E22366">
        <w:tc>
          <w:tcPr>
            <w:tcW w:w="665" w:type="pct"/>
            <w:tcBorders>
              <w:top w:val="single" w:sz="4" w:space="0" w:color="auto"/>
              <w:left w:val="single" w:sz="4" w:space="0" w:color="auto"/>
              <w:bottom w:val="single" w:sz="4" w:space="0" w:color="auto"/>
              <w:right w:val="single" w:sz="4" w:space="0" w:color="auto"/>
            </w:tcBorders>
            <w:hideMark/>
          </w:tcPr>
          <w:p w14:paraId="296E59E6" w14:textId="77777777" w:rsidR="00D6015A" w:rsidRPr="00D6015A" w:rsidRDefault="00D6015A" w:rsidP="004D1506">
            <w:pPr>
              <w:spacing w:before="120"/>
            </w:pPr>
            <w:r w:rsidRPr="00D6015A">
              <w:t>B32-B47</w:t>
            </w:r>
          </w:p>
        </w:tc>
        <w:tc>
          <w:tcPr>
            <w:tcW w:w="1018" w:type="pct"/>
            <w:tcBorders>
              <w:top w:val="single" w:sz="4" w:space="0" w:color="auto"/>
              <w:left w:val="single" w:sz="4" w:space="0" w:color="auto"/>
              <w:bottom w:val="single" w:sz="4" w:space="0" w:color="auto"/>
              <w:right w:val="single" w:sz="4" w:space="0" w:color="auto"/>
            </w:tcBorders>
            <w:hideMark/>
          </w:tcPr>
          <w:p w14:paraId="097B8AF9" w14:textId="77777777" w:rsidR="00D6015A" w:rsidRPr="00D6015A" w:rsidRDefault="00D6015A" w:rsidP="004D1506">
            <w:pPr>
              <w:spacing w:before="120"/>
            </w:pPr>
            <w:r w:rsidRPr="00D6015A">
              <w:t>Message Duration (MSG_DUR)</w:t>
            </w:r>
          </w:p>
        </w:tc>
        <w:tc>
          <w:tcPr>
            <w:tcW w:w="572" w:type="pct"/>
            <w:tcBorders>
              <w:top w:val="single" w:sz="4" w:space="0" w:color="auto"/>
              <w:left w:val="single" w:sz="4" w:space="0" w:color="auto"/>
              <w:bottom w:val="single" w:sz="4" w:space="0" w:color="auto"/>
              <w:right w:val="single" w:sz="4" w:space="0" w:color="auto"/>
            </w:tcBorders>
            <w:hideMark/>
          </w:tcPr>
          <w:p w14:paraId="638F31B2" w14:textId="77777777" w:rsidR="00D6015A" w:rsidRPr="00D6015A" w:rsidRDefault="00D6015A" w:rsidP="004D1506">
            <w:pPr>
              <w:spacing w:before="120"/>
              <w:jc w:val="center"/>
            </w:pPr>
            <w:r w:rsidRPr="00D6015A">
              <w:t>16</w:t>
            </w:r>
          </w:p>
        </w:tc>
        <w:tc>
          <w:tcPr>
            <w:tcW w:w="2745" w:type="pct"/>
            <w:tcBorders>
              <w:top w:val="single" w:sz="4" w:space="0" w:color="auto"/>
              <w:left w:val="single" w:sz="4" w:space="0" w:color="auto"/>
              <w:bottom w:val="single" w:sz="4" w:space="0" w:color="auto"/>
              <w:right w:val="single" w:sz="4" w:space="0" w:color="auto"/>
            </w:tcBorders>
            <w:hideMark/>
          </w:tcPr>
          <w:p w14:paraId="07725F32" w14:textId="77777777" w:rsidR="00D6015A" w:rsidRPr="00D6015A" w:rsidRDefault="00D6015A" w:rsidP="004D1506">
            <w:pPr>
              <w:spacing w:before="120"/>
            </w:pPr>
            <w:r w:rsidRPr="00D6015A">
              <w:t>The MSG_DUR indicates the transmit duration of the frame.</w:t>
            </w:r>
          </w:p>
        </w:tc>
      </w:tr>
      <w:tr w:rsidR="00D6015A" w:rsidRPr="00D6015A" w14:paraId="788017EF" w14:textId="77777777" w:rsidTr="00E22366">
        <w:tc>
          <w:tcPr>
            <w:tcW w:w="665" w:type="pct"/>
            <w:tcBorders>
              <w:top w:val="single" w:sz="4" w:space="0" w:color="auto"/>
              <w:left w:val="single" w:sz="4" w:space="0" w:color="auto"/>
              <w:bottom w:val="single" w:sz="4" w:space="0" w:color="auto"/>
              <w:right w:val="single" w:sz="4" w:space="0" w:color="auto"/>
            </w:tcBorders>
            <w:hideMark/>
          </w:tcPr>
          <w:p w14:paraId="1B65E11B" w14:textId="77777777" w:rsidR="00D6015A" w:rsidRPr="00D6015A" w:rsidRDefault="00D6015A" w:rsidP="004D1506">
            <w:pPr>
              <w:spacing w:before="120"/>
            </w:pPr>
            <w:r w:rsidRPr="00D6015A">
              <w:t>B48-B49</w:t>
            </w:r>
          </w:p>
        </w:tc>
        <w:tc>
          <w:tcPr>
            <w:tcW w:w="1018" w:type="pct"/>
            <w:tcBorders>
              <w:top w:val="single" w:sz="4" w:space="0" w:color="auto"/>
              <w:left w:val="single" w:sz="4" w:space="0" w:color="auto"/>
              <w:bottom w:val="single" w:sz="4" w:space="0" w:color="auto"/>
              <w:right w:val="single" w:sz="4" w:space="0" w:color="auto"/>
            </w:tcBorders>
            <w:hideMark/>
          </w:tcPr>
          <w:p w14:paraId="2E7984C1" w14:textId="77777777" w:rsidR="00D6015A" w:rsidRPr="00D6015A" w:rsidRDefault="00D6015A" w:rsidP="004D1506">
            <w:pPr>
              <w:spacing w:before="120"/>
            </w:pPr>
            <w:r w:rsidRPr="00D6015A">
              <w:t>Block Size (BLKSZ)</w:t>
            </w:r>
          </w:p>
        </w:tc>
        <w:tc>
          <w:tcPr>
            <w:tcW w:w="572" w:type="pct"/>
            <w:tcBorders>
              <w:top w:val="single" w:sz="4" w:space="0" w:color="auto"/>
              <w:left w:val="single" w:sz="4" w:space="0" w:color="auto"/>
              <w:bottom w:val="single" w:sz="4" w:space="0" w:color="auto"/>
              <w:right w:val="single" w:sz="4" w:space="0" w:color="auto"/>
            </w:tcBorders>
            <w:hideMark/>
          </w:tcPr>
          <w:p w14:paraId="06E69F95" w14:textId="77777777" w:rsidR="00D6015A" w:rsidRPr="00D6015A" w:rsidRDefault="00D6015A" w:rsidP="004D1506">
            <w:pPr>
              <w:spacing w:before="120"/>
              <w:jc w:val="center"/>
            </w:pPr>
            <w:r w:rsidRPr="00D6015A">
              <w:t>2</w:t>
            </w:r>
          </w:p>
        </w:tc>
        <w:tc>
          <w:tcPr>
            <w:tcW w:w="2745" w:type="pct"/>
            <w:tcBorders>
              <w:top w:val="single" w:sz="4" w:space="0" w:color="auto"/>
              <w:left w:val="single" w:sz="4" w:space="0" w:color="auto"/>
              <w:bottom w:val="single" w:sz="4" w:space="0" w:color="auto"/>
              <w:right w:val="single" w:sz="4" w:space="0" w:color="auto"/>
            </w:tcBorders>
            <w:hideMark/>
          </w:tcPr>
          <w:p w14:paraId="5884C4D6" w14:textId="77777777" w:rsidR="00D6015A" w:rsidRPr="00D6015A" w:rsidRDefault="00D6015A" w:rsidP="004D1506">
            <w:pPr>
              <w:spacing w:before="120"/>
            </w:pPr>
            <w:r w:rsidRPr="00D6015A">
              <w:t>The BLKSZ determines the block size of the FEC codeword applied in the data field of the PPDU.</w:t>
            </w:r>
          </w:p>
        </w:tc>
      </w:tr>
      <w:tr w:rsidR="00D6015A" w:rsidRPr="00D6015A" w14:paraId="76B1F590" w14:textId="77777777" w:rsidTr="00E22366">
        <w:tc>
          <w:tcPr>
            <w:tcW w:w="665" w:type="pct"/>
            <w:tcBorders>
              <w:top w:val="single" w:sz="4" w:space="0" w:color="auto"/>
              <w:left w:val="single" w:sz="4" w:space="0" w:color="auto"/>
              <w:bottom w:val="single" w:sz="4" w:space="0" w:color="auto"/>
              <w:right w:val="single" w:sz="4" w:space="0" w:color="auto"/>
            </w:tcBorders>
            <w:hideMark/>
          </w:tcPr>
          <w:p w14:paraId="652335FD" w14:textId="77777777" w:rsidR="00D6015A" w:rsidRPr="00D6015A" w:rsidRDefault="00D6015A" w:rsidP="004D1506">
            <w:pPr>
              <w:spacing w:before="120"/>
            </w:pPr>
            <w:r w:rsidRPr="00D6015A">
              <w:t>B50-B52</w:t>
            </w:r>
          </w:p>
        </w:tc>
        <w:tc>
          <w:tcPr>
            <w:tcW w:w="1018" w:type="pct"/>
            <w:tcBorders>
              <w:top w:val="single" w:sz="4" w:space="0" w:color="auto"/>
              <w:left w:val="single" w:sz="4" w:space="0" w:color="auto"/>
              <w:bottom w:val="single" w:sz="4" w:space="0" w:color="auto"/>
              <w:right w:val="single" w:sz="4" w:space="0" w:color="auto"/>
            </w:tcBorders>
            <w:hideMark/>
          </w:tcPr>
          <w:p w14:paraId="12DB2904" w14:textId="77777777" w:rsidR="00D6015A" w:rsidRPr="00D6015A" w:rsidRDefault="00D6015A" w:rsidP="004D1506">
            <w:pPr>
              <w:spacing w:before="120"/>
            </w:pPr>
            <w:r w:rsidRPr="00D6015A">
              <w:t>FEC Rate (FEC_RATE)</w:t>
            </w:r>
          </w:p>
        </w:tc>
        <w:tc>
          <w:tcPr>
            <w:tcW w:w="572" w:type="pct"/>
            <w:tcBorders>
              <w:top w:val="single" w:sz="4" w:space="0" w:color="auto"/>
              <w:left w:val="single" w:sz="4" w:space="0" w:color="auto"/>
              <w:bottom w:val="single" w:sz="4" w:space="0" w:color="auto"/>
              <w:right w:val="single" w:sz="4" w:space="0" w:color="auto"/>
            </w:tcBorders>
          </w:tcPr>
          <w:p w14:paraId="7CC14CD3" w14:textId="04F286AA" w:rsidR="00D6015A" w:rsidRPr="00D6015A" w:rsidRDefault="004C7D01" w:rsidP="004D1506">
            <w:pPr>
              <w:spacing w:before="120"/>
              <w:jc w:val="center"/>
            </w:pPr>
            <w:r>
              <w:t>3</w:t>
            </w:r>
          </w:p>
        </w:tc>
        <w:tc>
          <w:tcPr>
            <w:tcW w:w="2745" w:type="pct"/>
            <w:tcBorders>
              <w:top w:val="single" w:sz="4" w:space="0" w:color="auto"/>
              <w:left w:val="single" w:sz="4" w:space="0" w:color="auto"/>
              <w:bottom w:val="single" w:sz="4" w:space="0" w:color="auto"/>
              <w:right w:val="single" w:sz="4" w:space="0" w:color="auto"/>
            </w:tcBorders>
            <w:hideMark/>
          </w:tcPr>
          <w:p w14:paraId="1EAD3AB5" w14:textId="77777777" w:rsidR="00D6015A" w:rsidRPr="00D6015A" w:rsidRDefault="00D6015A" w:rsidP="004D1506">
            <w:pPr>
              <w:spacing w:before="120"/>
            </w:pPr>
            <w:r w:rsidRPr="00D6015A">
              <w:t>The FEC_RATE indicates the FEC coding rate applied in the data field of the PPDU.</w:t>
            </w:r>
          </w:p>
        </w:tc>
      </w:tr>
      <w:tr w:rsidR="00D6015A" w:rsidRPr="00D6015A" w14:paraId="7EB711E2" w14:textId="77777777" w:rsidTr="00E22366">
        <w:tc>
          <w:tcPr>
            <w:tcW w:w="665" w:type="pct"/>
            <w:tcBorders>
              <w:top w:val="single" w:sz="4" w:space="0" w:color="auto"/>
              <w:left w:val="single" w:sz="4" w:space="0" w:color="auto"/>
              <w:bottom w:val="single" w:sz="4" w:space="0" w:color="auto"/>
              <w:right w:val="single" w:sz="4" w:space="0" w:color="auto"/>
            </w:tcBorders>
            <w:hideMark/>
          </w:tcPr>
          <w:p w14:paraId="24267DEA" w14:textId="77777777" w:rsidR="00D6015A" w:rsidRPr="00D6015A" w:rsidRDefault="00D6015A" w:rsidP="004D1506">
            <w:pPr>
              <w:spacing w:before="120"/>
            </w:pPr>
            <w:r w:rsidRPr="00D6015A">
              <w:lastRenderedPageBreak/>
              <w:t>B53-B55</w:t>
            </w:r>
          </w:p>
        </w:tc>
        <w:tc>
          <w:tcPr>
            <w:tcW w:w="1018" w:type="pct"/>
            <w:tcBorders>
              <w:top w:val="single" w:sz="4" w:space="0" w:color="auto"/>
              <w:left w:val="single" w:sz="4" w:space="0" w:color="auto"/>
              <w:bottom w:val="single" w:sz="4" w:space="0" w:color="auto"/>
              <w:right w:val="single" w:sz="4" w:space="0" w:color="auto"/>
            </w:tcBorders>
            <w:hideMark/>
          </w:tcPr>
          <w:p w14:paraId="73B9435C" w14:textId="77777777" w:rsidR="00D6015A" w:rsidRPr="00D6015A" w:rsidRDefault="00D6015A" w:rsidP="004D1506">
            <w:pPr>
              <w:spacing w:before="120"/>
            </w:pPr>
            <w:r w:rsidRPr="00D6015A">
              <w:t>Repetition Number (REP)</w:t>
            </w:r>
          </w:p>
        </w:tc>
        <w:tc>
          <w:tcPr>
            <w:tcW w:w="572" w:type="pct"/>
            <w:tcBorders>
              <w:top w:val="single" w:sz="4" w:space="0" w:color="auto"/>
              <w:left w:val="single" w:sz="4" w:space="0" w:color="auto"/>
              <w:bottom w:val="single" w:sz="4" w:space="0" w:color="auto"/>
              <w:right w:val="single" w:sz="4" w:space="0" w:color="auto"/>
            </w:tcBorders>
          </w:tcPr>
          <w:p w14:paraId="255A19F5" w14:textId="181F623F" w:rsidR="00D6015A" w:rsidRPr="00D6015A" w:rsidRDefault="004C7D01" w:rsidP="004D1506">
            <w:pPr>
              <w:spacing w:before="120"/>
              <w:jc w:val="center"/>
            </w:pPr>
            <w:r>
              <w:t>3</w:t>
            </w:r>
          </w:p>
        </w:tc>
        <w:tc>
          <w:tcPr>
            <w:tcW w:w="2745" w:type="pct"/>
            <w:tcBorders>
              <w:top w:val="single" w:sz="4" w:space="0" w:color="auto"/>
              <w:left w:val="single" w:sz="4" w:space="0" w:color="auto"/>
              <w:bottom w:val="single" w:sz="4" w:space="0" w:color="auto"/>
              <w:right w:val="single" w:sz="4" w:space="0" w:color="auto"/>
            </w:tcBorders>
          </w:tcPr>
          <w:p w14:paraId="0CA29776" w14:textId="51C757D3" w:rsidR="00D6015A" w:rsidRPr="00D6015A" w:rsidRDefault="00D6015A" w:rsidP="004D1506">
            <w:pPr>
              <w:spacing w:before="120"/>
            </w:pPr>
            <w:r w:rsidRPr="00D6015A">
              <w:t>REP indicates the number of payload r</w:t>
            </w:r>
            <w:r w:rsidR="00B56101">
              <w:t>ep</w:t>
            </w:r>
            <w:r w:rsidR="00D01F5C">
              <w:t xml:space="preserve">etitions as detailed in clause </w:t>
            </w:r>
            <w:r w:rsidR="00B56101">
              <w:rPr>
                <w:highlight w:val="yellow"/>
              </w:rPr>
              <w:t xml:space="preserve">[Editor </w:t>
            </w:r>
            <w:r w:rsidR="00D01F5C">
              <w:rPr>
                <w:highlight w:val="yellow"/>
              </w:rPr>
              <w:t>insert</w:t>
            </w:r>
            <w:r w:rsidR="00B56101">
              <w:rPr>
                <w:highlight w:val="yellow"/>
              </w:rPr>
              <w:t xml:space="preserve"> clause</w:t>
            </w:r>
            <w:r w:rsidR="00D01F5C">
              <w:rPr>
                <w:highlight w:val="yellow"/>
              </w:rPr>
              <w:t xml:space="preserve"> number</w:t>
            </w:r>
            <w:r w:rsidR="00B56101">
              <w:rPr>
                <w:highlight w:val="yellow"/>
              </w:rPr>
              <w:t>]</w:t>
            </w:r>
            <w:r w:rsidR="00B56101" w:rsidRPr="00D6015A">
              <w:t>.</w:t>
            </w:r>
          </w:p>
          <w:p w14:paraId="549939F8" w14:textId="77777777" w:rsidR="00D6015A" w:rsidRPr="00D6015A" w:rsidRDefault="00D6015A" w:rsidP="004D1506">
            <w:pPr>
              <w:spacing w:before="120"/>
            </w:pPr>
          </w:p>
          <w:p w14:paraId="1551D077" w14:textId="77777777" w:rsidR="00D6015A" w:rsidRPr="00D6015A" w:rsidRDefault="00D6015A" w:rsidP="004D1506">
            <w:pPr>
              <w:spacing w:before="120"/>
            </w:pPr>
          </w:p>
        </w:tc>
      </w:tr>
      <w:tr w:rsidR="00D6015A" w:rsidRPr="00D6015A" w14:paraId="29FB484A" w14:textId="77777777" w:rsidTr="00E22366">
        <w:tc>
          <w:tcPr>
            <w:tcW w:w="665" w:type="pct"/>
            <w:tcBorders>
              <w:top w:val="single" w:sz="4" w:space="0" w:color="auto"/>
              <w:left w:val="single" w:sz="4" w:space="0" w:color="auto"/>
              <w:bottom w:val="single" w:sz="4" w:space="0" w:color="auto"/>
              <w:right w:val="single" w:sz="4" w:space="0" w:color="auto"/>
            </w:tcBorders>
            <w:hideMark/>
          </w:tcPr>
          <w:p w14:paraId="50361532" w14:textId="77777777" w:rsidR="00D6015A" w:rsidRPr="00D6015A" w:rsidRDefault="00D6015A" w:rsidP="004D1506">
            <w:pPr>
              <w:spacing w:before="120"/>
            </w:pPr>
            <w:r w:rsidRPr="00D6015A">
              <w:t>B56-B58</w:t>
            </w:r>
          </w:p>
        </w:tc>
        <w:tc>
          <w:tcPr>
            <w:tcW w:w="1018" w:type="pct"/>
            <w:tcBorders>
              <w:top w:val="single" w:sz="4" w:space="0" w:color="auto"/>
              <w:left w:val="single" w:sz="4" w:space="0" w:color="auto"/>
              <w:bottom w:val="single" w:sz="4" w:space="0" w:color="auto"/>
              <w:right w:val="single" w:sz="4" w:space="0" w:color="auto"/>
            </w:tcBorders>
            <w:hideMark/>
          </w:tcPr>
          <w:p w14:paraId="45D7F003" w14:textId="77777777" w:rsidR="00D6015A" w:rsidRPr="00D6015A" w:rsidRDefault="00D6015A" w:rsidP="004D1506">
            <w:pPr>
              <w:spacing w:before="120"/>
            </w:pPr>
            <w:r w:rsidRPr="00D6015A">
              <w:t>FEC concatenation factor (FCF)</w:t>
            </w:r>
          </w:p>
        </w:tc>
        <w:tc>
          <w:tcPr>
            <w:tcW w:w="572" w:type="pct"/>
            <w:tcBorders>
              <w:top w:val="single" w:sz="4" w:space="0" w:color="auto"/>
              <w:left w:val="single" w:sz="4" w:space="0" w:color="auto"/>
              <w:bottom w:val="single" w:sz="4" w:space="0" w:color="auto"/>
              <w:right w:val="single" w:sz="4" w:space="0" w:color="auto"/>
            </w:tcBorders>
          </w:tcPr>
          <w:p w14:paraId="081F7C8F" w14:textId="7A5C3EBA" w:rsidR="00D6015A" w:rsidRPr="00D6015A" w:rsidRDefault="004C7D01" w:rsidP="004D1506">
            <w:pPr>
              <w:spacing w:before="120"/>
              <w:jc w:val="center"/>
            </w:pPr>
            <w:r>
              <w:t>2</w:t>
            </w:r>
          </w:p>
        </w:tc>
        <w:tc>
          <w:tcPr>
            <w:tcW w:w="2745" w:type="pct"/>
            <w:tcBorders>
              <w:top w:val="single" w:sz="4" w:space="0" w:color="auto"/>
              <w:left w:val="single" w:sz="4" w:space="0" w:color="auto"/>
              <w:bottom w:val="single" w:sz="4" w:space="0" w:color="auto"/>
              <w:right w:val="single" w:sz="4" w:space="0" w:color="auto"/>
            </w:tcBorders>
            <w:hideMark/>
          </w:tcPr>
          <w:p w14:paraId="3AFA28C8" w14:textId="66843A6E" w:rsidR="00D6015A" w:rsidRPr="00D6015A" w:rsidRDefault="00B56101" w:rsidP="00B56101">
            <w:pPr>
              <w:spacing w:before="120"/>
            </w:pPr>
            <w:r>
              <w:t xml:space="preserve">The FCF is detailed in clause </w:t>
            </w:r>
            <w:r w:rsidR="00D01F5C">
              <w:rPr>
                <w:highlight w:val="yellow"/>
              </w:rPr>
              <w:t>[Editor insert clause number]</w:t>
            </w:r>
            <w:r w:rsidR="00D6015A" w:rsidRPr="00D6015A">
              <w:t>.</w:t>
            </w:r>
          </w:p>
        </w:tc>
      </w:tr>
      <w:tr w:rsidR="00D6015A" w:rsidRPr="00D6015A" w14:paraId="59C47E50" w14:textId="77777777" w:rsidTr="00E22366">
        <w:tc>
          <w:tcPr>
            <w:tcW w:w="665" w:type="pct"/>
            <w:tcBorders>
              <w:top w:val="single" w:sz="4" w:space="0" w:color="auto"/>
              <w:left w:val="single" w:sz="4" w:space="0" w:color="auto"/>
              <w:bottom w:val="single" w:sz="4" w:space="0" w:color="auto"/>
              <w:right w:val="single" w:sz="4" w:space="0" w:color="auto"/>
            </w:tcBorders>
            <w:hideMark/>
          </w:tcPr>
          <w:p w14:paraId="28110B3D" w14:textId="77777777" w:rsidR="00D6015A" w:rsidRPr="00D6015A" w:rsidRDefault="00D6015A" w:rsidP="004D1506">
            <w:pPr>
              <w:spacing w:before="120"/>
            </w:pPr>
            <w:r w:rsidRPr="00D6015A">
              <w:t>B59-B62</w:t>
            </w:r>
          </w:p>
        </w:tc>
        <w:tc>
          <w:tcPr>
            <w:tcW w:w="1018" w:type="pct"/>
            <w:tcBorders>
              <w:top w:val="single" w:sz="4" w:space="0" w:color="auto"/>
              <w:left w:val="single" w:sz="4" w:space="0" w:color="auto"/>
              <w:bottom w:val="single" w:sz="4" w:space="0" w:color="auto"/>
              <w:right w:val="single" w:sz="4" w:space="0" w:color="auto"/>
            </w:tcBorders>
            <w:hideMark/>
          </w:tcPr>
          <w:p w14:paraId="30E8DA29" w14:textId="77777777" w:rsidR="00D6015A" w:rsidRPr="00D6015A" w:rsidRDefault="00D6015A" w:rsidP="004D1506">
            <w:pPr>
              <w:spacing w:before="120"/>
            </w:pPr>
            <w:r w:rsidRPr="00D6015A">
              <w:t>Scrambler Initialization (SI)</w:t>
            </w:r>
          </w:p>
        </w:tc>
        <w:tc>
          <w:tcPr>
            <w:tcW w:w="572" w:type="pct"/>
            <w:tcBorders>
              <w:top w:val="single" w:sz="4" w:space="0" w:color="auto"/>
              <w:left w:val="single" w:sz="4" w:space="0" w:color="auto"/>
              <w:bottom w:val="single" w:sz="4" w:space="0" w:color="auto"/>
              <w:right w:val="single" w:sz="4" w:space="0" w:color="auto"/>
            </w:tcBorders>
          </w:tcPr>
          <w:p w14:paraId="700616CE" w14:textId="71FAE7C6" w:rsidR="00D6015A" w:rsidRPr="00D6015A" w:rsidRDefault="004C7D01" w:rsidP="004D1506">
            <w:pPr>
              <w:spacing w:before="120"/>
              <w:jc w:val="center"/>
            </w:pPr>
            <w:r>
              <w:t>4</w:t>
            </w:r>
          </w:p>
        </w:tc>
        <w:tc>
          <w:tcPr>
            <w:tcW w:w="2745" w:type="pct"/>
            <w:tcBorders>
              <w:top w:val="single" w:sz="4" w:space="0" w:color="auto"/>
              <w:left w:val="single" w:sz="4" w:space="0" w:color="auto"/>
              <w:bottom w:val="single" w:sz="4" w:space="0" w:color="auto"/>
              <w:right w:val="single" w:sz="4" w:space="0" w:color="auto"/>
            </w:tcBorders>
            <w:hideMark/>
          </w:tcPr>
          <w:p w14:paraId="34A5DAB7" w14:textId="40875634" w:rsidR="00D6015A" w:rsidRPr="00D6015A" w:rsidRDefault="00D6015A" w:rsidP="00B76210">
            <w:pPr>
              <w:spacing w:before="120"/>
            </w:pPr>
            <w:r w:rsidRPr="00D6015A">
              <w:t>The SI field comprises the initialization bits for the Data scrambler as detailed in</w:t>
            </w:r>
            <w:r w:rsidR="00B76210">
              <w:t xml:space="preserve"> clause </w:t>
            </w:r>
            <w:r w:rsidR="00D01F5C">
              <w:rPr>
                <w:highlight w:val="yellow"/>
              </w:rPr>
              <w:t>[Editor insert clause number]</w:t>
            </w:r>
            <w:r w:rsidRPr="00D6015A">
              <w:t>.</w:t>
            </w:r>
          </w:p>
        </w:tc>
      </w:tr>
      <w:tr w:rsidR="00D6015A" w:rsidRPr="00D6015A" w14:paraId="7A4C796E" w14:textId="77777777" w:rsidTr="00E22366">
        <w:tc>
          <w:tcPr>
            <w:tcW w:w="665" w:type="pct"/>
            <w:tcBorders>
              <w:top w:val="single" w:sz="4" w:space="0" w:color="auto"/>
              <w:left w:val="single" w:sz="4" w:space="0" w:color="auto"/>
              <w:bottom w:val="single" w:sz="4" w:space="0" w:color="auto"/>
              <w:right w:val="single" w:sz="4" w:space="0" w:color="auto"/>
            </w:tcBorders>
            <w:hideMark/>
          </w:tcPr>
          <w:p w14:paraId="622EA91D" w14:textId="77777777" w:rsidR="00D6015A" w:rsidRPr="00D6015A" w:rsidRDefault="00D6015A" w:rsidP="004D1506">
            <w:pPr>
              <w:spacing w:before="120"/>
            </w:pPr>
            <w:r w:rsidRPr="00D6015A">
              <w:t>B63</w:t>
            </w:r>
          </w:p>
        </w:tc>
        <w:tc>
          <w:tcPr>
            <w:tcW w:w="1018" w:type="pct"/>
            <w:tcBorders>
              <w:top w:val="single" w:sz="4" w:space="0" w:color="auto"/>
              <w:left w:val="single" w:sz="4" w:space="0" w:color="auto"/>
              <w:bottom w:val="single" w:sz="4" w:space="0" w:color="auto"/>
              <w:right w:val="single" w:sz="4" w:space="0" w:color="auto"/>
            </w:tcBorders>
            <w:hideMark/>
          </w:tcPr>
          <w:p w14:paraId="331AA683" w14:textId="12DE7CDF" w:rsidR="00D6015A" w:rsidRPr="00D6015A" w:rsidRDefault="00B625F7" w:rsidP="004D1506">
            <w:pPr>
              <w:spacing w:before="120"/>
              <w:rPr>
                <w:b/>
                <w:i/>
              </w:rPr>
            </w:pPr>
            <w:r>
              <w:rPr>
                <w:b/>
                <w:i/>
              </w:rPr>
              <w:t>reserved</w:t>
            </w:r>
          </w:p>
        </w:tc>
        <w:tc>
          <w:tcPr>
            <w:tcW w:w="572" w:type="pct"/>
            <w:tcBorders>
              <w:top w:val="single" w:sz="4" w:space="0" w:color="auto"/>
              <w:left w:val="single" w:sz="4" w:space="0" w:color="auto"/>
              <w:bottom w:val="single" w:sz="4" w:space="0" w:color="auto"/>
              <w:right w:val="single" w:sz="4" w:space="0" w:color="auto"/>
            </w:tcBorders>
          </w:tcPr>
          <w:p w14:paraId="2072B56D" w14:textId="68D20034" w:rsidR="00D6015A" w:rsidRPr="00D6015A" w:rsidRDefault="004C7D01" w:rsidP="004D1506">
            <w:pPr>
              <w:spacing w:before="120"/>
              <w:jc w:val="center"/>
            </w:pPr>
            <w:r>
              <w:t>1</w:t>
            </w:r>
          </w:p>
        </w:tc>
        <w:tc>
          <w:tcPr>
            <w:tcW w:w="2745" w:type="pct"/>
            <w:tcBorders>
              <w:top w:val="single" w:sz="4" w:space="0" w:color="auto"/>
              <w:left w:val="single" w:sz="4" w:space="0" w:color="auto"/>
              <w:bottom w:val="single" w:sz="4" w:space="0" w:color="auto"/>
              <w:right w:val="single" w:sz="4" w:space="0" w:color="auto"/>
            </w:tcBorders>
          </w:tcPr>
          <w:p w14:paraId="6BA6D529" w14:textId="77777777" w:rsidR="00D6015A" w:rsidRPr="00D6015A" w:rsidRDefault="00D6015A" w:rsidP="004D1506">
            <w:pPr>
              <w:spacing w:before="120"/>
            </w:pPr>
          </w:p>
        </w:tc>
      </w:tr>
      <w:tr w:rsidR="000D4069" w:rsidRPr="00D6015A" w14:paraId="46E53D0B" w14:textId="77777777" w:rsidTr="00E22366">
        <w:tc>
          <w:tcPr>
            <w:tcW w:w="665" w:type="pct"/>
            <w:tcBorders>
              <w:top w:val="single" w:sz="4" w:space="0" w:color="auto"/>
              <w:left w:val="single" w:sz="4" w:space="0" w:color="auto"/>
              <w:bottom w:val="single" w:sz="4" w:space="0" w:color="auto"/>
              <w:right w:val="single" w:sz="4" w:space="0" w:color="auto"/>
            </w:tcBorders>
          </w:tcPr>
          <w:p w14:paraId="0E8EAEA9" w14:textId="31B86769" w:rsidR="000D4069" w:rsidRPr="00D6015A" w:rsidRDefault="000D4069" w:rsidP="004D1506">
            <w:pPr>
              <w:spacing w:before="120"/>
            </w:pPr>
            <w:r w:rsidRPr="00D6015A">
              <w:t>B64-B68</w:t>
            </w:r>
          </w:p>
        </w:tc>
        <w:tc>
          <w:tcPr>
            <w:tcW w:w="1018" w:type="pct"/>
            <w:tcBorders>
              <w:top w:val="single" w:sz="4" w:space="0" w:color="auto"/>
              <w:left w:val="single" w:sz="4" w:space="0" w:color="auto"/>
              <w:bottom w:val="single" w:sz="4" w:space="0" w:color="auto"/>
              <w:right w:val="single" w:sz="4" w:space="0" w:color="auto"/>
            </w:tcBorders>
          </w:tcPr>
          <w:p w14:paraId="12CF3468" w14:textId="0A63F96B" w:rsidR="000D4069" w:rsidRPr="00D6015A" w:rsidRDefault="000D4069" w:rsidP="004D1506">
            <w:pPr>
              <w:spacing w:before="120"/>
              <w:rPr>
                <w:b/>
                <w:i/>
                <w:highlight w:val="yellow"/>
              </w:rPr>
            </w:pPr>
            <w:r w:rsidRPr="00D6015A">
              <w:t>Bit allocation table ID (BAT_ID)</w:t>
            </w:r>
          </w:p>
        </w:tc>
        <w:tc>
          <w:tcPr>
            <w:tcW w:w="572" w:type="pct"/>
            <w:tcBorders>
              <w:top w:val="single" w:sz="4" w:space="0" w:color="auto"/>
              <w:left w:val="single" w:sz="4" w:space="0" w:color="auto"/>
              <w:bottom w:val="single" w:sz="4" w:space="0" w:color="auto"/>
              <w:right w:val="single" w:sz="4" w:space="0" w:color="auto"/>
            </w:tcBorders>
          </w:tcPr>
          <w:p w14:paraId="321A374C" w14:textId="284EAE99" w:rsidR="000D4069" w:rsidRPr="00D6015A" w:rsidRDefault="004C7D01" w:rsidP="004D1506">
            <w:pPr>
              <w:spacing w:before="120"/>
              <w:jc w:val="center"/>
            </w:pPr>
            <w:r>
              <w:t>5</w:t>
            </w:r>
          </w:p>
        </w:tc>
        <w:tc>
          <w:tcPr>
            <w:tcW w:w="2745" w:type="pct"/>
            <w:tcBorders>
              <w:top w:val="single" w:sz="4" w:space="0" w:color="auto"/>
              <w:left w:val="single" w:sz="4" w:space="0" w:color="auto"/>
              <w:bottom w:val="single" w:sz="4" w:space="0" w:color="auto"/>
              <w:right w:val="single" w:sz="4" w:space="0" w:color="auto"/>
            </w:tcBorders>
          </w:tcPr>
          <w:p w14:paraId="32C83D52" w14:textId="38644248" w:rsidR="000D4069" w:rsidRPr="00D6015A" w:rsidRDefault="000D4069" w:rsidP="004D1506">
            <w:pPr>
              <w:spacing w:before="120"/>
            </w:pPr>
            <w:r w:rsidRPr="00D6015A">
              <w:t xml:space="preserve">BAT_ID indicates the BAT used in the data field of the PPDU. </w:t>
            </w:r>
          </w:p>
        </w:tc>
      </w:tr>
      <w:tr w:rsidR="000D4069" w:rsidRPr="00D6015A" w14:paraId="1910A302" w14:textId="77777777" w:rsidTr="00E22366">
        <w:tc>
          <w:tcPr>
            <w:tcW w:w="665" w:type="pct"/>
            <w:tcBorders>
              <w:top w:val="single" w:sz="4" w:space="0" w:color="auto"/>
              <w:left w:val="single" w:sz="4" w:space="0" w:color="auto"/>
              <w:bottom w:val="single" w:sz="4" w:space="0" w:color="auto"/>
              <w:right w:val="single" w:sz="4" w:space="0" w:color="auto"/>
            </w:tcBorders>
          </w:tcPr>
          <w:p w14:paraId="22695B18" w14:textId="2E4A46B7" w:rsidR="000D4069" w:rsidRPr="00D6015A" w:rsidRDefault="000D4069" w:rsidP="004D1506">
            <w:pPr>
              <w:spacing w:before="120"/>
            </w:pPr>
            <w:r w:rsidRPr="00D6015A">
              <w:t>B69-B71</w:t>
            </w:r>
          </w:p>
        </w:tc>
        <w:tc>
          <w:tcPr>
            <w:tcW w:w="1018" w:type="pct"/>
            <w:tcBorders>
              <w:top w:val="single" w:sz="4" w:space="0" w:color="auto"/>
              <w:left w:val="single" w:sz="4" w:space="0" w:color="auto"/>
              <w:bottom w:val="single" w:sz="4" w:space="0" w:color="auto"/>
              <w:right w:val="single" w:sz="4" w:space="0" w:color="auto"/>
            </w:tcBorders>
          </w:tcPr>
          <w:p w14:paraId="3ED866CF" w14:textId="72879CCA" w:rsidR="000D4069" w:rsidRPr="00D6015A" w:rsidRDefault="000D4069" w:rsidP="004D1506">
            <w:pPr>
              <w:spacing w:before="120"/>
            </w:pPr>
            <w:r w:rsidRPr="00D6015A">
              <w:t>Bandplan and subcarrier grouping identifier (BNDPLN / GRP_ID)</w:t>
            </w:r>
          </w:p>
        </w:tc>
        <w:tc>
          <w:tcPr>
            <w:tcW w:w="572" w:type="pct"/>
            <w:tcBorders>
              <w:top w:val="single" w:sz="4" w:space="0" w:color="auto"/>
              <w:left w:val="single" w:sz="4" w:space="0" w:color="auto"/>
              <w:bottom w:val="single" w:sz="4" w:space="0" w:color="auto"/>
              <w:right w:val="single" w:sz="4" w:space="0" w:color="auto"/>
            </w:tcBorders>
          </w:tcPr>
          <w:p w14:paraId="0EECEACB" w14:textId="65E1FB82" w:rsidR="000D4069" w:rsidRPr="00D6015A" w:rsidRDefault="004C7D01" w:rsidP="004D1506">
            <w:pPr>
              <w:spacing w:before="120"/>
              <w:jc w:val="center"/>
            </w:pPr>
            <w:r>
              <w:t>3</w:t>
            </w:r>
          </w:p>
        </w:tc>
        <w:tc>
          <w:tcPr>
            <w:tcW w:w="2745" w:type="pct"/>
            <w:tcBorders>
              <w:top w:val="single" w:sz="4" w:space="0" w:color="auto"/>
              <w:left w:val="single" w:sz="4" w:space="0" w:color="auto"/>
              <w:bottom w:val="single" w:sz="4" w:space="0" w:color="auto"/>
              <w:right w:val="single" w:sz="4" w:space="0" w:color="auto"/>
            </w:tcBorders>
          </w:tcPr>
          <w:p w14:paraId="31F82E30" w14:textId="2AFA29CC" w:rsidR="000D4069" w:rsidRPr="00D6015A" w:rsidRDefault="000D4069" w:rsidP="00E22366">
            <w:pPr>
              <w:spacing w:before="120"/>
            </w:pPr>
            <w:r w:rsidRPr="00D6015A">
              <w:t xml:space="preserve">The </w:t>
            </w:r>
            <w:r w:rsidR="00E22366">
              <w:t>b</w:t>
            </w:r>
            <w:r w:rsidRPr="00D6015A">
              <w:t>andplan and subcarrier grouping ID.</w:t>
            </w:r>
          </w:p>
        </w:tc>
      </w:tr>
      <w:tr w:rsidR="000D4069" w:rsidRPr="00D6015A" w14:paraId="402AEA8B" w14:textId="77777777" w:rsidTr="00E22366">
        <w:tc>
          <w:tcPr>
            <w:tcW w:w="665" w:type="pct"/>
            <w:tcBorders>
              <w:top w:val="single" w:sz="4" w:space="0" w:color="auto"/>
              <w:left w:val="single" w:sz="4" w:space="0" w:color="auto"/>
              <w:bottom w:val="single" w:sz="4" w:space="0" w:color="auto"/>
              <w:right w:val="single" w:sz="4" w:space="0" w:color="auto"/>
            </w:tcBorders>
          </w:tcPr>
          <w:p w14:paraId="2CBC93C1" w14:textId="49749BA8" w:rsidR="000D4069" w:rsidRPr="00D6015A" w:rsidRDefault="000D4069" w:rsidP="004D1506">
            <w:pPr>
              <w:spacing w:before="120"/>
            </w:pPr>
            <w:r w:rsidRPr="00D6015A">
              <w:t>B72-B74</w:t>
            </w:r>
          </w:p>
        </w:tc>
        <w:tc>
          <w:tcPr>
            <w:tcW w:w="1018" w:type="pct"/>
            <w:tcBorders>
              <w:top w:val="single" w:sz="4" w:space="0" w:color="auto"/>
              <w:left w:val="single" w:sz="4" w:space="0" w:color="auto"/>
              <w:bottom w:val="single" w:sz="4" w:space="0" w:color="auto"/>
              <w:right w:val="single" w:sz="4" w:space="0" w:color="auto"/>
            </w:tcBorders>
          </w:tcPr>
          <w:p w14:paraId="597D2C47" w14:textId="1984489C" w:rsidR="000D4069" w:rsidRPr="00D6015A" w:rsidRDefault="000D4069" w:rsidP="004D1506">
            <w:pPr>
              <w:spacing w:before="120"/>
            </w:pPr>
            <w:r w:rsidRPr="00D6015A">
              <w:t>Guard Interval ID (GI_ID)</w:t>
            </w:r>
          </w:p>
        </w:tc>
        <w:tc>
          <w:tcPr>
            <w:tcW w:w="572" w:type="pct"/>
            <w:tcBorders>
              <w:top w:val="single" w:sz="4" w:space="0" w:color="auto"/>
              <w:left w:val="single" w:sz="4" w:space="0" w:color="auto"/>
              <w:bottom w:val="single" w:sz="4" w:space="0" w:color="auto"/>
              <w:right w:val="single" w:sz="4" w:space="0" w:color="auto"/>
            </w:tcBorders>
          </w:tcPr>
          <w:p w14:paraId="32187F7A" w14:textId="02E25494" w:rsidR="000D4069" w:rsidRPr="00D6015A" w:rsidRDefault="000D4069" w:rsidP="004D1506">
            <w:pPr>
              <w:spacing w:before="120"/>
              <w:jc w:val="center"/>
            </w:pPr>
            <w:r w:rsidRPr="00D6015A">
              <w:t>3</w:t>
            </w:r>
          </w:p>
        </w:tc>
        <w:tc>
          <w:tcPr>
            <w:tcW w:w="2745" w:type="pct"/>
            <w:tcBorders>
              <w:top w:val="single" w:sz="4" w:space="0" w:color="auto"/>
              <w:left w:val="single" w:sz="4" w:space="0" w:color="auto"/>
              <w:bottom w:val="single" w:sz="4" w:space="0" w:color="auto"/>
              <w:right w:val="single" w:sz="4" w:space="0" w:color="auto"/>
            </w:tcBorders>
          </w:tcPr>
          <w:p w14:paraId="70DF436F" w14:textId="1710365E" w:rsidR="000D4069" w:rsidRPr="00D6015A" w:rsidRDefault="004C7D01" w:rsidP="004D1506">
            <w:pPr>
              <w:spacing w:before="120"/>
            </w:pPr>
            <w:r>
              <w:t>The</w:t>
            </w:r>
            <w:r w:rsidR="000D4069" w:rsidRPr="00D6015A">
              <w:t xml:space="preserve"> GI_ID indicates the CP length used for the Data field of the PPDU.</w:t>
            </w:r>
          </w:p>
        </w:tc>
      </w:tr>
      <w:tr w:rsidR="000D4069" w:rsidRPr="00D6015A" w14:paraId="088C29B6" w14:textId="77777777" w:rsidTr="00E22366">
        <w:tc>
          <w:tcPr>
            <w:tcW w:w="665" w:type="pct"/>
            <w:tcBorders>
              <w:top w:val="single" w:sz="4" w:space="0" w:color="auto"/>
              <w:left w:val="single" w:sz="4" w:space="0" w:color="auto"/>
              <w:bottom w:val="single" w:sz="4" w:space="0" w:color="auto"/>
              <w:right w:val="single" w:sz="4" w:space="0" w:color="auto"/>
            </w:tcBorders>
          </w:tcPr>
          <w:p w14:paraId="7D78A88E" w14:textId="0428E86A" w:rsidR="000D4069" w:rsidRPr="00D6015A" w:rsidRDefault="000D4069" w:rsidP="004D1506">
            <w:pPr>
              <w:spacing w:before="120"/>
            </w:pPr>
            <w:r w:rsidRPr="00D6015A">
              <w:t>B75-B151</w:t>
            </w:r>
          </w:p>
        </w:tc>
        <w:tc>
          <w:tcPr>
            <w:tcW w:w="1018" w:type="pct"/>
            <w:tcBorders>
              <w:top w:val="single" w:sz="4" w:space="0" w:color="auto"/>
              <w:left w:val="single" w:sz="4" w:space="0" w:color="auto"/>
              <w:bottom w:val="single" w:sz="4" w:space="0" w:color="auto"/>
              <w:right w:val="single" w:sz="4" w:space="0" w:color="auto"/>
            </w:tcBorders>
          </w:tcPr>
          <w:p w14:paraId="18E751BD" w14:textId="2153CAF5" w:rsidR="000D4069" w:rsidRPr="00D6015A" w:rsidRDefault="00B625F7" w:rsidP="004D1506">
            <w:pPr>
              <w:spacing w:before="120"/>
            </w:pPr>
            <w:r>
              <w:rPr>
                <w:b/>
                <w:i/>
              </w:rPr>
              <w:t>reserved</w:t>
            </w:r>
          </w:p>
        </w:tc>
        <w:tc>
          <w:tcPr>
            <w:tcW w:w="572" w:type="pct"/>
            <w:tcBorders>
              <w:top w:val="single" w:sz="4" w:space="0" w:color="auto"/>
              <w:left w:val="single" w:sz="4" w:space="0" w:color="auto"/>
              <w:bottom w:val="single" w:sz="4" w:space="0" w:color="auto"/>
              <w:right w:val="single" w:sz="4" w:space="0" w:color="auto"/>
            </w:tcBorders>
          </w:tcPr>
          <w:p w14:paraId="7D3786C4" w14:textId="26C5CD92" w:rsidR="000D4069" w:rsidRPr="00D6015A" w:rsidRDefault="004C7D01" w:rsidP="004D1506">
            <w:pPr>
              <w:spacing w:before="120"/>
              <w:jc w:val="center"/>
            </w:pPr>
            <w:r>
              <w:t>77</w:t>
            </w:r>
          </w:p>
        </w:tc>
        <w:tc>
          <w:tcPr>
            <w:tcW w:w="2745" w:type="pct"/>
            <w:tcBorders>
              <w:top w:val="single" w:sz="4" w:space="0" w:color="auto"/>
              <w:left w:val="single" w:sz="4" w:space="0" w:color="auto"/>
              <w:bottom w:val="single" w:sz="4" w:space="0" w:color="auto"/>
              <w:right w:val="single" w:sz="4" w:space="0" w:color="auto"/>
            </w:tcBorders>
          </w:tcPr>
          <w:p w14:paraId="5639F581" w14:textId="77777777" w:rsidR="000D4069" w:rsidRPr="00D6015A" w:rsidRDefault="000D4069" w:rsidP="004D1506">
            <w:pPr>
              <w:spacing w:before="120"/>
            </w:pPr>
          </w:p>
        </w:tc>
      </w:tr>
      <w:tr w:rsidR="000D4069" w:rsidRPr="00D6015A" w14:paraId="3E376AFC" w14:textId="77777777" w:rsidTr="00E22366">
        <w:tc>
          <w:tcPr>
            <w:tcW w:w="665" w:type="pct"/>
            <w:tcBorders>
              <w:top w:val="single" w:sz="4" w:space="0" w:color="auto"/>
              <w:left w:val="single" w:sz="4" w:space="0" w:color="auto"/>
              <w:bottom w:val="single" w:sz="4" w:space="0" w:color="auto"/>
              <w:right w:val="single" w:sz="4" w:space="0" w:color="auto"/>
            </w:tcBorders>
          </w:tcPr>
          <w:p w14:paraId="09429954" w14:textId="6F1023E1" w:rsidR="000D4069" w:rsidRPr="00D6015A" w:rsidRDefault="000D4069" w:rsidP="004D1506">
            <w:pPr>
              <w:spacing w:before="120"/>
            </w:pPr>
            <w:r w:rsidRPr="00D6015A">
              <w:t>B152-B167</w:t>
            </w:r>
          </w:p>
        </w:tc>
        <w:tc>
          <w:tcPr>
            <w:tcW w:w="1018" w:type="pct"/>
            <w:tcBorders>
              <w:top w:val="single" w:sz="4" w:space="0" w:color="auto"/>
              <w:left w:val="single" w:sz="4" w:space="0" w:color="auto"/>
              <w:bottom w:val="single" w:sz="4" w:space="0" w:color="auto"/>
              <w:right w:val="single" w:sz="4" w:space="0" w:color="auto"/>
            </w:tcBorders>
          </w:tcPr>
          <w:p w14:paraId="5B00D4CD" w14:textId="593D62E0" w:rsidR="000D4069" w:rsidRPr="00D6015A" w:rsidRDefault="000D4069" w:rsidP="004D1506">
            <w:pPr>
              <w:spacing w:before="120"/>
              <w:rPr>
                <w:highlight w:val="yellow"/>
              </w:rPr>
            </w:pPr>
            <w:r w:rsidRPr="00D6015A">
              <w:t>Header Checksum (HCS)</w:t>
            </w:r>
          </w:p>
        </w:tc>
        <w:tc>
          <w:tcPr>
            <w:tcW w:w="572" w:type="pct"/>
            <w:tcBorders>
              <w:top w:val="single" w:sz="4" w:space="0" w:color="auto"/>
              <w:left w:val="single" w:sz="4" w:space="0" w:color="auto"/>
              <w:bottom w:val="single" w:sz="4" w:space="0" w:color="auto"/>
              <w:right w:val="single" w:sz="4" w:space="0" w:color="auto"/>
            </w:tcBorders>
          </w:tcPr>
          <w:p w14:paraId="49F09989" w14:textId="23071A32" w:rsidR="000D4069" w:rsidRPr="00D6015A" w:rsidRDefault="000D4069" w:rsidP="004D1506">
            <w:pPr>
              <w:spacing w:before="120"/>
              <w:jc w:val="center"/>
            </w:pPr>
            <w:r w:rsidRPr="00D6015A">
              <w:t>16</w:t>
            </w:r>
          </w:p>
        </w:tc>
        <w:tc>
          <w:tcPr>
            <w:tcW w:w="2745" w:type="pct"/>
            <w:tcBorders>
              <w:top w:val="single" w:sz="4" w:space="0" w:color="auto"/>
              <w:left w:val="single" w:sz="4" w:space="0" w:color="auto"/>
              <w:bottom w:val="single" w:sz="4" w:space="0" w:color="auto"/>
              <w:right w:val="single" w:sz="4" w:space="0" w:color="auto"/>
            </w:tcBorders>
          </w:tcPr>
          <w:p w14:paraId="2E3EE72D" w14:textId="3CEE5A05" w:rsidR="000D4069" w:rsidRPr="00D6015A" w:rsidRDefault="000D4069" w:rsidP="00D01F5C">
            <w:pPr>
              <w:spacing w:before="120"/>
            </w:pPr>
            <w:r w:rsidRPr="00D6015A">
              <w:t xml:space="preserve">The HCS uses CRC-16 as defined in Annex </w:t>
            </w:r>
            <w:r w:rsidR="00D01F5C">
              <w:rPr>
                <w:highlight w:val="yellow"/>
              </w:rPr>
              <w:t>[Editor insert annex number]</w:t>
            </w:r>
            <w:r w:rsidR="00B56101" w:rsidRPr="00D6015A">
              <w:t>.</w:t>
            </w:r>
            <w:r w:rsidRPr="00D6015A">
              <w:t xml:space="preserve"> The HCS bits shall be processed in the transmitted order. The registers shall be initialized to all ones.</w:t>
            </w:r>
          </w:p>
        </w:tc>
      </w:tr>
    </w:tbl>
    <w:p w14:paraId="3E9F07E6" w14:textId="5397D66F" w:rsidR="00D6015A" w:rsidRDefault="004D1506" w:rsidP="00D01F5C">
      <w:pPr>
        <w:pStyle w:val="IEEEStdsRegularTableCaption"/>
      </w:pPr>
      <w:bookmarkStart w:id="1" w:name="_Ref24372609"/>
      <w:r w:rsidRPr="00036DCE">
        <w:t>Structure of the HB-PHY header</w:t>
      </w:r>
      <w:bookmarkEnd w:id="1"/>
    </w:p>
    <w:p w14:paraId="5F25BE7A" w14:textId="6475C15C" w:rsidR="00036DCE" w:rsidRDefault="00D6015A" w:rsidP="00D6015A">
      <w:pPr>
        <w:spacing w:before="120" w:after="120" w:line="276" w:lineRule="auto"/>
        <w:jc w:val="both"/>
        <w:rPr>
          <w:rFonts w:eastAsia="Malgun Gothic"/>
        </w:rPr>
      </w:pPr>
      <w:r w:rsidRPr="00D6015A">
        <w:rPr>
          <w:rFonts w:eastAsia="Malgun Gothic"/>
        </w:rPr>
        <w:t>Depending on the value of the extended header indication (EHI) field in the core part of the PHY</w:t>
      </w:r>
      <w:r w:rsidRPr="00D6015A">
        <w:rPr>
          <w:rFonts w:eastAsia="Malgun Gothic"/>
        </w:rPr>
        <w:noBreakHyphen/>
        <w:t xml:space="preserve">frame header, the PHY-frame header may be extended by additional </w:t>
      </w:r>
      <w:r w:rsidR="00036DCE">
        <w:rPr>
          <w:rFonts w:eastAsia="Malgun Gothic"/>
        </w:rPr>
        <w:t>168</w:t>
      </w:r>
      <w:r w:rsidRPr="00D6015A">
        <w:rPr>
          <w:rFonts w:eastAsia="Malgun Gothic"/>
        </w:rPr>
        <w:t xml:space="preserve"> bits that are transmitted over an additional </w:t>
      </w:r>
      <w:r w:rsidRPr="00D6015A">
        <w:rPr>
          <w:rFonts w:eastAsia="Malgun Gothic"/>
          <w:i/>
          <w:iCs/>
        </w:rPr>
        <w:t>D</w:t>
      </w:r>
      <w:r w:rsidRPr="00D6015A">
        <w:rPr>
          <w:rFonts w:eastAsia="Malgun Gothic"/>
        </w:rPr>
        <w:t xml:space="preserve"> consecutive OFDM symbols. If the EHI bit is set to one, additional </w:t>
      </w:r>
      <w:r w:rsidR="00E00FBD">
        <w:rPr>
          <w:rFonts w:eastAsia="Malgun Gothic"/>
        </w:rPr>
        <w:t>168</w:t>
      </w:r>
      <w:r w:rsidRPr="00D6015A">
        <w:rPr>
          <w:rFonts w:eastAsia="Malgun Gothic"/>
        </w:rPr>
        <w:t xml:space="preserve"> bits representing the extended part of the PHY-frame header are appended to the end of the core part of the PHY-frame header. The extended part of the PHY-frame header shall be encoded and segmented exactly the same way as the core part, as described in Clause</w:t>
      </w:r>
      <w:r w:rsidR="00B76210">
        <w:rPr>
          <w:rFonts w:eastAsia="Malgun Gothic"/>
        </w:rPr>
        <w:t xml:space="preserve"> </w:t>
      </w:r>
      <w:r w:rsidR="00B56101">
        <w:t xml:space="preserve"> </w:t>
      </w:r>
      <w:r w:rsidR="00D01F5C">
        <w:rPr>
          <w:highlight w:val="yellow"/>
        </w:rPr>
        <w:t xml:space="preserve">[Editor insert clause </w:t>
      </w:r>
      <w:r w:rsidR="00D01F5C">
        <w:rPr>
          <w:highlight w:val="yellow"/>
        </w:rPr>
        <w:lastRenderedPageBreak/>
        <w:t>number]</w:t>
      </w:r>
      <w:r w:rsidR="00D01F5C">
        <w:t xml:space="preserve">. </w:t>
      </w:r>
      <w:r w:rsidRPr="00D6015A">
        <w:rPr>
          <w:rFonts w:eastAsia="Malgun Gothic"/>
        </w:rPr>
        <w:t xml:space="preserve">The content of the extended part is </w:t>
      </w:r>
      <w:r w:rsidR="00E00FBD">
        <w:rPr>
          <w:rFonts w:eastAsia="Malgun Gothic"/>
        </w:rPr>
        <w:t xml:space="preserve">reserved for future use. </w:t>
      </w:r>
      <w:r w:rsidRPr="00D6015A">
        <w:rPr>
          <w:rFonts w:eastAsia="Malgun Gothic"/>
        </w:rPr>
        <w:t>The core part and the extended part of the PHY-frame header shall be transmitted over separate OFDM symbol</w:t>
      </w:r>
      <w:r w:rsidR="00D01F5C">
        <w:rPr>
          <w:rFonts w:eastAsia="Malgun Gothic"/>
        </w:rPr>
        <w:t xml:space="preserve">s, as illustrated in </w:t>
      </w:r>
      <w:r w:rsidR="00D01F5C">
        <w:rPr>
          <w:rFonts w:eastAsia="Malgun Gothic"/>
        </w:rPr>
        <w:fldChar w:fldCharType="begin"/>
      </w:r>
      <w:r w:rsidR="00D01F5C">
        <w:rPr>
          <w:rFonts w:eastAsia="Malgun Gothic"/>
        </w:rPr>
        <w:instrText xml:space="preserve"> REF _Ref24372369 \r \h </w:instrText>
      </w:r>
      <w:r w:rsidR="00D01F5C">
        <w:rPr>
          <w:rFonts w:eastAsia="Malgun Gothic"/>
        </w:rPr>
      </w:r>
      <w:r w:rsidR="00D01F5C">
        <w:rPr>
          <w:rFonts w:eastAsia="Malgun Gothic"/>
        </w:rPr>
        <w:fldChar w:fldCharType="separate"/>
      </w:r>
      <w:r w:rsidR="00D01F5C">
        <w:rPr>
          <w:rFonts w:eastAsia="Malgun Gothic"/>
        </w:rPr>
        <w:t>Figure 1</w:t>
      </w:r>
      <w:r w:rsidR="00D01F5C">
        <w:rPr>
          <w:rFonts w:eastAsia="Malgun Gothic"/>
        </w:rPr>
        <w:fldChar w:fldCharType="end"/>
      </w:r>
      <w:r w:rsidRPr="00D6015A">
        <w:rPr>
          <w:rFonts w:eastAsia="Malgun Gothic"/>
        </w:rPr>
        <w:t>.</w:t>
      </w:r>
    </w:p>
    <w:p w14:paraId="1307C0D9" w14:textId="0387C27C" w:rsidR="00036DCE" w:rsidRDefault="00036DCE" w:rsidP="00036DCE">
      <w:pPr>
        <w:pStyle w:val="Figure"/>
        <w:rPr>
          <w:lang w:val="en-US"/>
        </w:rPr>
      </w:pPr>
      <w:r>
        <w:rPr>
          <w:noProof/>
          <w:lang w:val="en-US"/>
        </w:rPr>
        <w:object w:dxaOrig="5685" w:dyaOrig="4860" w14:anchorId="22A0E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4.25pt;height:267.75pt;mso-width-percent:0;mso-height-percent:0;mso-width-percent:0;mso-height-percent:0" o:ole="">
            <v:imagedata r:id="rId8" o:title=""/>
          </v:shape>
          <o:OLEObject Type="Embed" ProgID="CorelDraw.Graphic.13" ShapeID="_x0000_i1025" DrawAspect="Content" ObjectID="_1635162898" r:id="rId9"/>
        </w:object>
      </w:r>
    </w:p>
    <w:p w14:paraId="476C79C0" w14:textId="2D06D5D8" w:rsidR="00612525" w:rsidRPr="00D01F5C" w:rsidRDefault="00036DCE" w:rsidP="00D01F5C">
      <w:pPr>
        <w:pStyle w:val="IEEEStdsRegularFigureCaption"/>
      </w:pPr>
      <w:bookmarkStart w:id="2" w:name="_Ref24372369"/>
      <w:r w:rsidRPr="00D01F5C">
        <w:t>Allowed cases of PHY-frame header transmissions</w:t>
      </w:r>
      <w:bookmarkEnd w:id="2"/>
    </w:p>
    <w:p w14:paraId="57C0BA63" w14:textId="45C1C037" w:rsidR="00BF27D4" w:rsidRDefault="00BF27D4" w:rsidP="004D1506">
      <w:pPr>
        <w:autoSpaceDE w:val="0"/>
        <w:autoSpaceDN w:val="0"/>
        <w:adjustRightInd w:val="0"/>
        <w:spacing w:before="120" w:line="276" w:lineRule="auto"/>
        <w:jc w:val="both"/>
        <w:rPr>
          <w:sz w:val="28"/>
          <w:szCs w:val="24"/>
        </w:rPr>
      </w:pPr>
    </w:p>
    <w:sectPr w:rsidR="00BF27D4" w:rsidSect="00574F3D">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5A27E" w16cid:durableId="1DFCDAE3"/>
  <w16cid:commentId w16cid:paraId="7B3C1DAF" w16cid:durableId="1DFCDC33"/>
  <w16cid:commentId w16cid:paraId="1B2F6E86" w16cid:durableId="1DFCDD01"/>
  <w16cid:commentId w16cid:paraId="0E8344EB" w16cid:durableId="1DFCDE08"/>
  <w16cid:commentId w16cid:paraId="657847B8" w16cid:durableId="1DFCDEE1"/>
  <w16cid:commentId w16cid:paraId="07A6E625" w16cid:durableId="1DFCDFCC"/>
  <w16cid:commentId w16cid:paraId="7F681A77" w16cid:durableId="1DFCD95B"/>
  <w16cid:commentId w16cid:paraId="031E2601" w16cid:durableId="1DFCD95C"/>
  <w16cid:commentId w16cid:paraId="2597AA3B" w16cid:durableId="1DFCD9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5AFFC" w14:textId="77777777" w:rsidR="00E22366" w:rsidRDefault="00E22366">
      <w:r>
        <w:separator/>
      </w:r>
    </w:p>
  </w:endnote>
  <w:endnote w:type="continuationSeparator" w:id="0">
    <w:p w14:paraId="28169A2B" w14:textId="77777777" w:rsidR="00E22366" w:rsidRDefault="00E2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2B8C" w14:textId="633452B7" w:rsidR="00E22366" w:rsidRPr="008B21DA" w:rsidRDefault="00E22366">
    <w:pPr>
      <w:pStyle w:val="Fuzeile"/>
      <w:widowControl w:val="0"/>
      <w:pBdr>
        <w:top w:val="single" w:sz="6" w:space="0" w:color="auto"/>
      </w:pBdr>
      <w:tabs>
        <w:tab w:val="clear" w:pos="4320"/>
        <w:tab w:val="clear" w:pos="8640"/>
        <w:tab w:val="center" w:pos="4680"/>
        <w:tab w:val="right" w:pos="9360"/>
      </w:tabs>
      <w:spacing w:before="240"/>
      <w:rPr>
        <w:lang w:val="de-DE"/>
      </w:rPr>
    </w:pPr>
    <w:r w:rsidRPr="008B21DA">
      <w:rPr>
        <w:lang w:val="de-DE"/>
      </w:rPr>
      <w:t>Submission</w:t>
    </w:r>
    <w:r w:rsidRPr="008B21DA">
      <w:rPr>
        <w:lang w:val="de-DE"/>
      </w:rPr>
      <w:tab/>
      <w:t xml:space="preserve">Page </w:t>
    </w:r>
    <w:r>
      <w:pgNum/>
    </w:r>
    <w:r w:rsidRPr="008B21DA">
      <w:rPr>
        <w:lang w:val="de-DE"/>
      </w:rPr>
      <w:t xml:space="preserve"> of </w:t>
    </w:r>
    <w:r>
      <w:fldChar w:fldCharType="begin"/>
    </w:r>
    <w:r w:rsidRPr="008B21DA">
      <w:rPr>
        <w:lang w:val="de-DE"/>
      </w:rPr>
      <w:instrText xml:space="preserve"> NUMPAGES   \* MERGEFORMAT </w:instrText>
    </w:r>
    <w:r>
      <w:fldChar w:fldCharType="separate"/>
    </w:r>
    <w:r w:rsidR="00402739">
      <w:rPr>
        <w:noProof/>
        <w:lang w:val="de-DE"/>
      </w:rPr>
      <w:t>4</w:t>
    </w:r>
    <w:r>
      <w:rPr>
        <w:noProof/>
      </w:rPr>
      <w:fldChar w:fldCharType="end"/>
    </w:r>
    <w:r w:rsidRPr="008B21DA">
      <w:rPr>
        <w:lang w:val="de-DE"/>
      </w:rPr>
      <w:tab/>
    </w:r>
    <w:r w:rsidR="00123EEA">
      <w:rPr>
        <w:lang w:val="de-DE"/>
      </w:rPr>
      <w:t>Kai Lennert Bober</w:t>
    </w:r>
    <w:r w:rsidRPr="008B21DA">
      <w:rPr>
        <w:lang w:val="de-DE"/>
      </w:rPr>
      <w:t>, Fraunhofer HHI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57AF" w14:textId="77777777" w:rsidR="00E22366" w:rsidRPr="00FD7099" w:rsidRDefault="00E22366">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r w:rsidRPr="00FD7099">
      <w:rPr>
        <w:lang w:val="fr-FR"/>
      </w:rPr>
      <w:t>Submission</w:t>
    </w:r>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33F08" w14:textId="77777777" w:rsidR="00E22366" w:rsidRDefault="00E22366">
      <w:r>
        <w:separator/>
      </w:r>
    </w:p>
  </w:footnote>
  <w:footnote w:type="continuationSeparator" w:id="0">
    <w:p w14:paraId="18818482" w14:textId="77777777" w:rsidR="00E22366" w:rsidRDefault="00E22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C529B" w14:textId="40C77B4E" w:rsidR="00E22366" w:rsidRDefault="00E2236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November 2019</w:t>
    </w:r>
    <w:r>
      <w:rPr>
        <w:b/>
        <w:sz w:val="28"/>
      </w:rPr>
      <w:tab/>
      <w:t xml:space="preserve"> IEEE P802.15-19-</w:t>
    </w:r>
    <w:r w:rsidR="00123EEA">
      <w:rPr>
        <w:b/>
        <w:sz w:val="28"/>
      </w:rPr>
      <w:t>0524</w:t>
    </w:r>
    <w:r w:rsidRPr="00D13EBE">
      <w:rPr>
        <w:b/>
        <w:sz w:val="28"/>
      </w:rPr>
      <w:t>-</w:t>
    </w:r>
    <w:r>
      <w:rPr>
        <w:b/>
        <w:sz w:val="28"/>
      </w:rPr>
      <w:t>0</w:t>
    </w:r>
    <w:r w:rsidR="00402739">
      <w:rPr>
        <w:b/>
        <w:sz w:val="28"/>
      </w:rPr>
      <w:t>1</w:t>
    </w:r>
    <w:r w:rsidRPr="00D13EBE">
      <w:rPr>
        <w:b/>
        <w:sz w:val="28"/>
      </w:rPr>
      <w:t>-0013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93F1A" w14:textId="77777777" w:rsidR="00E22366" w:rsidRDefault="00E22366">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4EAC"/>
    <w:multiLevelType w:val="multilevel"/>
    <w:tmpl w:val="33E4FD2C"/>
    <w:lvl w:ilvl="0">
      <w:start w:val="12"/>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144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7E1C2D"/>
    <w:multiLevelType w:val="multilevel"/>
    <w:tmpl w:val="3F9EE4F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sz w:val="20"/>
        <w:vertAlign w:val="baseline"/>
      </w:rPr>
    </w:lvl>
  </w:abstractNum>
  <w:abstractNum w:abstractNumId="3" w15:restartNumberingAfterBreak="0">
    <w:nsid w:val="4E3C1D72"/>
    <w:multiLevelType w:val="singleLevel"/>
    <w:tmpl w:val="1B46AE04"/>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sz w:val="20"/>
        <w:vertAlign w:val="baseline"/>
      </w:rPr>
    </w:lvl>
  </w:abstractNum>
  <w:abstractNum w:abstractNumId="4" w15:restartNumberingAfterBreak="0">
    <w:nsid w:val="6DD84509"/>
    <w:multiLevelType w:val="multilevel"/>
    <w:tmpl w:val="34E8FA10"/>
    <w:lvl w:ilvl="0">
      <w:start w:val="12"/>
      <w:numFmt w:val="decimal"/>
      <w:lvlText w:val="%1."/>
      <w:lvlJc w:val="left"/>
      <w:pPr>
        <w:ind w:left="0" w:firstLine="0"/>
      </w:pPr>
      <w:rPr>
        <w:rFonts w:hint="default"/>
      </w:rPr>
    </w:lvl>
    <w:lvl w:ilvl="1">
      <w:start w:val="6"/>
      <w:numFmt w:val="decimal"/>
      <w:lvlText w:val="%1.%2."/>
      <w:lvlJc w:val="left"/>
      <w:pPr>
        <w:ind w:left="0" w:firstLine="0"/>
      </w:pPr>
      <w:rPr>
        <w:rFonts w:hint="default"/>
      </w:rPr>
    </w:lvl>
    <w:lvl w:ilvl="2">
      <w:start w:val="2"/>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144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304285C"/>
    <w:multiLevelType w:val="hybridMultilevel"/>
    <w:tmpl w:val="D8E45A9E"/>
    <w:lvl w:ilvl="0" w:tplc="B5B092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4B22D0E"/>
    <w:multiLevelType w:val="multilevel"/>
    <w:tmpl w:val="046E343A"/>
    <w:lvl w:ilvl="0">
      <w:start w:val="12"/>
      <w:numFmt w:val="decimal"/>
      <w:lvlText w:val="%1."/>
      <w:lvlJc w:val="left"/>
      <w:pPr>
        <w:ind w:left="0" w:firstLine="0"/>
      </w:pPr>
      <w:rPr>
        <w:rFonts w:hint="default"/>
      </w:rPr>
    </w:lvl>
    <w:lvl w:ilvl="1">
      <w:start w:val="6"/>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144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0004A"/>
    <w:rsid w:val="000027B1"/>
    <w:rsid w:val="000028A0"/>
    <w:rsid w:val="00005F80"/>
    <w:rsid w:val="0001439F"/>
    <w:rsid w:val="0001597B"/>
    <w:rsid w:val="00016FA6"/>
    <w:rsid w:val="000173CA"/>
    <w:rsid w:val="00022E2B"/>
    <w:rsid w:val="000245FD"/>
    <w:rsid w:val="000263BF"/>
    <w:rsid w:val="00027BBA"/>
    <w:rsid w:val="00030962"/>
    <w:rsid w:val="00032AC1"/>
    <w:rsid w:val="000344DE"/>
    <w:rsid w:val="00035AC9"/>
    <w:rsid w:val="00036DCE"/>
    <w:rsid w:val="00037919"/>
    <w:rsid w:val="000413E5"/>
    <w:rsid w:val="00041654"/>
    <w:rsid w:val="0004268C"/>
    <w:rsid w:val="00043BFB"/>
    <w:rsid w:val="00045464"/>
    <w:rsid w:val="0004567E"/>
    <w:rsid w:val="0004621D"/>
    <w:rsid w:val="0004676D"/>
    <w:rsid w:val="00047AC3"/>
    <w:rsid w:val="000511CC"/>
    <w:rsid w:val="00054C4F"/>
    <w:rsid w:val="000566E2"/>
    <w:rsid w:val="00064510"/>
    <w:rsid w:val="00066D5A"/>
    <w:rsid w:val="000676ED"/>
    <w:rsid w:val="00067A88"/>
    <w:rsid w:val="00070218"/>
    <w:rsid w:val="00074F53"/>
    <w:rsid w:val="00075477"/>
    <w:rsid w:val="0007574C"/>
    <w:rsid w:val="00075E19"/>
    <w:rsid w:val="00077BB8"/>
    <w:rsid w:val="00077C01"/>
    <w:rsid w:val="00083F17"/>
    <w:rsid w:val="000863D1"/>
    <w:rsid w:val="00090C6A"/>
    <w:rsid w:val="00091B69"/>
    <w:rsid w:val="00094364"/>
    <w:rsid w:val="00094675"/>
    <w:rsid w:val="00096A52"/>
    <w:rsid w:val="0009743B"/>
    <w:rsid w:val="000A1130"/>
    <w:rsid w:val="000A12D2"/>
    <w:rsid w:val="000A5CFE"/>
    <w:rsid w:val="000A66E4"/>
    <w:rsid w:val="000A6778"/>
    <w:rsid w:val="000A701E"/>
    <w:rsid w:val="000B01DE"/>
    <w:rsid w:val="000B1C71"/>
    <w:rsid w:val="000B3EDD"/>
    <w:rsid w:val="000B4B10"/>
    <w:rsid w:val="000B5BBF"/>
    <w:rsid w:val="000B5E8D"/>
    <w:rsid w:val="000B6B23"/>
    <w:rsid w:val="000C20BB"/>
    <w:rsid w:val="000C2948"/>
    <w:rsid w:val="000C2D61"/>
    <w:rsid w:val="000C3007"/>
    <w:rsid w:val="000C319F"/>
    <w:rsid w:val="000C330C"/>
    <w:rsid w:val="000C34E3"/>
    <w:rsid w:val="000C3524"/>
    <w:rsid w:val="000C3687"/>
    <w:rsid w:val="000C59D5"/>
    <w:rsid w:val="000C5CE4"/>
    <w:rsid w:val="000C673A"/>
    <w:rsid w:val="000C7196"/>
    <w:rsid w:val="000D2566"/>
    <w:rsid w:val="000D28C8"/>
    <w:rsid w:val="000D4069"/>
    <w:rsid w:val="000D4DA7"/>
    <w:rsid w:val="000D5BD5"/>
    <w:rsid w:val="000D732E"/>
    <w:rsid w:val="000D7D56"/>
    <w:rsid w:val="000E1D41"/>
    <w:rsid w:val="000E4E8B"/>
    <w:rsid w:val="000E53DB"/>
    <w:rsid w:val="000E582B"/>
    <w:rsid w:val="000E6E76"/>
    <w:rsid w:val="000F2CB7"/>
    <w:rsid w:val="000F33CC"/>
    <w:rsid w:val="000F4EDE"/>
    <w:rsid w:val="000F4FB1"/>
    <w:rsid w:val="000F6BA5"/>
    <w:rsid w:val="000F6D8D"/>
    <w:rsid w:val="001002B5"/>
    <w:rsid w:val="00100357"/>
    <w:rsid w:val="0010038D"/>
    <w:rsid w:val="00101288"/>
    <w:rsid w:val="00102624"/>
    <w:rsid w:val="00104AF8"/>
    <w:rsid w:val="00105FA4"/>
    <w:rsid w:val="001068B0"/>
    <w:rsid w:val="00106AD4"/>
    <w:rsid w:val="0010731D"/>
    <w:rsid w:val="001105E9"/>
    <w:rsid w:val="00113973"/>
    <w:rsid w:val="00117A6B"/>
    <w:rsid w:val="0012089A"/>
    <w:rsid w:val="001209FB"/>
    <w:rsid w:val="0012191C"/>
    <w:rsid w:val="00123EEA"/>
    <w:rsid w:val="0012556F"/>
    <w:rsid w:val="001260D9"/>
    <w:rsid w:val="00126A56"/>
    <w:rsid w:val="00126C9C"/>
    <w:rsid w:val="00132280"/>
    <w:rsid w:val="00133FDA"/>
    <w:rsid w:val="00134FA3"/>
    <w:rsid w:val="001358DE"/>
    <w:rsid w:val="00135F92"/>
    <w:rsid w:val="001370BA"/>
    <w:rsid w:val="001371CB"/>
    <w:rsid w:val="00140719"/>
    <w:rsid w:val="00140A31"/>
    <w:rsid w:val="00143346"/>
    <w:rsid w:val="0014676F"/>
    <w:rsid w:val="0014703E"/>
    <w:rsid w:val="00147B33"/>
    <w:rsid w:val="00150177"/>
    <w:rsid w:val="00151EE1"/>
    <w:rsid w:val="00153AB3"/>
    <w:rsid w:val="00154C47"/>
    <w:rsid w:val="00155108"/>
    <w:rsid w:val="00155263"/>
    <w:rsid w:val="00155E17"/>
    <w:rsid w:val="001601F4"/>
    <w:rsid w:val="001611EF"/>
    <w:rsid w:val="00161C72"/>
    <w:rsid w:val="00164438"/>
    <w:rsid w:val="0016464D"/>
    <w:rsid w:val="00171F88"/>
    <w:rsid w:val="00173EA5"/>
    <w:rsid w:val="00176F47"/>
    <w:rsid w:val="00176F82"/>
    <w:rsid w:val="001822C2"/>
    <w:rsid w:val="001839F6"/>
    <w:rsid w:val="00184972"/>
    <w:rsid w:val="001849B7"/>
    <w:rsid w:val="0018602B"/>
    <w:rsid w:val="0018766B"/>
    <w:rsid w:val="00187E76"/>
    <w:rsid w:val="0019144E"/>
    <w:rsid w:val="00191697"/>
    <w:rsid w:val="0019323F"/>
    <w:rsid w:val="00193999"/>
    <w:rsid w:val="00194239"/>
    <w:rsid w:val="00196223"/>
    <w:rsid w:val="001A0544"/>
    <w:rsid w:val="001A084F"/>
    <w:rsid w:val="001A1BF4"/>
    <w:rsid w:val="001A1D93"/>
    <w:rsid w:val="001A2A7D"/>
    <w:rsid w:val="001A5F0A"/>
    <w:rsid w:val="001A660E"/>
    <w:rsid w:val="001A70F9"/>
    <w:rsid w:val="001B0D39"/>
    <w:rsid w:val="001B2E31"/>
    <w:rsid w:val="001B5003"/>
    <w:rsid w:val="001B7A63"/>
    <w:rsid w:val="001C0DB6"/>
    <w:rsid w:val="001C362C"/>
    <w:rsid w:val="001C3DEB"/>
    <w:rsid w:val="001C4DE1"/>
    <w:rsid w:val="001C4FEF"/>
    <w:rsid w:val="001C504B"/>
    <w:rsid w:val="001C53EE"/>
    <w:rsid w:val="001D363B"/>
    <w:rsid w:val="001D3BC6"/>
    <w:rsid w:val="001D3E3A"/>
    <w:rsid w:val="001D415B"/>
    <w:rsid w:val="001D419E"/>
    <w:rsid w:val="001D4FF9"/>
    <w:rsid w:val="001D56E9"/>
    <w:rsid w:val="001D67D3"/>
    <w:rsid w:val="001D6E49"/>
    <w:rsid w:val="001E0591"/>
    <w:rsid w:val="001E25CF"/>
    <w:rsid w:val="001E2A50"/>
    <w:rsid w:val="001E2AA9"/>
    <w:rsid w:val="001E4992"/>
    <w:rsid w:val="001E5A21"/>
    <w:rsid w:val="001F06FF"/>
    <w:rsid w:val="001F0DB4"/>
    <w:rsid w:val="001F143A"/>
    <w:rsid w:val="001F1AC1"/>
    <w:rsid w:val="001F4D81"/>
    <w:rsid w:val="001F4E1C"/>
    <w:rsid w:val="001F607C"/>
    <w:rsid w:val="001F73C9"/>
    <w:rsid w:val="001F775F"/>
    <w:rsid w:val="0020220D"/>
    <w:rsid w:val="00204EEC"/>
    <w:rsid w:val="00205C29"/>
    <w:rsid w:val="002069BF"/>
    <w:rsid w:val="00212028"/>
    <w:rsid w:val="00212B09"/>
    <w:rsid w:val="002141DB"/>
    <w:rsid w:val="00220365"/>
    <w:rsid w:val="0022693B"/>
    <w:rsid w:val="00230E2D"/>
    <w:rsid w:val="002321D2"/>
    <w:rsid w:val="002334CF"/>
    <w:rsid w:val="00234563"/>
    <w:rsid w:val="002360CC"/>
    <w:rsid w:val="002366FA"/>
    <w:rsid w:val="00236B44"/>
    <w:rsid w:val="00240BA4"/>
    <w:rsid w:val="00241870"/>
    <w:rsid w:val="00241BE6"/>
    <w:rsid w:val="002463E5"/>
    <w:rsid w:val="00247536"/>
    <w:rsid w:val="00253784"/>
    <w:rsid w:val="0025545C"/>
    <w:rsid w:val="00261518"/>
    <w:rsid w:val="0026324F"/>
    <w:rsid w:val="0026425B"/>
    <w:rsid w:val="002646CB"/>
    <w:rsid w:val="00267CE9"/>
    <w:rsid w:val="00270EFE"/>
    <w:rsid w:val="002714E4"/>
    <w:rsid w:val="00273373"/>
    <w:rsid w:val="002750C5"/>
    <w:rsid w:val="00276C3E"/>
    <w:rsid w:val="002806CC"/>
    <w:rsid w:val="00280AA6"/>
    <w:rsid w:val="00280FF4"/>
    <w:rsid w:val="00281240"/>
    <w:rsid w:val="0028160B"/>
    <w:rsid w:val="00281E1C"/>
    <w:rsid w:val="00282DFB"/>
    <w:rsid w:val="00283DB9"/>
    <w:rsid w:val="002846B1"/>
    <w:rsid w:val="00284B4E"/>
    <w:rsid w:val="00284B76"/>
    <w:rsid w:val="00285068"/>
    <w:rsid w:val="00285E13"/>
    <w:rsid w:val="00286E6C"/>
    <w:rsid w:val="00287050"/>
    <w:rsid w:val="0029309F"/>
    <w:rsid w:val="0029408C"/>
    <w:rsid w:val="002949C1"/>
    <w:rsid w:val="002958B9"/>
    <w:rsid w:val="00297CB8"/>
    <w:rsid w:val="002A0BA2"/>
    <w:rsid w:val="002A1549"/>
    <w:rsid w:val="002A1A7E"/>
    <w:rsid w:val="002A41E1"/>
    <w:rsid w:val="002A4461"/>
    <w:rsid w:val="002A6EEB"/>
    <w:rsid w:val="002B0ABC"/>
    <w:rsid w:val="002B14A5"/>
    <w:rsid w:val="002B169D"/>
    <w:rsid w:val="002B2665"/>
    <w:rsid w:val="002B2FE7"/>
    <w:rsid w:val="002B3B6D"/>
    <w:rsid w:val="002B4CCE"/>
    <w:rsid w:val="002B587A"/>
    <w:rsid w:val="002C1F8B"/>
    <w:rsid w:val="002C389C"/>
    <w:rsid w:val="002C38F9"/>
    <w:rsid w:val="002C5CD3"/>
    <w:rsid w:val="002D2BA1"/>
    <w:rsid w:val="002D3066"/>
    <w:rsid w:val="002D3BFA"/>
    <w:rsid w:val="002D3D15"/>
    <w:rsid w:val="002D3F52"/>
    <w:rsid w:val="002D49CC"/>
    <w:rsid w:val="002D7D4D"/>
    <w:rsid w:val="002E0414"/>
    <w:rsid w:val="002E0C8B"/>
    <w:rsid w:val="002E1B30"/>
    <w:rsid w:val="002E1BCA"/>
    <w:rsid w:val="002E39C6"/>
    <w:rsid w:val="002E3B5C"/>
    <w:rsid w:val="002E4A97"/>
    <w:rsid w:val="002E7228"/>
    <w:rsid w:val="002F1EB4"/>
    <w:rsid w:val="002F222E"/>
    <w:rsid w:val="002F45E6"/>
    <w:rsid w:val="002F538A"/>
    <w:rsid w:val="003020D6"/>
    <w:rsid w:val="00302109"/>
    <w:rsid w:val="003022D5"/>
    <w:rsid w:val="00303E60"/>
    <w:rsid w:val="00306464"/>
    <w:rsid w:val="00306BDD"/>
    <w:rsid w:val="003108C3"/>
    <w:rsid w:val="00310EC5"/>
    <w:rsid w:val="00313474"/>
    <w:rsid w:val="003161A6"/>
    <w:rsid w:val="00317452"/>
    <w:rsid w:val="003227C8"/>
    <w:rsid w:val="0033018F"/>
    <w:rsid w:val="00330568"/>
    <w:rsid w:val="003330BC"/>
    <w:rsid w:val="003355DF"/>
    <w:rsid w:val="00337235"/>
    <w:rsid w:val="0033731D"/>
    <w:rsid w:val="00346EC6"/>
    <w:rsid w:val="003501C8"/>
    <w:rsid w:val="00350413"/>
    <w:rsid w:val="00353FA1"/>
    <w:rsid w:val="0035446B"/>
    <w:rsid w:val="0035739F"/>
    <w:rsid w:val="00363E35"/>
    <w:rsid w:val="003653D7"/>
    <w:rsid w:val="003659DB"/>
    <w:rsid w:val="00367359"/>
    <w:rsid w:val="00367442"/>
    <w:rsid w:val="0036768E"/>
    <w:rsid w:val="00367C86"/>
    <w:rsid w:val="00370BC2"/>
    <w:rsid w:val="00373177"/>
    <w:rsid w:val="003748B9"/>
    <w:rsid w:val="00375D19"/>
    <w:rsid w:val="003810D4"/>
    <w:rsid w:val="0038158F"/>
    <w:rsid w:val="00381F0F"/>
    <w:rsid w:val="0038536D"/>
    <w:rsid w:val="003854BE"/>
    <w:rsid w:val="003867EE"/>
    <w:rsid w:val="003923BF"/>
    <w:rsid w:val="00392851"/>
    <w:rsid w:val="00392BFA"/>
    <w:rsid w:val="003A18CC"/>
    <w:rsid w:val="003A55E5"/>
    <w:rsid w:val="003B0750"/>
    <w:rsid w:val="003B2281"/>
    <w:rsid w:val="003B32D2"/>
    <w:rsid w:val="003B4228"/>
    <w:rsid w:val="003C143F"/>
    <w:rsid w:val="003C2836"/>
    <w:rsid w:val="003C46AE"/>
    <w:rsid w:val="003C6125"/>
    <w:rsid w:val="003C739F"/>
    <w:rsid w:val="003D0A15"/>
    <w:rsid w:val="003D292F"/>
    <w:rsid w:val="003D36CE"/>
    <w:rsid w:val="003D461F"/>
    <w:rsid w:val="003D4ECC"/>
    <w:rsid w:val="003D59E3"/>
    <w:rsid w:val="003D74D5"/>
    <w:rsid w:val="003D7967"/>
    <w:rsid w:val="003E0E6F"/>
    <w:rsid w:val="003E1496"/>
    <w:rsid w:val="003E34FD"/>
    <w:rsid w:val="003F02E1"/>
    <w:rsid w:val="003F1763"/>
    <w:rsid w:val="003F2118"/>
    <w:rsid w:val="003F2D2C"/>
    <w:rsid w:val="003F3AB8"/>
    <w:rsid w:val="003F4489"/>
    <w:rsid w:val="003F611F"/>
    <w:rsid w:val="003F74C4"/>
    <w:rsid w:val="003F7BC7"/>
    <w:rsid w:val="004004A9"/>
    <w:rsid w:val="004010FB"/>
    <w:rsid w:val="00402739"/>
    <w:rsid w:val="004029FF"/>
    <w:rsid w:val="004034BE"/>
    <w:rsid w:val="004045C7"/>
    <w:rsid w:val="00405F88"/>
    <w:rsid w:val="00406574"/>
    <w:rsid w:val="0040720F"/>
    <w:rsid w:val="004073E5"/>
    <w:rsid w:val="00410BFB"/>
    <w:rsid w:val="00412F2C"/>
    <w:rsid w:val="0041459C"/>
    <w:rsid w:val="00415E86"/>
    <w:rsid w:val="00421C77"/>
    <w:rsid w:val="0042284E"/>
    <w:rsid w:val="00422990"/>
    <w:rsid w:val="004229A2"/>
    <w:rsid w:val="0042314B"/>
    <w:rsid w:val="00424177"/>
    <w:rsid w:val="004243DA"/>
    <w:rsid w:val="00425E09"/>
    <w:rsid w:val="00430335"/>
    <w:rsid w:val="00433F76"/>
    <w:rsid w:val="0043438F"/>
    <w:rsid w:val="00435F53"/>
    <w:rsid w:val="0044042E"/>
    <w:rsid w:val="00441102"/>
    <w:rsid w:val="00441C37"/>
    <w:rsid w:val="004429E0"/>
    <w:rsid w:val="0044304E"/>
    <w:rsid w:val="00443C98"/>
    <w:rsid w:val="004441EE"/>
    <w:rsid w:val="00444FEC"/>
    <w:rsid w:val="00451186"/>
    <w:rsid w:val="00453487"/>
    <w:rsid w:val="004545F2"/>
    <w:rsid w:val="00454C9C"/>
    <w:rsid w:val="00455B36"/>
    <w:rsid w:val="0045680D"/>
    <w:rsid w:val="004569D2"/>
    <w:rsid w:val="00460364"/>
    <w:rsid w:val="0046055A"/>
    <w:rsid w:val="00461A1E"/>
    <w:rsid w:val="00462951"/>
    <w:rsid w:val="00463D31"/>
    <w:rsid w:val="0046589C"/>
    <w:rsid w:val="00467CA9"/>
    <w:rsid w:val="00477325"/>
    <w:rsid w:val="004776D8"/>
    <w:rsid w:val="00482B17"/>
    <w:rsid w:val="0048324F"/>
    <w:rsid w:val="00484A09"/>
    <w:rsid w:val="00485847"/>
    <w:rsid w:val="004907EF"/>
    <w:rsid w:val="00491380"/>
    <w:rsid w:val="00492EA8"/>
    <w:rsid w:val="00493A04"/>
    <w:rsid w:val="0049462D"/>
    <w:rsid w:val="004946CD"/>
    <w:rsid w:val="00495317"/>
    <w:rsid w:val="00497673"/>
    <w:rsid w:val="004A057D"/>
    <w:rsid w:val="004A2A96"/>
    <w:rsid w:val="004A2DD2"/>
    <w:rsid w:val="004A2E4B"/>
    <w:rsid w:val="004A4187"/>
    <w:rsid w:val="004A4A0D"/>
    <w:rsid w:val="004A631C"/>
    <w:rsid w:val="004A719F"/>
    <w:rsid w:val="004A7631"/>
    <w:rsid w:val="004A7BD2"/>
    <w:rsid w:val="004B03B2"/>
    <w:rsid w:val="004B21C2"/>
    <w:rsid w:val="004B2E7E"/>
    <w:rsid w:val="004B3837"/>
    <w:rsid w:val="004B3B38"/>
    <w:rsid w:val="004B425C"/>
    <w:rsid w:val="004B44FF"/>
    <w:rsid w:val="004B51BD"/>
    <w:rsid w:val="004B5986"/>
    <w:rsid w:val="004B5E9D"/>
    <w:rsid w:val="004C0E36"/>
    <w:rsid w:val="004C28FA"/>
    <w:rsid w:val="004C2A32"/>
    <w:rsid w:val="004C471C"/>
    <w:rsid w:val="004C77A4"/>
    <w:rsid w:val="004C7972"/>
    <w:rsid w:val="004C7C07"/>
    <w:rsid w:val="004C7D01"/>
    <w:rsid w:val="004D083D"/>
    <w:rsid w:val="004D0ED8"/>
    <w:rsid w:val="004D1506"/>
    <w:rsid w:val="004D22EF"/>
    <w:rsid w:val="004D2EDD"/>
    <w:rsid w:val="004D2FB9"/>
    <w:rsid w:val="004D2FD8"/>
    <w:rsid w:val="004D538C"/>
    <w:rsid w:val="004D5BEC"/>
    <w:rsid w:val="004D6B48"/>
    <w:rsid w:val="004E3AAC"/>
    <w:rsid w:val="004E4216"/>
    <w:rsid w:val="004E449F"/>
    <w:rsid w:val="004E611F"/>
    <w:rsid w:val="004F25A9"/>
    <w:rsid w:val="004F6151"/>
    <w:rsid w:val="00500CE5"/>
    <w:rsid w:val="0050175C"/>
    <w:rsid w:val="00502048"/>
    <w:rsid w:val="0050372B"/>
    <w:rsid w:val="005041C2"/>
    <w:rsid w:val="00504857"/>
    <w:rsid w:val="00504ED8"/>
    <w:rsid w:val="005055F7"/>
    <w:rsid w:val="00507BAB"/>
    <w:rsid w:val="005106BF"/>
    <w:rsid w:val="0051073F"/>
    <w:rsid w:val="005109EC"/>
    <w:rsid w:val="005112D1"/>
    <w:rsid w:val="005112E6"/>
    <w:rsid w:val="005119E8"/>
    <w:rsid w:val="00513B63"/>
    <w:rsid w:val="005162DB"/>
    <w:rsid w:val="005171DE"/>
    <w:rsid w:val="00517615"/>
    <w:rsid w:val="00520CEE"/>
    <w:rsid w:val="005226BB"/>
    <w:rsid w:val="00522EA0"/>
    <w:rsid w:val="00523101"/>
    <w:rsid w:val="00525784"/>
    <w:rsid w:val="00525B80"/>
    <w:rsid w:val="00527822"/>
    <w:rsid w:val="00532268"/>
    <w:rsid w:val="00534206"/>
    <w:rsid w:val="005360A8"/>
    <w:rsid w:val="0053740E"/>
    <w:rsid w:val="00540300"/>
    <w:rsid w:val="00540DF0"/>
    <w:rsid w:val="005438A0"/>
    <w:rsid w:val="00544C4C"/>
    <w:rsid w:val="005464F0"/>
    <w:rsid w:val="005469BE"/>
    <w:rsid w:val="0055005A"/>
    <w:rsid w:val="00551AAC"/>
    <w:rsid w:val="00552EE3"/>
    <w:rsid w:val="0055329A"/>
    <w:rsid w:val="00553ACF"/>
    <w:rsid w:val="00554BA1"/>
    <w:rsid w:val="005550AA"/>
    <w:rsid w:val="005564D8"/>
    <w:rsid w:val="00557A96"/>
    <w:rsid w:val="0056220C"/>
    <w:rsid w:val="005623DC"/>
    <w:rsid w:val="005627F6"/>
    <w:rsid w:val="00564D03"/>
    <w:rsid w:val="00570748"/>
    <w:rsid w:val="00570749"/>
    <w:rsid w:val="00570F83"/>
    <w:rsid w:val="0057413F"/>
    <w:rsid w:val="00574F3D"/>
    <w:rsid w:val="00577A42"/>
    <w:rsid w:val="00580EF4"/>
    <w:rsid w:val="00581532"/>
    <w:rsid w:val="005823A1"/>
    <w:rsid w:val="00584E35"/>
    <w:rsid w:val="00585B3D"/>
    <w:rsid w:val="00586F77"/>
    <w:rsid w:val="00587AF6"/>
    <w:rsid w:val="00590903"/>
    <w:rsid w:val="0059117F"/>
    <w:rsid w:val="00591C22"/>
    <w:rsid w:val="00591EDD"/>
    <w:rsid w:val="00594DEF"/>
    <w:rsid w:val="00597935"/>
    <w:rsid w:val="005A2628"/>
    <w:rsid w:val="005A60F8"/>
    <w:rsid w:val="005A61BF"/>
    <w:rsid w:val="005A6535"/>
    <w:rsid w:val="005B09A8"/>
    <w:rsid w:val="005C160B"/>
    <w:rsid w:val="005C1684"/>
    <w:rsid w:val="005C4B6B"/>
    <w:rsid w:val="005C5993"/>
    <w:rsid w:val="005C5F4F"/>
    <w:rsid w:val="005C64C2"/>
    <w:rsid w:val="005C7419"/>
    <w:rsid w:val="005C7896"/>
    <w:rsid w:val="005C7F7E"/>
    <w:rsid w:val="005D6559"/>
    <w:rsid w:val="005D79F8"/>
    <w:rsid w:val="005E0783"/>
    <w:rsid w:val="005E1DC0"/>
    <w:rsid w:val="005E1E8F"/>
    <w:rsid w:val="005E2B53"/>
    <w:rsid w:val="005E42D3"/>
    <w:rsid w:val="005E497D"/>
    <w:rsid w:val="005E7297"/>
    <w:rsid w:val="005E7668"/>
    <w:rsid w:val="005F01A3"/>
    <w:rsid w:val="005F1896"/>
    <w:rsid w:val="005F25D4"/>
    <w:rsid w:val="005F30D7"/>
    <w:rsid w:val="005F7540"/>
    <w:rsid w:val="005F79F7"/>
    <w:rsid w:val="005F7C5B"/>
    <w:rsid w:val="00604ADE"/>
    <w:rsid w:val="006057CC"/>
    <w:rsid w:val="00605CEF"/>
    <w:rsid w:val="00606B8C"/>
    <w:rsid w:val="006078EA"/>
    <w:rsid w:val="00612386"/>
    <w:rsid w:val="00612525"/>
    <w:rsid w:val="00615003"/>
    <w:rsid w:val="006158A8"/>
    <w:rsid w:val="00615985"/>
    <w:rsid w:val="00615D2E"/>
    <w:rsid w:val="00616EA0"/>
    <w:rsid w:val="00617043"/>
    <w:rsid w:val="006203F9"/>
    <w:rsid w:val="00620BFB"/>
    <w:rsid w:val="00620E15"/>
    <w:rsid w:val="00620E33"/>
    <w:rsid w:val="0062382C"/>
    <w:rsid w:val="00625577"/>
    <w:rsid w:val="006277C8"/>
    <w:rsid w:val="00630FA6"/>
    <w:rsid w:val="00630FB7"/>
    <w:rsid w:val="00631A92"/>
    <w:rsid w:val="00632B4D"/>
    <w:rsid w:val="00632C46"/>
    <w:rsid w:val="00636104"/>
    <w:rsid w:val="0063765A"/>
    <w:rsid w:val="00637788"/>
    <w:rsid w:val="0064253D"/>
    <w:rsid w:val="00642651"/>
    <w:rsid w:val="0064347F"/>
    <w:rsid w:val="00645599"/>
    <w:rsid w:val="006517A7"/>
    <w:rsid w:val="006536F6"/>
    <w:rsid w:val="00653BE4"/>
    <w:rsid w:val="00654971"/>
    <w:rsid w:val="0065658E"/>
    <w:rsid w:val="006579F8"/>
    <w:rsid w:val="00660CAC"/>
    <w:rsid w:val="006651F4"/>
    <w:rsid w:val="0066535A"/>
    <w:rsid w:val="00667067"/>
    <w:rsid w:val="00667A46"/>
    <w:rsid w:val="00672018"/>
    <w:rsid w:val="00673699"/>
    <w:rsid w:val="00674F8E"/>
    <w:rsid w:val="00676B13"/>
    <w:rsid w:val="00680707"/>
    <w:rsid w:val="006811F6"/>
    <w:rsid w:val="00681E7B"/>
    <w:rsid w:val="006844B6"/>
    <w:rsid w:val="00684740"/>
    <w:rsid w:val="006871FE"/>
    <w:rsid w:val="006900DB"/>
    <w:rsid w:val="00690FE1"/>
    <w:rsid w:val="00692140"/>
    <w:rsid w:val="006934E7"/>
    <w:rsid w:val="00694DBA"/>
    <w:rsid w:val="00695949"/>
    <w:rsid w:val="00695C61"/>
    <w:rsid w:val="0069631F"/>
    <w:rsid w:val="006A034D"/>
    <w:rsid w:val="006A1205"/>
    <w:rsid w:val="006A125A"/>
    <w:rsid w:val="006A1799"/>
    <w:rsid w:val="006A1BDD"/>
    <w:rsid w:val="006A1ED0"/>
    <w:rsid w:val="006A1FAB"/>
    <w:rsid w:val="006A359F"/>
    <w:rsid w:val="006A3914"/>
    <w:rsid w:val="006A3AFC"/>
    <w:rsid w:val="006A6470"/>
    <w:rsid w:val="006A7C5E"/>
    <w:rsid w:val="006A7ED7"/>
    <w:rsid w:val="006B1747"/>
    <w:rsid w:val="006B2905"/>
    <w:rsid w:val="006B4AB6"/>
    <w:rsid w:val="006B4CA7"/>
    <w:rsid w:val="006B6B7E"/>
    <w:rsid w:val="006B73D4"/>
    <w:rsid w:val="006B76F4"/>
    <w:rsid w:val="006C2C3B"/>
    <w:rsid w:val="006C30A1"/>
    <w:rsid w:val="006C3716"/>
    <w:rsid w:val="006C6506"/>
    <w:rsid w:val="006C70FE"/>
    <w:rsid w:val="006D1E29"/>
    <w:rsid w:val="006D2395"/>
    <w:rsid w:val="006D5C70"/>
    <w:rsid w:val="006D5F45"/>
    <w:rsid w:val="006E0D18"/>
    <w:rsid w:val="006E1A92"/>
    <w:rsid w:val="006E1FB6"/>
    <w:rsid w:val="006E2C3D"/>
    <w:rsid w:val="006E3B6F"/>
    <w:rsid w:val="006E401A"/>
    <w:rsid w:val="006E5850"/>
    <w:rsid w:val="006E7481"/>
    <w:rsid w:val="006F0EDC"/>
    <w:rsid w:val="006F3622"/>
    <w:rsid w:val="006F3B0D"/>
    <w:rsid w:val="006F501E"/>
    <w:rsid w:val="006F564D"/>
    <w:rsid w:val="006F5CDE"/>
    <w:rsid w:val="006F645A"/>
    <w:rsid w:val="00702DC2"/>
    <w:rsid w:val="00704063"/>
    <w:rsid w:val="00705143"/>
    <w:rsid w:val="0070724C"/>
    <w:rsid w:val="00707999"/>
    <w:rsid w:val="0071072D"/>
    <w:rsid w:val="0071312E"/>
    <w:rsid w:val="0071479E"/>
    <w:rsid w:val="00716025"/>
    <w:rsid w:val="007175E9"/>
    <w:rsid w:val="00720BE4"/>
    <w:rsid w:val="00720F40"/>
    <w:rsid w:val="00723CBF"/>
    <w:rsid w:val="0072497E"/>
    <w:rsid w:val="00724BCB"/>
    <w:rsid w:val="0072544C"/>
    <w:rsid w:val="00726ACA"/>
    <w:rsid w:val="007270CE"/>
    <w:rsid w:val="0072737C"/>
    <w:rsid w:val="00727780"/>
    <w:rsid w:val="00727E64"/>
    <w:rsid w:val="0073006E"/>
    <w:rsid w:val="007311E9"/>
    <w:rsid w:val="00734228"/>
    <w:rsid w:val="00737B0A"/>
    <w:rsid w:val="0074075E"/>
    <w:rsid w:val="007411A3"/>
    <w:rsid w:val="007417F3"/>
    <w:rsid w:val="0074291A"/>
    <w:rsid w:val="00742AD7"/>
    <w:rsid w:val="00743CF8"/>
    <w:rsid w:val="00744128"/>
    <w:rsid w:val="0074466D"/>
    <w:rsid w:val="00747175"/>
    <w:rsid w:val="00753E1B"/>
    <w:rsid w:val="0075575A"/>
    <w:rsid w:val="0075631E"/>
    <w:rsid w:val="007564DB"/>
    <w:rsid w:val="00757589"/>
    <w:rsid w:val="0076438E"/>
    <w:rsid w:val="00764E5A"/>
    <w:rsid w:val="00770CBE"/>
    <w:rsid w:val="007722F9"/>
    <w:rsid w:val="007726B8"/>
    <w:rsid w:val="00773D1A"/>
    <w:rsid w:val="00774584"/>
    <w:rsid w:val="007747CF"/>
    <w:rsid w:val="00776822"/>
    <w:rsid w:val="00776989"/>
    <w:rsid w:val="00783481"/>
    <w:rsid w:val="00785C38"/>
    <w:rsid w:val="00786333"/>
    <w:rsid w:val="00791C1F"/>
    <w:rsid w:val="00791FB9"/>
    <w:rsid w:val="00792A74"/>
    <w:rsid w:val="007957B6"/>
    <w:rsid w:val="007958C8"/>
    <w:rsid w:val="00795C45"/>
    <w:rsid w:val="00796B2A"/>
    <w:rsid w:val="00797596"/>
    <w:rsid w:val="007A0595"/>
    <w:rsid w:val="007A1816"/>
    <w:rsid w:val="007A1BF6"/>
    <w:rsid w:val="007A36A0"/>
    <w:rsid w:val="007A5D92"/>
    <w:rsid w:val="007A5E13"/>
    <w:rsid w:val="007A7897"/>
    <w:rsid w:val="007A7982"/>
    <w:rsid w:val="007B13BD"/>
    <w:rsid w:val="007B156C"/>
    <w:rsid w:val="007B17E4"/>
    <w:rsid w:val="007B2414"/>
    <w:rsid w:val="007B66B4"/>
    <w:rsid w:val="007C1CCF"/>
    <w:rsid w:val="007C229B"/>
    <w:rsid w:val="007C23E9"/>
    <w:rsid w:val="007C5148"/>
    <w:rsid w:val="007C5A53"/>
    <w:rsid w:val="007C6012"/>
    <w:rsid w:val="007D000B"/>
    <w:rsid w:val="007D096B"/>
    <w:rsid w:val="007D553C"/>
    <w:rsid w:val="007D5A18"/>
    <w:rsid w:val="007D5BE2"/>
    <w:rsid w:val="007D6544"/>
    <w:rsid w:val="007D76B2"/>
    <w:rsid w:val="007E27F5"/>
    <w:rsid w:val="007E3388"/>
    <w:rsid w:val="007E5CA6"/>
    <w:rsid w:val="007E6F4C"/>
    <w:rsid w:val="007E70D6"/>
    <w:rsid w:val="007E7F73"/>
    <w:rsid w:val="007F0AB0"/>
    <w:rsid w:val="007F0AE8"/>
    <w:rsid w:val="007F18B2"/>
    <w:rsid w:val="007F1F8D"/>
    <w:rsid w:val="008005F6"/>
    <w:rsid w:val="00800DF2"/>
    <w:rsid w:val="00801C58"/>
    <w:rsid w:val="0080269C"/>
    <w:rsid w:val="0080380D"/>
    <w:rsid w:val="00811247"/>
    <w:rsid w:val="0081241F"/>
    <w:rsid w:val="00815412"/>
    <w:rsid w:val="00815604"/>
    <w:rsid w:val="008223F8"/>
    <w:rsid w:val="00822FD3"/>
    <w:rsid w:val="008251A7"/>
    <w:rsid w:val="008263ED"/>
    <w:rsid w:val="00826B9B"/>
    <w:rsid w:val="00834801"/>
    <w:rsid w:val="00840BAA"/>
    <w:rsid w:val="0084114C"/>
    <w:rsid w:val="008440D1"/>
    <w:rsid w:val="0084456D"/>
    <w:rsid w:val="00844867"/>
    <w:rsid w:val="00844984"/>
    <w:rsid w:val="00846388"/>
    <w:rsid w:val="00855586"/>
    <w:rsid w:val="00856CA1"/>
    <w:rsid w:val="00857842"/>
    <w:rsid w:val="00860731"/>
    <w:rsid w:val="008609DA"/>
    <w:rsid w:val="00862CAE"/>
    <w:rsid w:val="00863822"/>
    <w:rsid w:val="00865AAB"/>
    <w:rsid w:val="008670F0"/>
    <w:rsid w:val="00867376"/>
    <w:rsid w:val="0087096C"/>
    <w:rsid w:val="008711A1"/>
    <w:rsid w:val="0087269A"/>
    <w:rsid w:val="00874312"/>
    <w:rsid w:val="00880D7A"/>
    <w:rsid w:val="00881E37"/>
    <w:rsid w:val="008824EC"/>
    <w:rsid w:val="008849F1"/>
    <w:rsid w:val="008861EE"/>
    <w:rsid w:val="0088649D"/>
    <w:rsid w:val="0088764F"/>
    <w:rsid w:val="00887E4C"/>
    <w:rsid w:val="0089212B"/>
    <w:rsid w:val="00892CB8"/>
    <w:rsid w:val="00893B9B"/>
    <w:rsid w:val="00893CCD"/>
    <w:rsid w:val="00894F53"/>
    <w:rsid w:val="00897B24"/>
    <w:rsid w:val="008A0353"/>
    <w:rsid w:val="008A1CB4"/>
    <w:rsid w:val="008A2F42"/>
    <w:rsid w:val="008A3DE6"/>
    <w:rsid w:val="008A67C2"/>
    <w:rsid w:val="008A6A2D"/>
    <w:rsid w:val="008A7264"/>
    <w:rsid w:val="008A793C"/>
    <w:rsid w:val="008B0F4E"/>
    <w:rsid w:val="008B21DA"/>
    <w:rsid w:val="008B305C"/>
    <w:rsid w:val="008B3975"/>
    <w:rsid w:val="008B51AE"/>
    <w:rsid w:val="008B59DF"/>
    <w:rsid w:val="008B5FEC"/>
    <w:rsid w:val="008B69FE"/>
    <w:rsid w:val="008B6AD9"/>
    <w:rsid w:val="008B6D57"/>
    <w:rsid w:val="008B730B"/>
    <w:rsid w:val="008C0956"/>
    <w:rsid w:val="008C101A"/>
    <w:rsid w:val="008C18A5"/>
    <w:rsid w:val="008C2713"/>
    <w:rsid w:val="008C29E5"/>
    <w:rsid w:val="008C3D48"/>
    <w:rsid w:val="008C5274"/>
    <w:rsid w:val="008C6D5F"/>
    <w:rsid w:val="008C7AB3"/>
    <w:rsid w:val="008D0D53"/>
    <w:rsid w:val="008D22C5"/>
    <w:rsid w:val="008D2672"/>
    <w:rsid w:val="008D2D1F"/>
    <w:rsid w:val="008D31C4"/>
    <w:rsid w:val="008D320C"/>
    <w:rsid w:val="008D3330"/>
    <w:rsid w:val="008D7121"/>
    <w:rsid w:val="008E2ACE"/>
    <w:rsid w:val="008E3B61"/>
    <w:rsid w:val="008E480D"/>
    <w:rsid w:val="008E5069"/>
    <w:rsid w:val="008E5B8E"/>
    <w:rsid w:val="008E710D"/>
    <w:rsid w:val="008E7494"/>
    <w:rsid w:val="008F0449"/>
    <w:rsid w:val="008F0D9F"/>
    <w:rsid w:val="008F2798"/>
    <w:rsid w:val="008F3F24"/>
    <w:rsid w:val="008F5F97"/>
    <w:rsid w:val="008F6DA7"/>
    <w:rsid w:val="009013A1"/>
    <w:rsid w:val="00905F3D"/>
    <w:rsid w:val="009105DB"/>
    <w:rsid w:val="00910C38"/>
    <w:rsid w:val="0091186D"/>
    <w:rsid w:val="00913969"/>
    <w:rsid w:val="00913A3D"/>
    <w:rsid w:val="009148CA"/>
    <w:rsid w:val="00914DDA"/>
    <w:rsid w:val="00914F28"/>
    <w:rsid w:val="009153C4"/>
    <w:rsid w:val="0091558D"/>
    <w:rsid w:val="009161C0"/>
    <w:rsid w:val="00916F7C"/>
    <w:rsid w:val="00920315"/>
    <w:rsid w:val="00924BE3"/>
    <w:rsid w:val="00925206"/>
    <w:rsid w:val="00925B6B"/>
    <w:rsid w:val="00926CEF"/>
    <w:rsid w:val="0093178A"/>
    <w:rsid w:val="00934835"/>
    <w:rsid w:val="009370A6"/>
    <w:rsid w:val="009370DE"/>
    <w:rsid w:val="00937C53"/>
    <w:rsid w:val="00940FB8"/>
    <w:rsid w:val="00941DE3"/>
    <w:rsid w:val="00943DC5"/>
    <w:rsid w:val="0094540C"/>
    <w:rsid w:val="00945A4F"/>
    <w:rsid w:val="00947333"/>
    <w:rsid w:val="009475EB"/>
    <w:rsid w:val="00952688"/>
    <w:rsid w:val="00953872"/>
    <w:rsid w:val="009571D4"/>
    <w:rsid w:val="00963633"/>
    <w:rsid w:val="00964E33"/>
    <w:rsid w:val="00965442"/>
    <w:rsid w:val="009706A9"/>
    <w:rsid w:val="00971558"/>
    <w:rsid w:val="00971724"/>
    <w:rsid w:val="00971C09"/>
    <w:rsid w:val="00971DF4"/>
    <w:rsid w:val="00972DAA"/>
    <w:rsid w:val="00974CDF"/>
    <w:rsid w:val="00975419"/>
    <w:rsid w:val="009769A7"/>
    <w:rsid w:val="00980C9D"/>
    <w:rsid w:val="0098642E"/>
    <w:rsid w:val="00990A30"/>
    <w:rsid w:val="009917E2"/>
    <w:rsid w:val="009930ED"/>
    <w:rsid w:val="00994C44"/>
    <w:rsid w:val="00995B1F"/>
    <w:rsid w:val="009A06A3"/>
    <w:rsid w:val="009A1A66"/>
    <w:rsid w:val="009A1F49"/>
    <w:rsid w:val="009A3C50"/>
    <w:rsid w:val="009A4C1E"/>
    <w:rsid w:val="009A54C8"/>
    <w:rsid w:val="009A598E"/>
    <w:rsid w:val="009B4843"/>
    <w:rsid w:val="009B4FEF"/>
    <w:rsid w:val="009B500C"/>
    <w:rsid w:val="009B518E"/>
    <w:rsid w:val="009B60CA"/>
    <w:rsid w:val="009C0AB8"/>
    <w:rsid w:val="009C179F"/>
    <w:rsid w:val="009C26E5"/>
    <w:rsid w:val="009C2AD2"/>
    <w:rsid w:val="009C4E93"/>
    <w:rsid w:val="009D0AF6"/>
    <w:rsid w:val="009D0BF9"/>
    <w:rsid w:val="009D1AE1"/>
    <w:rsid w:val="009D6732"/>
    <w:rsid w:val="009D67C9"/>
    <w:rsid w:val="009E1A5C"/>
    <w:rsid w:val="009E2B03"/>
    <w:rsid w:val="009E55CD"/>
    <w:rsid w:val="009E57DD"/>
    <w:rsid w:val="009E68D2"/>
    <w:rsid w:val="009F0137"/>
    <w:rsid w:val="009F1225"/>
    <w:rsid w:val="009F23E4"/>
    <w:rsid w:val="009F487F"/>
    <w:rsid w:val="009F52B5"/>
    <w:rsid w:val="009F570A"/>
    <w:rsid w:val="009F7595"/>
    <w:rsid w:val="00A00D1D"/>
    <w:rsid w:val="00A0122B"/>
    <w:rsid w:val="00A0207E"/>
    <w:rsid w:val="00A021A0"/>
    <w:rsid w:val="00A02752"/>
    <w:rsid w:val="00A037AD"/>
    <w:rsid w:val="00A039D7"/>
    <w:rsid w:val="00A04DC2"/>
    <w:rsid w:val="00A06096"/>
    <w:rsid w:val="00A065A5"/>
    <w:rsid w:val="00A071CE"/>
    <w:rsid w:val="00A073B4"/>
    <w:rsid w:val="00A07DA7"/>
    <w:rsid w:val="00A10B73"/>
    <w:rsid w:val="00A10F2D"/>
    <w:rsid w:val="00A12E89"/>
    <w:rsid w:val="00A15B80"/>
    <w:rsid w:val="00A15C17"/>
    <w:rsid w:val="00A163B2"/>
    <w:rsid w:val="00A165EA"/>
    <w:rsid w:val="00A17CD9"/>
    <w:rsid w:val="00A205BF"/>
    <w:rsid w:val="00A20D13"/>
    <w:rsid w:val="00A21099"/>
    <w:rsid w:val="00A21228"/>
    <w:rsid w:val="00A25280"/>
    <w:rsid w:val="00A2579F"/>
    <w:rsid w:val="00A25B04"/>
    <w:rsid w:val="00A261B5"/>
    <w:rsid w:val="00A27320"/>
    <w:rsid w:val="00A27AE6"/>
    <w:rsid w:val="00A27FBB"/>
    <w:rsid w:val="00A30DF3"/>
    <w:rsid w:val="00A32E5D"/>
    <w:rsid w:val="00A32FF6"/>
    <w:rsid w:val="00A334E1"/>
    <w:rsid w:val="00A400B5"/>
    <w:rsid w:val="00A404E8"/>
    <w:rsid w:val="00A405EC"/>
    <w:rsid w:val="00A40D80"/>
    <w:rsid w:val="00A46D03"/>
    <w:rsid w:val="00A473C1"/>
    <w:rsid w:val="00A5202E"/>
    <w:rsid w:val="00A524FA"/>
    <w:rsid w:val="00A52A3B"/>
    <w:rsid w:val="00A53C8A"/>
    <w:rsid w:val="00A55A05"/>
    <w:rsid w:val="00A628AB"/>
    <w:rsid w:val="00A6418B"/>
    <w:rsid w:val="00A67D51"/>
    <w:rsid w:val="00A7145F"/>
    <w:rsid w:val="00A735EB"/>
    <w:rsid w:val="00A76D34"/>
    <w:rsid w:val="00A77483"/>
    <w:rsid w:val="00A824F0"/>
    <w:rsid w:val="00A847CB"/>
    <w:rsid w:val="00A85947"/>
    <w:rsid w:val="00A902EA"/>
    <w:rsid w:val="00A905BF"/>
    <w:rsid w:val="00A91365"/>
    <w:rsid w:val="00A919DF"/>
    <w:rsid w:val="00A922D1"/>
    <w:rsid w:val="00A9430F"/>
    <w:rsid w:val="00A9463E"/>
    <w:rsid w:val="00A95993"/>
    <w:rsid w:val="00A959AF"/>
    <w:rsid w:val="00A97C6F"/>
    <w:rsid w:val="00AA0B62"/>
    <w:rsid w:val="00AA0B86"/>
    <w:rsid w:val="00AA1CCE"/>
    <w:rsid w:val="00AA3C89"/>
    <w:rsid w:val="00AA408A"/>
    <w:rsid w:val="00AA44C4"/>
    <w:rsid w:val="00AA451A"/>
    <w:rsid w:val="00AA5478"/>
    <w:rsid w:val="00AB06E6"/>
    <w:rsid w:val="00AB09A1"/>
    <w:rsid w:val="00AB1B97"/>
    <w:rsid w:val="00AB37DC"/>
    <w:rsid w:val="00AB3AAF"/>
    <w:rsid w:val="00AB661E"/>
    <w:rsid w:val="00AB7468"/>
    <w:rsid w:val="00AB784B"/>
    <w:rsid w:val="00AC781C"/>
    <w:rsid w:val="00AD0225"/>
    <w:rsid w:val="00AD0351"/>
    <w:rsid w:val="00AD238F"/>
    <w:rsid w:val="00AD2A82"/>
    <w:rsid w:val="00AD46B3"/>
    <w:rsid w:val="00AD4BE9"/>
    <w:rsid w:val="00AE0405"/>
    <w:rsid w:val="00AE055D"/>
    <w:rsid w:val="00AE51CB"/>
    <w:rsid w:val="00AE67CC"/>
    <w:rsid w:val="00AE6CFC"/>
    <w:rsid w:val="00AE6D0F"/>
    <w:rsid w:val="00AF1DCC"/>
    <w:rsid w:val="00AF4150"/>
    <w:rsid w:val="00AF5B48"/>
    <w:rsid w:val="00B00BDE"/>
    <w:rsid w:val="00B02BD5"/>
    <w:rsid w:val="00B048DA"/>
    <w:rsid w:val="00B050B6"/>
    <w:rsid w:val="00B05BF8"/>
    <w:rsid w:val="00B0703C"/>
    <w:rsid w:val="00B12743"/>
    <w:rsid w:val="00B132A0"/>
    <w:rsid w:val="00B13A75"/>
    <w:rsid w:val="00B14826"/>
    <w:rsid w:val="00B1732D"/>
    <w:rsid w:val="00B20FBA"/>
    <w:rsid w:val="00B2117B"/>
    <w:rsid w:val="00B2132C"/>
    <w:rsid w:val="00B256EB"/>
    <w:rsid w:val="00B26A65"/>
    <w:rsid w:val="00B309D1"/>
    <w:rsid w:val="00B31493"/>
    <w:rsid w:val="00B337D3"/>
    <w:rsid w:val="00B34190"/>
    <w:rsid w:val="00B34AC4"/>
    <w:rsid w:val="00B357EA"/>
    <w:rsid w:val="00B3751A"/>
    <w:rsid w:val="00B37CAD"/>
    <w:rsid w:val="00B4021B"/>
    <w:rsid w:val="00B427DB"/>
    <w:rsid w:val="00B42ADE"/>
    <w:rsid w:val="00B42EA6"/>
    <w:rsid w:val="00B434ED"/>
    <w:rsid w:val="00B444EA"/>
    <w:rsid w:val="00B50CC7"/>
    <w:rsid w:val="00B50FB2"/>
    <w:rsid w:val="00B551E6"/>
    <w:rsid w:val="00B56101"/>
    <w:rsid w:val="00B575BB"/>
    <w:rsid w:val="00B61034"/>
    <w:rsid w:val="00B613B5"/>
    <w:rsid w:val="00B61650"/>
    <w:rsid w:val="00B625F7"/>
    <w:rsid w:val="00B64A15"/>
    <w:rsid w:val="00B64DE8"/>
    <w:rsid w:val="00B65164"/>
    <w:rsid w:val="00B65FE3"/>
    <w:rsid w:val="00B660F4"/>
    <w:rsid w:val="00B67C68"/>
    <w:rsid w:val="00B75D79"/>
    <w:rsid w:val="00B76210"/>
    <w:rsid w:val="00B76D98"/>
    <w:rsid w:val="00B77B04"/>
    <w:rsid w:val="00B85198"/>
    <w:rsid w:val="00B85E87"/>
    <w:rsid w:val="00B91659"/>
    <w:rsid w:val="00B91BB9"/>
    <w:rsid w:val="00B9283A"/>
    <w:rsid w:val="00B946F3"/>
    <w:rsid w:val="00B95118"/>
    <w:rsid w:val="00BA10B5"/>
    <w:rsid w:val="00BA1243"/>
    <w:rsid w:val="00BA18CA"/>
    <w:rsid w:val="00BA286C"/>
    <w:rsid w:val="00BA344E"/>
    <w:rsid w:val="00BA3B40"/>
    <w:rsid w:val="00BA599F"/>
    <w:rsid w:val="00BA5FB7"/>
    <w:rsid w:val="00BA60CB"/>
    <w:rsid w:val="00BB144C"/>
    <w:rsid w:val="00BB22A3"/>
    <w:rsid w:val="00BB2B46"/>
    <w:rsid w:val="00BB33CB"/>
    <w:rsid w:val="00BB51B5"/>
    <w:rsid w:val="00BB7540"/>
    <w:rsid w:val="00BB79DD"/>
    <w:rsid w:val="00BC177F"/>
    <w:rsid w:val="00BC3428"/>
    <w:rsid w:val="00BC691E"/>
    <w:rsid w:val="00BC6C84"/>
    <w:rsid w:val="00BC6D3F"/>
    <w:rsid w:val="00BD0FFC"/>
    <w:rsid w:val="00BD7639"/>
    <w:rsid w:val="00BE27FB"/>
    <w:rsid w:val="00BE2B94"/>
    <w:rsid w:val="00BE34E4"/>
    <w:rsid w:val="00BE4145"/>
    <w:rsid w:val="00BE486B"/>
    <w:rsid w:val="00BE69CF"/>
    <w:rsid w:val="00BE6FC3"/>
    <w:rsid w:val="00BF0609"/>
    <w:rsid w:val="00BF1A26"/>
    <w:rsid w:val="00BF20EE"/>
    <w:rsid w:val="00BF27D4"/>
    <w:rsid w:val="00BF28BF"/>
    <w:rsid w:val="00BF4D5C"/>
    <w:rsid w:val="00BF56E0"/>
    <w:rsid w:val="00BF5C82"/>
    <w:rsid w:val="00C017AB"/>
    <w:rsid w:val="00C01A33"/>
    <w:rsid w:val="00C01CDF"/>
    <w:rsid w:val="00C028C5"/>
    <w:rsid w:val="00C04D1C"/>
    <w:rsid w:val="00C05FCE"/>
    <w:rsid w:val="00C10517"/>
    <w:rsid w:val="00C14563"/>
    <w:rsid w:val="00C20F59"/>
    <w:rsid w:val="00C224D8"/>
    <w:rsid w:val="00C228F2"/>
    <w:rsid w:val="00C22FA4"/>
    <w:rsid w:val="00C2491A"/>
    <w:rsid w:val="00C26253"/>
    <w:rsid w:val="00C263FB"/>
    <w:rsid w:val="00C3072C"/>
    <w:rsid w:val="00C30848"/>
    <w:rsid w:val="00C30F93"/>
    <w:rsid w:val="00C31F26"/>
    <w:rsid w:val="00C32473"/>
    <w:rsid w:val="00C32AF2"/>
    <w:rsid w:val="00C461DA"/>
    <w:rsid w:val="00C47D25"/>
    <w:rsid w:val="00C50455"/>
    <w:rsid w:val="00C51484"/>
    <w:rsid w:val="00C51876"/>
    <w:rsid w:val="00C520F0"/>
    <w:rsid w:val="00C521BF"/>
    <w:rsid w:val="00C530EF"/>
    <w:rsid w:val="00C538DF"/>
    <w:rsid w:val="00C56216"/>
    <w:rsid w:val="00C613A0"/>
    <w:rsid w:val="00C629A1"/>
    <w:rsid w:val="00C63794"/>
    <w:rsid w:val="00C63D76"/>
    <w:rsid w:val="00C66B25"/>
    <w:rsid w:val="00C671FA"/>
    <w:rsid w:val="00C709F0"/>
    <w:rsid w:val="00C73917"/>
    <w:rsid w:val="00C73E0F"/>
    <w:rsid w:val="00C745CA"/>
    <w:rsid w:val="00C74620"/>
    <w:rsid w:val="00C76AF1"/>
    <w:rsid w:val="00C80A20"/>
    <w:rsid w:val="00C8145F"/>
    <w:rsid w:val="00C84906"/>
    <w:rsid w:val="00C84FD2"/>
    <w:rsid w:val="00C850A6"/>
    <w:rsid w:val="00C856C7"/>
    <w:rsid w:val="00C85F7D"/>
    <w:rsid w:val="00C87EFD"/>
    <w:rsid w:val="00C90B61"/>
    <w:rsid w:val="00C917BF"/>
    <w:rsid w:val="00C92DBD"/>
    <w:rsid w:val="00C9366E"/>
    <w:rsid w:val="00CA0E6A"/>
    <w:rsid w:val="00CA0FDA"/>
    <w:rsid w:val="00CA1539"/>
    <w:rsid w:val="00CA5885"/>
    <w:rsid w:val="00CA5D95"/>
    <w:rsid w:val="00CA5E2D"/>
    <w:rsid w:val="00CA6C0F"/>
    <w:rsid w:val="00CB14ED"/>
    <w:rsid w:val="00CB339B"/>
    <w:rsid w:val="00CB664A"/>
    <w:rsid w:val="00CC0776"/>
    <w:rsid w:val="00CC09FE"/>
    <w:rsid w:val="00CC18DC"/>
    <w:rsid w:val="00CC586D"/>
    <w:rsid w:val="00CC71DB"/>
    <w:rsid w:val="00CC7A5A"/>
    <w:rsid w:val="00CD5600"/>
    <w:rsid w:val="00CD5B75"/>
    <w:rsid w:val="00CD73BC"/>
    <w:rsid w:val="00CE2C51"/>
    <w:rsid w:val="00CE4347"/>
    <w:rsid w:val="00CE5535"/>
    <w:rsid w:val="00CE5619"/>
    <w:rsid w:val="00CE6750"/>
    <w:rsid w:val="00CE76C9"/>
    <w:rsid w:val="00CE7AC8"/>
    <w:rsid w:val="00CF360D"/>
    <w:rsid w:val="00CF5736"/>
    <w:rsid w:val="00D00DDD"/>
    <w:rsid w:val="00D01965"/>
    <w:rsid w:val="00D01F5C"/>
    <w:rsid w:val="00D0327B"/>
    <w:rsid w:val="00D04F4B"/>
    <w:rsid w:val="00D105BA"/>
    <w:rsid w:val="00D10C7C"/>
    <w:rsid w:val="00D11305"/>
    <w:rsid w:val="00D1192F"/>
    <w:rsid w:val="00D12D1B"/>
    <w:rsid w:val="00D13EBE"/>
    <w:rsid w:val="00D167F0"/>
    <w:rsid w:val="00D20C07"/>
    <w:rsid w:val="00D20F8D"/>
    <w:rsid w:val="00D21C3C"/>
    <w:rsid w:val="00D26A50"/>
    <w:rsid w:val="00D27F71"/>
    <w:rsid w:val="00D30023"/>
    <w:rsid w:val="00D30C66"/>
    <w:rsid w:val="00D32F27"/>
    <w:rsid w:val="00D36795"/>
    <w:rsid w:val="00D37753"/>
    <w:rsid w:val="00D40787"/>
    <w:rsid w:val="00D40AE7"/>
    <w:rsid w:val="00D42BD8"/>
    <w:rsid w:val="00D449E4"/>
    <w:rsid w:val="00D452B5"/>
    <w:rsid w:val="00D45ACB"/>
    <w:rsid w:val="00D466C3"/>
    <w:rsid w:val="00D47F85"/>
    <w:rsid w:val="00D51CC6"/>
    <w:rsid w:val="00D52A39"/>
    <w:rsid w:val="00D5437F"/>
    <w:rsid w:val="00D56181"/>
    <w:rsid w:val="00D5701F"/>
    <w:rsid w:val="00D5788B"/>
    <w:rsid w:val="00D57E39"/>
    <w:rsid w:val="00D6015A"/>
    <w:rsid w:val="00D627B7"/>
    <w:rsid w:val="00D65929"/>
    <w:rsid w:val="00D6693B"/>
    <w:rsid w:val="00D705AA"/>
    <w:rsid w:val="00D70A9B"/>
    <w:rsid w:val="00D71456"/>
    <w:rsid w:val="00D7182A"/>
    <w:rsid w:val="00D727A3"/>
    <w:rsid w:val="00D73A69"/>
    <w:rsid w:val="00D74317"/>
    <w:rsid w:val="00D77E04"/>
    <w:rsid w:val="00D80246"/>
    <w:rsid w:val="00D80280"/>
    <w:rsid w:val="00D84641"/>
    <w:rsid w:val="00D84DAF"/>
    <w:rsid w:val="00D8613F"/>
    <w:rsid w:val="00D87E02"/>
    <w:rsid w:val="00D909F4"/>
    <w:rsid w:val="00D9226D"/>
    <w:rsid w:val="00D93D11"/>
    <w:rsid w:val="00D96A79"/>
    <w:rsid w:val="00D97E75"/>
    <w:rsid w:val="00DA079A"/>
    <w:rsid w:val="00DA13A1"/>
    <w:rsid w:val="00DA1C86"/>
    <w:rsid w:val="00DA243E"/>
    <w:rsid w:val="00DA5061"/>
    <w:rsid w:val="00DA52F5"/>
    <w:rsid w:val="00DA6FCF"/>
    <w:rsid w:val="00DA756F"/>
    <w:rsid w:val="00DB36F4"/>
    <w:rsid w:val="00DB7C8B"/>
    <w:rsid w:val="00DC0A8F"/>
    <w:rsid w:val="00DC1A2D"/>
    <w:rsid w:val="00DC1B33"/>
    <w:rsid w:val="00DC2E7E"/>
    <w:rsid w:val="00DC3227"/>
    <w:rsid w:val="00DC4288"/>
    <w:rsid w:val="00DC5484"/>
    <w:rsid w:val="00DC713A"/>
    <w:rsid w:val="00DC7A16"/>
    <w:rsid w:val="00DD0288"/>
    <w:rsid w:val="00DD0F65"/>
    <w:rsid w:val="00DD15A7"/>
    <w:rsid w:val="00DD2B72"/>
    <w:rsid w:val="00DD4DB8"/>
    <w:rsid w:val="00DD5664"/>
    <w:rsid w:val="00DD5969"/>
    <w:rsid w:val="00DD665C"/>
    <w:rsid w:val="00DD6718"/>
    <w:rsid w:val="00DD776F"/>
    <w:rsid w:val="00DE2466"/>
    <w:rsid w:val="00DE35E9"/>
    <w:rsid w:val="00DE4B7B"/>
    <w:rsid w:val="00DE59F1"/>
    <w:rsid w:val="00DE7B53"/>
    <w:rsid w:val="00DE7D55"/>
    <w:rsid w:val="00DE7E87"/>
    <w:rsid w:val="00DF1D44"/>
    <w:rsid w:val="00DF3A7B"/>
    <w:rsid w:val="00DF440B"/>
    <w:rsid w:val="00DF4E2B"/>
    <w:rsid w:val="00DF565D"/>
    <w:rsid w:val="00DF58AC"/>
    <w:rsid w:val="00DF6E04"/>
    <w:rsid w:val="00DF76C7"/>
    <w:rsid w:val="00E0005F"/>
    <w:rsid w:val="00E00205"/>
    <w:rsid w:val="00E00FBD"/>
    <w:rsid w:val="00E01FEC"/>
    <w:rsid w:val="00E0424A"/>
    <w:rsid w:val="00E058E6"/>
    <w:rsid w:val="00E1181C"/>
    <w:rsid w:val="00E11896"/>
    <w:rsid w:val="00E13745"/>
    <w:rsid w:val="00E14415"/>
    <w:rsid w:val="00E1533C"/>
    <w:rsid w:val="00E156D4"/>
    <w:rsid w:val="00E16BBF"/>
    <w:rsid w:val="00E21566"/>
    <w:rsid w:val="00E22366"/>
    <w:rsid w:val="00E22A82"/>
    <w:rsid w:val="00E23E3D"/>
    <w:rsid w:val="00E240C6"/>
    <w:rsid w:val="00E24E4F"/>
    <w:rsid w:val="00E267E8"/>
    <w:rsid w:val="00E3422D"/>
    <w:rsid w:val="00E34D05"/>
    <w:rsid w:val="00E367B7"/>
    <w:rsid w:val="00E36A08"/>
    <w:rsid w:val="00E36A82"/>
    <w:rsid w:val="00E41ADB"/>
    <w:rsid w:val="00E428BF"/>
    <w:rsid w:val="00E446FA"/>
    <w:rsid w:val="00E44CC2"/>
    <w:rsid w:val="00E44D60"/>
    <w:rsid w:val="00E44E47"/>
    <w:rsid w:val="00E45B67"/>
    <w:rsid w:val="00E469B4"/>
    <w:rsid w:val="00E46D17"/>
    <w:rsid w:val="00E47087"/>
    <w:rsid w:val="00E47845"/>
    <w:rsid w:val="00E50CF9"/>
    <w:rsid w:val="00E511E7"/>
    <w:rsid w:val="00E5290C"/>
    <w:rsid w:val="00E53079"/>
    <w:rsid w:val="00E533D2"/>
    <w:rsid w:val="00E55082"/>
    <w:rsid w:val="00E56BD4"/>
    <w:rsid w:val="00E573B4"/>
    <w:rsid w:val="00E6085B"/>
    <w:rsid w:val="00E60EB3"/>
    <w:rsid w:val="00E63267"/>
    <w:rsid w:val="00E6473D"/>
    <w:rsid w:val="00E64E62"/>
    <w:rsid w:val="00E65971"/>
    <w:rsid w:val="00E66415"/>
    <w:rsid w:val="00E70CC0"/>
    <w:rsid w:val="00E70E21"/>
    <w:rsid w:val="00E71485"/>
    <w:rsid w:val="00E72C25"/>
    <w:rsid w:val="00E7447C"/>
    <w:rsid w:val="00E75B89"/>
    <w:rsid w:val="00E76E05"/>
    <w:rsid w:val="00E8211C"/>
    <w:rsid w:val="00E83286"/>
    <w:rsid w:val="00E9027A"/>
    <w:rsid w:val="00E953D5"/>
    <w:rsid w:val="00E95F5B"/>
    <w:rsid w:val="00E968A4"/>
    <w:rsid w:val="00E96992"/>
    <w:rsid w:val="00E971D1"/>
    <w:rsid w:val="00EA2541"/>
    <w:rsid w:val="00EA52DD"/>
    <w:rsid w:val="00EB2605"/>
    <w:rsid w:val="00EB3238"/>
    <w:rsid w:val="00EB3E0D"/>
    <w:rsid w:val="00EB44DA"/>
    <w:rsid w:val="00EB6B17"/>
    <w:rsid w:val="00EB772E"/>
    <w:rsid w:val="00EC1278"/>
    <w:rsid w:val="00EC5606"/>
    <w:rsid w:val="00EC612F"/>
    <w:rsid w:val="00EC7AA2"/>
    <w:rsid w:val="00ED59CF"/>
    <w:rsid w:val="00ED6252"/>
    <w:rsid w:val="00EE1396"/>
    <w:rsid w:val="00EE51C5"/>
    <w:rsid w:val="00EF0038"/>
    <w:rsid w:val="00EF1A59"/>
    <w:rsid w:val="00EF7CB9"/>
    <w:rsid w:val="00F0092E"/>
    <w:rsid w:val="00F0451A"/>
    <w:rsid w:val="00F049E4"/>
    <w:rsid w:val="00F04D13"/>
    <w:rsid w:val="00F0553E"/>
    <w:rsid w:val="00F055B6"/>
    <w:rsid w:val="00F0624E"/>
    <w:rsid w:val="00F06EA6"/>
    <w:rsid w:val="00F108E0"/>
    <w:rsid w:val="00F1178B"/>
    <w:rsid w:val="00F14979"/>
    <w:rsid w:val="00F1545E"/>
    <w:rsid w:val="00F208A2"/>
    <w:rsid w:val="00F21578"/>
    <w:rsid w:val="00F24898"/>
    <w:rsid w:val="00F26C80"/>
    <w:rsid w:val="00F26D64"/>
    <w:rsid w:val="00F4017D"/>
    <w:rsid w:val="00F42562"/>
    <w:rsid w:val="00F457B1"/>
    <w:rsid w:val="00F46107"/>
    <w:rsid w:val="00F47F10"/>
    <w:rsid w:val="00F52A42"/>
    <w:rsid w:val="00F52AD3"/>
    <w:rsid w:val="00F5364F"/>
    <w:rsid w:val="00F54F6C"/>
    <w:rsid w:val="00F56557"/>
    <w:rsid w:val="00F5658C"/>
    <w:rsid w:val="00F56B87"/>
    <w:rsid w:val="00F56F29"/>
    <w:rsid w:val="00F61B13"/>
    <w:rsid w:val="00F62DB6"/>
    <w:rsid w:val="00F632CA"/>
    <w:rsid w:val="00F639CD"/>
    <w:rsid w:val="00F659D7"/>
    <w:rsid w:val="00F675F8"/>
    <w:rsid w:val="00F7010E"/>
    <w:rsid w:val="00F7022F"/>
    <w:rsid w:val="00F72243"/>
    <w:rsid w:val="00F73CCC"/>
    <w:rsid w:val="00F73E4F"/>
    <w:rsid w:val="00F759DC"/>
    <w:rsid w:val="00F75CAD"/>
    <w:rsid w:val="00F773BC"/>
    <w:rsid w:val="00F77D0B"/>
    <w:rsid w:val="00F81781"/>
    <w:rsid w:val="00F826C4"/>
    <w:rsid w:val="00F85EED"/>
    <w:rsid w:val="00F9027C"/>
    <w:rsid w:val="00F90669"/>
    <w:rsid w:val="00F96BD5"/>
    <w:rsid w:val="00F978F8"/>
    <w:rsid w:val="00FA1BA8"/>
    <w:rsid w:val="00FA24C8"/>
    <w:rsid w:val="00FA4A35"/>
    <w:rsid w:val="00FA6668"/>
    <w:rsid w:val="00FB1EDD"/>
    <w:rsid w:val="00FB25EA"/>
    <w:rsid w:val="00FB29F4"/>
    <w:rsid w:val="00FB357B"/>
    <w:rsid w:val="00FB48F1"/>
    <w:rsid w:val="00FB4C88"/>
    <w:rsid w:val="00FB5EBE"/>
    <w:rsid w:val="00FB6D5E"/>
    <w:rsid w:val="00FB7234"/>
    <w:rsid w:val="00FB7652"/>
    <w:rsid w:val="00FB7657"/>
    <w:rsid w:val="00FC1AFA"/>
    <w:rsid w:val="00FC2DB5"/>
    <w:rsid w:val="00FC32F5"/>
    <w:rsid w:val="00FC4C38"/>
    <w:rsid w:val="00FC5C83"/>
    <w:rsid w:val="00FC7AED"/>
    <w:rsid w:val="00FD0B71"/>
    <w:rsid w:val="00FD59D7"/>
    <w:rsid w:val="00FD6557"/>
    <w:rsid w:val="00FD662D"/>
    <w:rsid w:val="00FD66AD"/>
    <w:rsid w:val="00FD7099"/>
    <w:rsid w:val="00FE0367"/>
    <w:rsid w:val="00FE08E5"/>
    <w:rsid w:val="00FE15CB"/>
    <w:rsid w:val="00FE2875"/>
    <w:rsid w:val="00FE28C3"/>
    <w:rsid w:val="00FE3E9A"/>
    <w:rsid w:val="00FE4C29"/>
    <w:rsid w:val="00FE6202"/>
    <w:rsid w:val="00FE6EE8"/>
    <w:rsid w:val="00FE7C01"/>
    <w:rsid w:val="00FF3B41"/>
    <w:rsid w:val="00FF5143"/>
    <w:rsid w:val="00FF72DE"/>
    <w:rsid w:val="00FF7B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C3B95A0"/>
  <w15:docId w15:val="{8F70DDAC-AF1E-48A5-BA53-FF57897E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 w:type="character" w:styleId="Kommentarzeichen">
    <w:name w:val="annotation reference"/>
    <w:basedOn w:val="Absatz-Standardschriftart"/>
    <w:uiPriority w:val="99"/>
    <w:semiHidden/>
    <w:unhideWhenUsed/>
    <w:rsid w:val="00E44CC2"/>
    <w:rPr>
      <w:sz w:val="16"/>
      <w:szCs w:val="16"/>
    </w:rPr>
  </w:style>
  <w:style w:type="paragraph" w:styleId="Kommentartext">
    <w:name w:val="annotation text"/>
    <w:basedOn w:val="Standard"/>
    <w:link w:val="KommentartextZchn"/>
    <w:uiPriority w:val="99"/>
    <w:semiHidden/>
    <w:unhideWhenUsed/>
    <w:rsid w:val="00E44CC2"/>
    <w:rPr>
      <w:sz w:val="20"/>
    </w:rPr>
  </w:style>
  <w:style w:type="character" w:customStyle="1" w:styleId="KommentartextZchn">
    <w:name w:val="Kommentartext Zchn"/>
    <w:basedOn w:val="Absatz-Standardschriftart"/>
    <w:link w:val="Kommentartext"/>
    <w:uiPriority w:val="99"/>
    <w:semiHidden/>
    <w:rsid w:val="00E44CC2"/>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E44CC2"/>
    <w:rPr>
      <w:b/>
      <w:bCs/>
    </w:rPr>
  </w:style>
  <w:style w:type="character" w:customStyle="1" w:styleId="KommentarthemaZchn">
    <w:name w:val="Kommentarthema Zchn"/>
    <w:basedOn w:val="KommentartextZchn"/>
    <w:link w:val="Kommentarthema"/>
    <w:uiPriority w:val="99"/>
    <w:semiHidden/>
    <w:rsid w:val="00E44CC2"/>
    <w:rPr>
      <w:rFonts w:ascii="Times New Roman" w:hAnsi="Times New Roman"/>
      <w:b/>
      <w:bCs/>
    </w:rPr>
  </w:style>
  <w:style w:type="table" w:styleId="Tabellenraster">
    <w:name w:val="Table Grid"/>
    <w:basedOn w:val="NormaleTabelle"/>
    <w:uiPriority w:val="39"/>
    <w:rsid w:val="00D2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21578"/>
    <w:rPr>
      <w:color w:val="808080"/>
    </w:rPr>
  </w:style>
  <w:style w:type="paragraph" w:customStyle="1" w:styleId="Body">
    <w:name w:val="Body"/>
    <w:rsid w:val="00C22FA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zh-CN"/>
    </w:rPr>
  </w:style>
  <w:style w:type="paragraph" w:styleId="Beschriftung">
    <w:name w:val="caption"/>
    <w:basedOn w:val="Standard"/>
    <w:next w:val="Standard"/>
    <w:uiPriority w:val="35"/>
    <w:unhideWhenUsed/>
    <w:qFormat/>
    <w:rsid w:val="00C22FA4"/>
    <w:pPr>
      <w:pBdr>
        <w:top w:val="nil"/>
        <w:left w:val="nil"/>
        <w:bottom w:val="nil"/>
        <w:right w:val="nil"/>
        <w:between w:val="nil"/>
        <w:bar w:val="nil"/>
      </w:pBdr>
      <w:spacing w:after="200"/>
    </w:pPr>
    <w:rPr>
      <w:rFonts w:eastAsia="Arial Unicode MS"/>
      <w:i/>
      <w:iCs/>
      <w:color w:val="44546A" w:themeColor="text2"/>
      <w:sz w:val="18"/>
      <w:szCs w:val="18"/>
      <w:bdr w:val="nil"/>
    </w:rPr>
  </w:style>
  <w:style w:type="paragraph" w:styleId="berarbeitung">
    <w:name w:val="Revision"/>
    <w:hidden/>
    <w:uiPriority w:val="99"/>
    <w:semiHidden/>
    <w:rsid w:val="0010731D"/>
    <w:rPr>
      <w:rFonts w:ascii="Times New Roman" w:hAnsi="Times New Roman"/>
      <w:sz w:val="24"/>
    </w:rPr>
  </w:style>
  <w:style w:type="character" w:styleId="Hervorhebung">
    <w:name w:val="Emphasis"/>
    <w:basedOn w:val="Absatz-Standardschriftart"/>
    <w:uiPriority w:val="20"/>
    <w:qFormat/>
    <w:rsid w:val="003F02E1"/>
    <w:rPr>
      <w:i/>
      <w:iCs/>
    </w:rPr>
  </w:style>
  <w:style w:type="paragraph" w:styleId="Funotentext">
    <w:name w:val="footnote text"/>
    <w:basedOn w:val="Standard"/>
    <w:link w:val="FunotentextZchn"/>
    <w:uiPriority w:val="99"/>
    <w:semiHidden/>
    <w:unhideWhenUsed/>
    <w:rsid w:val="003501C8"/>
    <w:rPr>
      <w:sz w:val="20"/>
    </w:rPr>
  </w:style>
  <w:style w:type="character" w:customStyle="1" w:styleId="FunotentextZchn">
    <w:name w:val="Fußnotentext Zchn"/>
    <w:basedOn w:val="Absatz-Standardschriftart"/>
    <w:link w:val="Funotentext"/>
    <w:uiPriority w:val="99"/>
    <w:semiHidden/>
    <w:rsid w:val="003501C8"/>
    <w:rPr>
      <w:rFonts w:ascii="Times New Roman" w:hAnsi="Times New Roman"/>
    </w:rPr>
  </w:style>
  <w:style w:type="character" w:styleId="Funotenzeichen">
    <w:name w:val="footnote reference"/>
    <w:basedOn w:val="Absatz-Standardschriftart"/>
    <w:uiPriority w:val="99"/>
    <w:semiHidden/>
    <w:unhideWhenUsed/>
    <w:rsid w:val="003501C8"/>
    <w:rPr>
      <w:vertAlign w:val="superscript"/>
    </w:rPr>
  </w:style>
  <w:style w:type="paragraph" w:customStyle="1" w:styleId="Default">
    <w:name w:val="Default"/>
    <w:rsid w:val="002A41E1"/>
    <w:pPr>
      <w:autoSpaceDE w:val="0"/>
      <w:autoSpaceDN w:val="0"/>
      <w:adjustRightInd w:val="0"/>
    </w:pPr>
    <w:rPr>
      <w:rFonts w:ascii="Arial" w:hAnsi="Arial" w:cs="Arial"/>
      <w:color w:val="000000"/>
      <w:sz w:val="24"/>
      <w:szCs w:val="24"/>
      <w:lang w:val="de-DE"/>
    </w:rPr>
  </w:style>
  <w:style w:type="table" w:customStyle="1" w:styleId="Tabellenraster1">
    <w:name w:val="Tabellenraster1"/>
    <w:basedOn w:val="NormaleTabelle"/>
    <w:next w:val="Tabellenraster"/>
    <w:uiPriority w:val="39"/>
    <w:rsid w:val="00D6015A"/>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Standard"/>
    <w:next w:val="Standard"/>
    <w:rsid w:val="00036DCE"/>
    <w:pPr>
      <w:keepNext/>
      <w:keepLines/>
      <w:tabs>
        <w:tab w:val="left" w:pos="794"/>
        <w:tab w:val="left" w:pos="1191"/>
        <w:tab w:val="left" w:pos="1588"/>
        <w:tab w:val="left" w:pos="1985"/>
      </w:tabs>
      <w:overflowPunct w:val="0"/>
      <w:autoSpaceDE w:val="0"/>
      <w:autoSpaceDN w:val="0"/>
      <w:adjustRightInd w:val="0"/>
      <w:spacing w:before="240" w:after="120"/>
      <w:jc w:val="center"/>
    </w:pPr>
    <w:rPr>
      <w:rFonts w:eastAsia="Times New Roman"/>
      <w:lang w:val="en-GB"/>
    </w:rPr>
  </w:style>
  <w:style w:type="paragraph" w:customStyle="1" w:styleId="LCO-PHYFigureCaption">
    <w:name w:val="LCO-PHY Figure Caption"/>
    <w:basedOn w:val="Standard"/>
    <w:qFormat/>
    <w:rsid w:val="00036DCE"/>
    <w:pPr>
      <w:autoSpaceDE w:val="0"/>
      <w:autoSpaceDN w:val="0"/>
      <w:adjustRightInd w:val="0"/>
      <w:spacing w:before="120" w:after="120" w:line="276" w:lineRule="auto"/>
      <w:jc w:val="center"/>
    </w:pPr>
    <w:rPr>
      <w:rFonts w:eastAsia="Arial Unicode MS"/>
      <w:b/>
      <w:iCs/>
      <w:color w:val="44546A" w:themeColor="text2"/>
      <w:szCs w:val="24"/>
    </w:rPr>
  </w:style>
  <w:style w:type="paragraph" w:customStyle="1" w:styleId="IEEEStdsRegularTableCaption">
    <w:name w:val="IEEEStds Regular Table Caption"/>
    <w:basedOn w:val="Standard"/>
    <w:next w:val="Standard"/>
    <w:rsid w:val="00D01F5C"/>
    <w:pPr>
      <w:keepNext/>
      <w:keepLines/>
      <w:numPr>
        <w:numId w:val="7"/>
      </w:numPr>
      <w:tabs>
        <w:tab w:val="left" w:pos="360"/>
        <w:tab w:val="left" w:pos="432"/>
        <w:tab w:val="left" w:pos="504"/>
      </w:tabs>
      <w:suppressAutoHyphens/>
      <w:spacing w:before="120" w:after="240"/>
      <w:jc w:val="center"/>
    </w:pPr>
    <w:rPr>
      <w:rFonts w:ascii="Arial" w:eastAsia="SimSun" w:hAnsi="Arial"/>
      <w:b/>
      <w:sz w:val="20"/>
      <w:lang w:eastAsia="ja-JP"/>
    </w:rPr>
  </w:style>
  <w:style w:type="paragraph" w:customStyle="1" w:styleId="IEEEStdsRegularFigureCaption">
    <w:name w:val="IEEEStds Regular Figure Caption"/>
    <w:basedOn w:val="Standard"/>
    <w:next w:val="Standard"/>
    <w:rsid w:val="00612525"/>
    <w:pPr>
      <w:keepLines/>
      <w:numPr>
        <w:numId w:val="6"/>
      </w:numPr>
      <w:tabs>
        <w:tab w:val="left" w:pos="403"/>
        <w:tab w:val="left" w:pos="475"/>
        <w:tab w:val="left" w:pos="547"/>
      </w:tabs>
      <w:suppressAutoHyphens/>
      <w:spacing w:before="120" w:after="240"/>
      <w:jc w:val="center"/>
    </w:pPr>
    <w:rPr>
      <w:rFonts w:ascii="Arial" w:eastAsia="SimSun" w:hAnsi="Arial"/>
      <w:b/>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16198065">
      <w:bodyDiv w:val="1"/>
      <w:marLeft w:val="0"/>
      <w:marRight w:val="0"/>
      <w:marTop w:val="0"/>
      <w:marBottom w:val="0"/>
      <w:divBdr>
        <w:top w:val="none" w:sz="0" w:space="0" w:color="auto"/>
        <w:left w:val="none" w:sz="0" w:space="0" w:color="auto"/>
        <w:bottom w:val="none" w:sz="0" w:space="0" w:color="auto"/>
        <w:right w:val="none" w:sz="0" w:space="0" w:color="auto"/>
      </w:divBdr>
    </w:div>
    <w:div w:id="39090318">
      <w:bodyDiv w:val="1"/>
      <w:marLeft w:val="0"/>
      <w:marRight w:val="0"/>
      <w:marTop w:val="0"/>
      <w:marBottom w:val="0"/>
      <w:divBdr>
        <w:top w:val="none" w:sz="0" w:space="0" w:color="auto"/>
        <w:left w:val="none" w:sz="0" w:space="0" w:color="auto"/>
        <w:bottom w:val="none" w:sz="0" w:space="0" w:color="auto"/>
        <w:right w:val="none" w:sz="0" w:space="0" w:color="auto"/>
      </w:divBdr>
    </w:div>
    <w:div w:id="47651410">
      <w:bodyDiv w:val="1"/>
      <w:marLeft w:val="0"/>
      <w:marRight w:val="0"/>
      <w:marTop w:val="0"/>
      <w:marBottom w:val="0"/>
      <w:divBdr>
        <w:top w:val="none" w:sz="0" w:space="0" w:color="auto"/>
        <w:left w:val="none" w:sz="0" w:space="0" w:color="auto"/>
        <w:bottom w:val="none" w:sz="0" w:space="0" w:color="auto"/>
        <w:right w:val="none" w:sz="0" w:space="0" w:color="auto"/>
      </w:divBdr>
      <w:divsChild>
        <w:div w:id="668798093">
          <w:marLeft w:val="547"/>
          <w:marRight w:val="0"/>
          <w:marTop w:val="0"/>
          <w:marBottom w:val="120"/>
          <w:divBdr>
            <w:top w:val="none" w:sz="0" w:space="0" w:color="auto"/>
            <w:left w:val="none" w:sz="0" w:space="0" w:color="auto"/>
            <w:bottom w:val="none" w:sz="0" w:space="0" w:color="auto"/>
            <w:right w:val="none" w:sz="0" w:space="0" w:color="auto"/>
          </w:divBdr>
        </w:div>
        <w:div w:id="1617325875">
          <w:marLeft w:val="547"/>
          <w:marRight w:val="0"/>
          <w:marTop w:val="0"/>
          <w:marBottom w:val="120"/>
          <w:divBdr>
            <w:top w:val="none" w:sz="0" w:space="0" w:color="auto"/>
            <w:left w:val="none" w:sz="0" w:space="0" w:color="auto"/>
            <w:bottom w:val="none" w:sz="0" w:space="0" w:color="auto"/>
            <w:right w:val="none" w:sz="0" w:space="0" w:color="auto"/>
          </w:divBdr>
        </w:div>
        <w:div w:id="552161829">
          <w:marLeft w:val="547"/>
          <w:marRight w:val="0"/>
          <w:marTop w:val="0"/>
          <w:marBottom w:val="120"/>
          <w:divBdr>
            <w:top w:val="none" w:sz="0" w:space="0" w:color="auto"/>
            <w:left w:val="none" w:sz="0" w:space="0" w:color="auto"/>
            <w:bottom w:val="none" w:sz="0" w:space="0" w:color="auto"/>
            <w:right w:val="none" w:sz="0" w:space="0" w:color="auto"/>
          </w:divBdr>
        </w:div>
        <w:div w:id="1191458600">
          <w:marLeft w:val="547"/>
          <w:marRight w:val="0"/>
          <w:marTop w:val="0"/>
          <w:marBottom w:val="120"/>
          <w:divBdr>
            <w:top w:val="none" w:sz="0" w:space="0" w:color="auto"/>
            <w:left w:val="none" w:sz="0" w:space="0" w:color="auto"/>
            <w:bottom w:val="none" w:sz="0" w:space="0" w:color="auto"/>
            <w:right w:val="none" w:sz="0" w:space="0" w:color="auto"/>
          </w:divBdr>
        </w:div>
      </w:divsChild>
    </w:div>
    <w:div w:id="151528626">
      <w:bodyDiv w:val="1"/>
      <w:marLeft w:val="0"/>
      <w:marRight w:val="0"/>
      <w:marTop w:val="0"/>
      <w:marBottom w:val="0"/>
      <w:divBdr>
        <w:top w:val="none" w:sz="0" w:space="0" w:color="auto"/>
        <w:left w:val="none" w:sz="0" w:space="0" w:color="auto"/>
        <w:bottom w:val="none" w:sz="0" w:space="0" w:color="auto"/>
        <w:right w:val="none" w:sz="0" w:space="0" w:color="auto"/>
      </w:divBdr>
      <w:divsChild>
        <w:div w:id="1803961022">
          <w:marLeft w:val="0"/>
          <w:marRight w:val="0"/>
          <w:marTop w:val="0"/>
          <w:marBottom w:val="120"/>
          <w:divBdr>
            <w:top w:val="none" w:sz="0" w:space="0" w:color="auto"/>
            <w:left w:val="none" w:sz="0" w:space="0" w:color="auto"/>
            <w:bottom w:val="none" w:sz="0" w:space="0" w:color="auto"/>
            <w:right w:val="none" w:sz="0" w:space="0" w:color="auto"/>
          </w:divBdr>
        </w:div>
      </w:divsChild>
    </w:div>
    <w:div w:id="156194651">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264120452">
      <w:bodyDiv w:val="1"/>
      <w:marLeft w:val="0"/>
      <w:marRight w:val="0"/>
      <w:marTop w:val="0"/>
      <w:marBottom w:val="0"/>
      <w:divBdr>
        <w:top w:val="none" w:sz="0" w:space="0" w:color="auto"/>
        <w:left w:val="none" w:sz="0" w:space="0" w:color="auto"/>
        <w:bottom w:val="none" w:sz="0" w:space="0" w:color="auto"/>
        <w:right w:val="none" w:sz="0" w:space="0" w:color="auto"/>
      </w:divBdr>
    </w:div>
    <w:div w:id="320041347">
      <w:bodyDiv w:val="1"/>
      <w:marLeft w:val="0"/>
      <w:marRight w:val="0"/>
      <w:marTop w:val="0"/>
      <w:marBottom w:val="0"/>
      <w:divBdr>
        <w:top w:val="none" w:sz="0" w:space="0" w:color="auto"/>
        <w:left w:val="none" w:sz="0" w:space="0" w:color="auto"/>
        <w:bottom w:val="none" w:sz="0" w:space="0" w:color="auto"/>
        <w:right w:val="none" w:sz="0" w:space="0" w:color="auto"/>
      </w:divBdr>
      <w:divsChild>
        <w:div w:id="1466049145">
          <w:marLeft w:val="446"/>
          <w:marRight w:val="0"/>
          <w:marTop w:val="0"/>
          <w:marBottom w:val="0"/>
          <w:divBdr>
            <w:top w:val="none" w:sz="0" w:space="0" w:color="auto"/>
            <w:left w:val="none" w:sz="0" w:space="0" w:color="auto"/>
            <w:bottom w:val="none" w:sz="0" w:space="0" w:color="auto"/>
            <w:right w:val="none" w:sz="0" w:space="0" w:color="auto"/>
          </w:divBdr>
        </w:div>
        <w:div w:id="728307527">
          <w:marLeft w:val="446"/>
          <w:marRight w:val="0"/>
          <w:marTop w:val="0"/>
          <w:marBottom w:val="0"/>
          <w:divBdr>
            <w:top w:val="none" w:sz="0" w:space="0" w:color="auto"/>
            <w:left w:val="none" w:sz="0" w:space="0" w:color="auto"/>
            <w:bottom w:val="none" w:sz="0" w:space="0" w:color="auto"/>
            <w:right w:val="none" w:sz="0" w:space="0" w:color="auto"/>
          </w:divBdr>
        </w:div>
      </w:divsChild>
    </w:div>
    <w:div w:id="415128946">
      <w:bodyDiv w:val="1"/>
      <w:marLeft w:val="0"/>
      <w:marRight w:val="0"/>
      <w:marTop w:val="0"/>
      <w:marBottom w:val="0"/>
      <w:divBdr>
        <w:top w:val="none" w:sz="0" w:space="0" w:color="auto"/>
        <w:left w:val="none" w:sz="0" w:space="0" w:color="auto"/>
        <w:bottom w:val="none" w:sz="0" w:space="0" w:color="auto"/>
        <w:right w:val="none" w:sz="0" w:space="0" w:color="auto"/>
      </w:divBdr>
    </w:div>
    <w:div w:id="481508978">
      <w:bodyDiv w:val="1"/>
      <w:marLeft w:val="0"/>
      <w:marRight w:val="0"/>
      <w:marTop w:val="0"/>
      <w:marBottom w:val="0"/>
      <w:divBdr>
        <w:top w:val="none" w:sz="0" w:space="0" w:color="auto"/>
        <w:left w:val="none" w:sz="0" w:space="0" w:color="auto"/>
        <w:bottom w:val="none" w:sz="0" w:space="0" w:color="auto"/>
        <w:right w:val="none" w:sz="0" w:space="0" w:color="auto"/>
      </w:divBdr>
    </w:div>
    <w:div w:id="504445580">
      <w:bodyDiv w:val="1"/>
      <w:marLeft w:val="0"/>
      <w:marRight w:val="0"/>
      <w:marTop w:val="0"/>
      <w:marBottom w:val="0"/>
      <w:divBdr>
        <w:top w:val="none" w:sz="0" w:space="0" w:color="auto"/>
        <w:left w:val="none" w:sz="0" w:space="0" w:color="auto"/>
        <w:bottom w:val="none" w:sz="0" w:space="0" w:color="auto"/>
        <w:right w:val="none" w:sz="0" w:space="0" w:color="auto"/>
      </w:divBdr>
    </w:div>
    <w:div w:id="528031278">
      <w:bodyDiv w:val="1"/>
      <w:marLeft w:val="0"/>
      <w:marRight w:val="0"/>
      <w:marTop w:val="0"/>
      <w:marBottom w:val="0"/>
      <w:divBdr>
        <w:top w:val="none" w:sz="0" w:space="0" w:color="auto"/>
        <w:left w:val="none" w:sz="0" w:space="0" w:color="auto"/>
        <w:bottom w:val="none" w:sz="0" w:space="0" w:color="auto"/>
        <w:right w:val="none" w:sz="0" w:space="0" w:color="auto"/>
      </w:divBdr>
    </w:div>
    <w:div w:id="548418772">
      <w:bodyDiv w:val="1"/>
      <w:marLeft w:val="0"/>
      <w:marRight w:val="0"/>
      <w:marTop w:val="0"/>
      <w:marBottom w:val="0"/>
      <w:divBdr>
        <w:top w:val="none" w:sz="0" w:space="0" w:color="auto"/>
        <w:left w:val="none" w:sz="0" w:space="0" w:color="auto"/>
        <w:bottom w:val="none" w:sz="0" w:space="0" w:color="auto"/>
        <w:right w:val="none" w:sz="0" w:space="0" w:color="auto"/>
      </w:divBdr>
    </w:div>
    <w:div w:id="639502089">
      <w:bodyDiv w:val="1"/>
      <w:marLeft w:val="0"/>
      <w:marRight w:val="0"/>
      <w:marTop w:val="0"/>
      <w:marBottom w:val="0"/>
      <w:divBdr>
        <w:top w:val="none" w:sz="0" w:space="0" w:color="auto"/>
        <w:left w:val="none" w:sz="0" w:space="0" w:color="auto"/>
        <w:bottom w:val="none" w:sz="0" w:space="0" w:color="auto"/>
        <w:right w:val="none" w:sz="0" w:space="0" w:color="auto"/>
      </w:divBdr>
    </w:div>
    <w:div w:id="723453291">
      <w:bodyDiv w:val="1"/>
      <w:marLeft w:val="0"/>
      <w:marRight w:val="0"/>
      <w:marTop w:val="0"/>
      <w:marBottom w:val="0"/>
      <w:divBdr>
        <w:top w:val="none" w:sz="0" w:space="0" w:color="auto"/>
        <w:left w:val="none" w:sz="0" w:space="0" w:color="auto"/>
        <w:bottom w:val="none" w:sz="0" w:space="0" w:color="auto"/>
        <w:right w:val="none" w:sz="0" w:space="0" w:color="auto"/>
      </w:divBdr>
    </w:div>
    <w:div w:id="792552148">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00793891">
      <w:bodyDiv w:val="1"/>
      <w:marLeft w:val="0"/>
      <w:marRight w:val="0"/>
      <w:marTop w:val="0"/>
      <w:marBottom w:val="0"/>
      <w:divBdr>
        <w:top w:val="none" w:sz="0" w:space="0" w:color="auto"/>
        <w:left w:val="none" w:sz="0" w:space="0" w:color="auto"/>
        <w:bottom w:val="none" w:sz="0" w:space="0" w:color="auto"/>
        <w:right w:val="none" w:sz="0" w:space="0" w:color="auto"/>
      </w:divBdr>
      <w:divsChild>
        <w:div w:id="1433630166">
          <w:marLeft w:val="547"/>
          <w:marRight w:val="0"/>
          <w:marTop w:val="0"/>
          <w:marBottom w:val="0"/>
          <w:divBdr>
            <w:top w:val="none" w:sz="0" w:space="0" w:color="auto"/>
            <w:left w:val="none" w:sz="0" w:space="0" w:color="auto"/>
            <w:bottom w:val="none" w:sz="0" w:space="0" w:color="auto"/>
            <w:right w:val="none" w:sz="0" w:space="0" w:color="auto"/>
          </w:divBdr>
        </w:div>
      </w:divsChild>
    </w:div>
    <w:div w:id="979308898">
      <w:bodyDiv w:val="1"/>
      <w:marLeft w:val="0"/>
      <w:marRight w:val="0"/>
      <w:marTop w:val="0"/>
      <w:marBottom w:val="0"/>
      <w:divBdr>
        <w:top w:val="none" w:sz="0" w:space="0" w:color="auto"/>
        <w:left w:val="none" w:sz="0" w:space="0" w:color="auto"/>
        <w:bottom w:val="none" w:sz="0" w:space="0" w:color="auto"/>
        <w:right w:val="none" w:sz="0" w:space="0" w:color="auto"/>
      </w:divBdr>
    </w:div>
    <w:div w:id="1011683351">
      <w:bodyDiv w:val="1"/>
      <w:marLeft w:val="0"/>
      <w:marRight w:val="0"/>
      <w:marTop w:val="0"/>
      <w:marBottom w:val="0"/>
      <w:divBdr>
        <w:top w:val="none" w:sz="0" w:space="0" w:color="auto"/>
        <w:left w:val="none" w:sz="0" w:space="0" w:color="auto"/>
        <w:bottom w:val="none" w:sz="0" w:space="0" w:color="auto"/>
        <w:right w:val="none" w:sz="0" w:space="0" w:color="auto"/>
      </w:divBdr>
    </w:div>
    <w:div w:id="1061101603">
      <w:bodyDiv w:val="1"/>
      <w:marLeft w:val="0"/>
      <w:marRight w:val="0"/>
      <w:marTop w:val="0"/>
      <w:marBottom w:val="0"/>
      <w:divBdr>
        <w:top w:val="none" w:sz="0" w:space="0" w:color="auto"/>
        <w:left w:val="none" w:sz="0" w:space="0" w:color="auto"/>
        <w:bottom w:val="none" w:sz="0" w:space="0" w:color="auto"/>
        <w:right w:val="none" w:sz="0" w:space="0" w:color="auto"/>
      </w:divBdr>
      <w:divsChild>
        <w:div w:id="384791416">
          <w:marLeft w:val="547"/>
          <w:marRight w:val="0"/>
          <w:marTop w:val="115"/>
          <w:marBottom w:val="0"/>
          <w:divBdr>
            <w:top w:val="none" w:sz="0" w:space="0" w:color="auto"/>
            <w:left w:val="none" w:sz="0" w:space="0" w:color="auto"/>
            <w:bottom w:val="none" w:sz="0" w:space="0" w:color="auto"/>
            <w:right w:val="none" w:sz="0" w:space="0" w:color="auto"/>
          </w:divBdr>
        </w:div>
        <w:div w:id="632099920">
          <w:marLeft w:val="1166"/>
          <w:marRight w:val="0"/>
          <w:marTop w:val="96"/>
          <w:marBottom w:val="0"/>
          <w:divBdr>
            <w:top w:val="none" w:sz="0" w:space="0" w:color="auto"/>
            <w:left w:val="none" w:sz="0" w:space="0" w:color="auto"/>
            <w:bottom w:val="none" w:sz="0" w:space="0" w:color="auto"/>
            <w:right w:val="none" w:sz="0" w:space="0" w:color="auto"/>
          </w:divBdr>
        </w:div>
        <w:div w:id="1903828531">
          <w:marLeft w:val="1166"/>
          <w:marRight w:val="0"/>
          <w:marTop w:val="96"/>
          <w:marBottom w:val="0"/>
          <w:divBdr>
            <w:top w:val="none" w:sz="0" w:space="0" w:color="auto"/>
            <w:left w:val="none" w:sz="0" w:space="0" w:color="auto"/>
            <w:bottom w:val="none" w:sz="0" w:space="0" w:color="auto"/>
            <w:right w:val="none" w:sz="0" w:space="0" w:color="auto"/>
          </w:divBdr>
        </w:div>
        <w:div w:id="71663310">
          <w:marLeft w:val="1714"/>
          <w:marRight w:val="0"/>
          <w:marTop w:val="86"/>
          <w:marBottom w:val="0"/>
          <w:divBdr>
            <w:top w:val="none" w:sz="0" w:space="0" w:color="auto"/>
            <w:left w:val="none" w:sz="0" w:space="0" w:color="auto"/>
            <w:bottom w:val="none" w:sz="0" w:space="0" w:color="auto"/>
            <w:right w:val="none" w:sz="0" w:space="0" w:color="auto"/>
          </w:divBdr>
        </w:div>
        <w:div w:id="1528524722">
          <w:marLeft w:val="1714"/>
          <w:marRight w:val="0"/>
          <w:marTop w:val="86"/>
          <w:marBottom w:val="0"/>
          <w:divBdr>
            <w:top w:val="none" w:sz="0" w:space="0" w:color="auto"/>
            <w:left w:val="none" w:sz="0" w:space="0" w:color="auto"/>
            <w:bottom w:val="none" w:sz="0" w:space="0" w:color="auto"/>
            <w:right w:val="none" w:sz="0" w:space="0" w:color="auto"/>
          </w:divBdr>
        </w:div>
        <w:div w:id="2119640951">
          <w:marLeft w:val="2246"/>
          <w:marRight w:val="0"/>
          <w:marTop w:val="77"/>
          <w:marBottom w:val="0"/>
          <w:divBdr>
            <w:top w:val="none" w:sz="0" w:space="0" w:color="auto"/>
            <w:left w:val="none" w:sz="0" w:space="0" w:color="auto"/>
            <w:bottom w:val="none" w:sz="0" w:space="0" w:color="auto"/>
            <w:right w:val="none" w:sz="0" w:space="0" w:color="auto"/>
          </w:divBdr>
        </w:div>
        <w:div w:id="1850831139">
          <w:marLeft w:val="2246"/>
          <w:marRight w:val="0"/>
          <w:marTop w:val="77"/>
          <w:marBottom w:val="0"/>
          <w:divBdr>
            <w:top w:val="none" w:sz="0" w:space="0" w:color="auto"/>
            <w:left w:val="none" w:sz="0" w:space="0" w:color="auto"/>
            <w:bottom w:val="none" w:sz="0" w:space="0" w:color="auto"/>
            <w:right w:val="none" w:sz="0" w:space="0" w:color="auto"/>
          </w:divBdr>
        </w:div>
        <w:div w:id="1715034756">
          <w:marLeft w:val="2246"/>
          <w:marRight w:val="0"/>
          <w:marTop w:val="77"/>
          <w:marBottom w:val="0"/>
          <w:divBdr>
            <w:top w:val="none" w:sz="0" w:space="0" w:color="auto"/>
            <w:left w:val="none" w:sz="0" w:space="0" w:color="auto"/>
            <w:bottom w:val="none" w:sz="0" w:space="0" w:color="auto"/>
            <w:right w:val="none" w:sz="0" w:space="0" w:color="auto"/>
          </w:divBdr>
        </w:div>
        <w:div w:id="1742869190">
          <w:marLeft w:val="1714"/>
          <w:marRight w:val="0"/>
          <w:marTop w:val="86"/>
          <w:marBottom w:val="0"/>
          <w:divBdr>
            <w:top w:val="none" w:sz="0" w:space="0" w:color="auto"/>
            <w:left w:val="none" w:sz="0" w:space="0" w:color="auto"/>
            <w:bottom w:val="none" w:sz="0" w:space="0" w:color="auto"/>
            <w:right w:val="none" w:sz="0" w:space="0" w:color="auto"/>
          </w:divBdr>
        </w:div>
        <w:div w:id="450174757">
          <w:marLeft w:val="2246"/>
          <w:marRight w:val="0"/>
          <w:marTop w:val="77"/>
          <w:marBottom w:val="0"/>
          <w:divBdr>
            <w:top w:val="none" w:sz="0" w:space="0" w:color="auto"/>
            <w:left w:val="none" w:sz="0" w:space="0" w:color="auto"/>
            <w:bottom w:val="none" w:sz="0" w:space="0" w:color="auto"/>
            <w:right w:val="none" w:sz="0" w:space="0" w:color="auto"/>
          </w:divBdr>
        </w:div>
        <w:div w:id="77942532">
          <w:marLeft w:val="2246"/>
          <w:marRight w:val="0"/>
          <w:marTop w:val="77"/>
          <w:marBottom w:val="0"/>
          <w:divBdr>
            <w:top w:val="none" w:sz="0" w:space="0" w:color="auto"/>
            <w:left w:val="none" w:sz="0" w:space="0" w:color="auto"/>
            <w:bottom w:val="none" w:sz="0" w:space="0" w:color="auto"/>
            <w:right w:val="none" w:sz="0" w:space="0" w:color="auto"/>
          </w:divBdr>
        </w:div>
        <w:div w:id="482242186">
          <w:marLeft w:val="2246"/>
          <w:marRight w:val="0"/>
          <w:marTop w:val="77"/>
          <w:marBottom w:val="0"/>
          <w:divBdr>
            <w:top w:val="none" w:sz="0" w:space="0" w:color="auto"/>
            <w:left w:val="none" w:sz="0" w:space="0" w:color="auto"/>
            <w:bottom w:val="none" w:sz="0" w:space="0" w:color="auto"/>
            <w:right w:val="none" w:sz="0" w:space="0" w:color="auto"/>
          </w:divBdr>
        </w:div>
        <w:div w:id="1801916193">
          <w:marLeft w:val="2246"/>
          <w:marRight w:val="0"/>
          <w:marTop w:val="77"/>
          <w:marBottom w:val="0"/>
          <w:divBdr>
            <w:top w:val="none" w:sz="0" w:space="0" w:color="auto"/>
            <w:left w:val="none" w:sz="0" w:space="0" w:color="auto"/>
            <w:bottom w:val="none" w:sz="0" w:space="0" w:color="auto"/>
            <w:right w:val="none" w:sz="0" w:space="0" w:color="auto"/>
          </w:divBdr>
        </w:div>
        <w:div w:id="1772891638">
          <w:marLeft w:val="2246"/>
          <w:marRight w:val="0"/>
          <w:marTop w:val="77"/>
          <w:marBottom w:val="0"/>
          <w:divBdr>
            <w:top w:val="none" w:sz="0" w:space="0" w:color="auto"/>
            <w:left w:val="none" w:sz="0" w:space="0" w:color="auto"/>
            <w:bottom w:val="none" w:sz="0" w:space="0" w:color="auto"/>
            <w:right w:val="none" w:sz="0" w:space="0" w:color="auto"/>
          </w:divBdr>
        </w:div>
        <w:div w:id="817498838">
          <w:marLeft w:val="2246"/>
          <w:marRight w:val="0"/>
          <w:marTop w:val="77"/>
          <w:marBottom w:val="0"/>
          <w:divBdr>
            <w:top w:val="none" w:sz="0" w:space="0" w:color="auto"/>
            <w:left w:val="none" w:sz="0" w:space="0" w:color="auto"/>
            <w:bottom w:val="none" w:sz="0" w:space="0" w:color="auto"/>
            <w:right w:val="none" w:sz="0" w:space="0" w:color="auto"/>
          </w:divBdr>
        </w:div>
        <w:div w:id="1558400040">
          <w:marLeft w:val="1714"/>
          <w:marRight w:val="0"/>
          <w:marTop w:val="86"/>
          <w:marBottom w:val="0"/>
          <w:divBdr>
            <w:top w:val="none" w:sz="0" w:space="0" w:color="auto"/>
            <w:left w:val="none" w:sz="0" w:space="0" w:color="auto"/>
            <w:bottom w:val="none" w:sz="0" w:space="0" w:color="auto"/>
            <w:right w:val="none" w:sz="0" w:space="0" w:color="auto"/>
          </w:divBdr>
        </w:div>
      </w:divsChild>
    </w:div>
    <w:div w:id="1132603000">
      <w:bodyDiv w:val="1"/>
      <w:marLeft w:val="0"/>
      <w:marRight w:val="0"/>
      <w:marTop w:val="0"/>
      <w:marBottom w:val="0"/>
      <w:divBdr>
        <w:top w:val="none" w:sz="0" w:space="0" w:color="auto"/>
        <w:left w:val="none" w:sz="0" w:space="0" w:color="auto"/>
        <w:bottom w:val="none" w:sz="0" w:space="0" w:color="auto"/>
        <w:right w:val="none" w:sz="0" w:space="0" w:color="auto"/>
      </w:divBdr>
      <w:divsChild>
        <w:div w:id="1756244028">
          <w:marLeft w:val="446"/>
          <w:marRight w:val="0"/>
          <w:marTop w:val="0"/>
          <w:marBottom w:val="120"/>
          <w:divBdr>
            <w:top w:val="none" w:sz="0" w:space="0" w:color="auto"/>
            <w:left w:val="none" w:sz="0" w:space="0" w:color="auto"/>
            <w:bottom w:val="none" w:sz="0" w:space="0" w:color="auto"/>
            <w:right w:val="none" w:sz="0" w:space="0" w:color="auto"/>
          </w:divBdr>
        </w:div>
        <w:div w:id="731973335">
          <w:marLeft w:val="1166"/>
          <w:marRight w:val="0"/>
          <w:marTop w:val="0"/>
          <w:marBottom w:val="120"/>
          <w:divBdr>
            <w:top w:val="none" w:sz="0" w:space="0" w:color="auto"/>
            <w:left w:val="none" w:sz="0" w:space="0" w:color="auto"/>
            <w:bottom w:val="none" w:sz="0" w:space="0" w:color="auto"/>
            <w:right w:val="none" w:sz="0" w:space="0" w:color="auto"/>
          </w:divBdr>
        </w:div>
        <w:div w:id="615261083">
          <w:marLeft w:val="446"/>
          <w:marRight w:val="0"/>
          <w:marTop w:val="0"/>
          <w:marBottom w:val="120"/>
          <w:divBdr>
            <w:top w:val="none" w:sz="0" w:space="0" w:color="auto"/>
            <w:left w:val="none" w:sz="0" w:space="0" w:color="auto"/>
            <w:bottom w:val="none" w:sz="0" w:space="0" w:color="auto"/>
            <w:right w:val="none" w:sz="0" w:space="0" w:color="auto"/>
          </w:divBdr>
        </w:div>
        <w:div w:id="744838085">
          <w:marLeft w:val="1166"/>
          <w:marRight w:val="0"/>
          <w:marTop w:val="0"/>
          <w:marBottom w:val="120"/>
          <w:divBdr>
            <w:top w:val="none" w:sz="0" w:space="0" w:color="auto"/>
            <w:left w:val="none" w:sz="0" w:space="0" w:color="auto"/>
            <w:bottom w:val="none" w:sz="0" w:space="0" w:color="auto"/>
            <w:right w:val="none" w:sz="0" w:space="0" w:color="auto"/>
          </w:divBdr>
        </w:div>
      </w:divsChild>
    </w:div>
    <w:div w:id="1155535728">
      <w:bodyDiv w:val="1"/>
      <w:marLeft w:val="0"/>
      <w:marRight w:val="0"/>
      <w:marTop w:val="0"/>
      <w:marBottom w:val="0"/>
      <w:divBdr>
        <w:top w:val="none" w:sz="0" w:space="0" w:color="auto"/>
        <w:left w:val="none" w:sz="0" w:space="0" w:color="auto"/>
        <w:bottom w:val="none" w:sz="0" w:space="0" w:color="auto"/>
        <w:right w:val="none" w:sz="0" w:space="0" w:color="auto"/>
      </w:divBdr>
    </w:div>
    <w:div w:id="1178160573">
      <w:bodyDiv w:val="1"/>
      <w:marLeft w:val="0"/>
      <w:marRight w:val="0"/>
      <w:marTop w:val="0"/>
      <w:marBottom w:val="0"/>
      <w:divBdr>
        <w:top w:val="none" w:sz="0" w:space="0" w:color="auto"/>
        <w:left w:val="none" w:sz="0" w:space="0" w:color="auto"/>
        <w:bottom w:val="none" w:sz="0" w:space="0" w:color="auto"/>
        <w:right w:val="none" w:sz="0" w:space="0" w:color="auto"/>
      </w:divBdr>
    </w:div>
    <w:div w:id="1181235141">
      <w:bodyDiv w:val="1"/>
      <w:marLeft w:val="0"/>
      <w:marRight w:val="0"/>
      <w:marTop w:val="0"/>
      <w:marBottom w:val="0"/>
      <w:divBdr>
        <w:top w:val="none" w:sz="0" w:space="0" w:color="auto"/>
        <w:left w:val="none" w:sz="0" w:space="0" w:color="auto"/>
        <w:bottom w:val="none" w:sz="0" w:space="0" w:color="auto"/>
        <w:right w:val="none" w:sz="0" w:space="0" w:color="auto"/>
      </w:divBdr>
    </w:div>
    <w:div w:id="1257904717">
      <w:bodyDiv w:val="1"/>
      <w:marLeft w:val="0"/>
      <w:marRight w:val="0"/>
      <w:marTop w:val="0"/>
      <w:marBottom w:val="0"/>
      <w:divBdr>
        <w:top w:val="none" w:sz="0" w:space="0" w:color="auto"/>
        <w:left w:val="none" w:sz="0" w:space="0" w:color="auto"/>
        <w:bottom w:val="none" w:sz="0" w:space="0" w:color="auto"/>
        <w:right w:val="none" w:sz="0" w:space="0" w:color="auto"/>
      </w:divBdr>
      <w:divsChild>
        <w:div w:id="1142234019">
          <w:marLeft w:val="547"/>
          <w:marRight w:val="0"/>
          <w:marTop w:val="0"/>
          <w:marBottom w:val="0"/>
          <w:divBdr>
            <w:top w:val="none" w:sz="0" w:space="0" w:color="auto"/>
            <w:left w:val="none" w:sz="0" w:space="0" w:color="auto"/>
            <w:bottom w:val="none" w:sz="0" w:space="0" w:color="auto"/>
            <w:right w:val="none" w:sz="0" w:space="0" w:color="auto"/>
          </w:divBdr>
        </w:div>
      </w:divsChild>
    </w:div>
    <w:div w:id="1277904201">
      <w:bodyDiv w:val="1"/>
      <w:marLeft w:val="0"/>
      <w:marRight w:val="0"/>
      <w:marTop w:val="0"/>
      <w:marBottom w:val="0"/>
      <w:divBdr>
        <w:top w:val="none" w:sz="0" w:space="0" w:color="auto"/>
        <w:left w:val="none" w:sz="0" w:space="0" w:color="auto"/>
        <w:bottom w:val="none" w:sz="0" w:space="0" w:color="auto"/>
        <w:right w:val="none" w:sz="0" w:space="0" w:color="auto"/>
      </w:divBdr>
      <w:divsChild>
        <w:div w:id="342319633">
          <w:marLeft w:val="446"/>
          <w:marRight w:val="0"/>
          <w:marTop w:val="0"/>
          <w:marBottom w:val="120"/>
          <w:divBdr>
            <w:top w:val="none" w:sz="0" w:space="0" w:color="auto"/>
            <w:left w:val="none" w:sz="0" w:space="0" w:color="auto"/>
            <w:bottom w:val="none" w:sz="0" w:space="0" w:color="auto"/>
            <w:right w:val="none" w:sz="0" w:space="0" w:color="auto"/>
          </w:divBdr>
        </w:div>
        <w:div w:id="1515262281">
          <w:marLeft w:val="1166"/>
          <w:marRight w:val="0"/>
          <w:marTop w:val="0"/>
          <w:marBottom w:val="120"/>
          <w:divBdr>
            <w:top w:val="none" w:sz="0" w:space="0" w:color="auto"/>
            <w:left w:val="none" w:sz="0" w:space="0" w:color="auto"/>
            <w:bottom w:val="none" w:sz="0" w:space="0" w:color="auto"/>
            <w:right w:val="none" w:sz="0" w:space="0" w:color="auto"/>
          </w:divBdr>
        </w:div>
        <w:div w:id="1379666248">
          <w:marLeft w:val="446"/>
          <w:marRight w:val="0"/>
          <w:marTop w:val="0"/>
          <w:marBottom w:val="120"/>
          <w:divBdr>
            <w:top w:val="none" w:sz="0" w:space="0" w:color="auto"/>
            <w:left w:val="none" w:sz="0" w:space="0" w:color="auto"/>
            <w:bottom w:val="none" w:sz="0" w:space="0" w:color="auto"/>
            <w:right w:val="none" w:sz="0" w:space="0" w:color="auto"/>
          </w:divBdr>
        </w:div>
        <w:div w:id="1501890863">
          <w:marLeft w:val="1166"/>
          <w:marRight w:val="0"/>
          <w:marTop w:val="0"/>
          <w:marBottom w:val="120"/>
          <w:divBdr>
            <w:top w:val="none" w:sz="0" w:space="0" w:color="auto"/>
            <w:left w:val="none" w:sz="0" w:space="0" w:color="auto"/>
            <w:bottom w:val="none" w:sz="0" w:space="0" w:color="auto"/>
            <w:right w:val="none" w:sz="0" w:space="0" w:color="auto"/>
          </w:divBdr>
        </w:div>
      </w:divsChild>
    </w:div>
    <w:div w:id="1333755506">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375427936">
      <w:bodyDiv w:val="1"/>
      <w:marLeft w:val="0"/>
      <w:marRight w:val="0"/>
      <w:marTop w:val="0"/>
      <w:marBottom w:val="0"/>
      <w:divBdr>
        <w:top w:val="none" w:sz="0" w:space="0" w:color="auto"/>
        <w:left w:val="none" w:sz="0" w:space="0" w:color="auto"/>
        <w:bottom w:val="none" w:sz="0" w:space="0" w:color="auto"/>
        <w:right w:val="none" w:sz="0" w:space="0" w:color="auto"/>
      </w:divBdr>
    </w:div>
    <w:div w:id="1499349886">
      <w:bodyDiv w:val="1"/>
      <w:marLeft w:val="0"/>
      <w:marRight w:val="0"/>
      <w:marTop w:val="0"/>
      <w:marBottom w:val="0"/>
      <w:divBdr>
        <w:top w:val="none" w:sz="0" w:space="0" w:color="auto"/>
        <w:left w:val="none" w:sz="0" w:space="0" w:color="auto"/>
        <w:bottom w:val="none" w:sz="0" w:space="0" w:color="auto"/>
        <w:right w:val="none" w:sz="0" w:space="0" w:color="auto"/>
      </w:divBdr>
    </w:div>
    <w:div w:id="1507403224">
      <w:bodyDiv w:val="1"/>
      <w:marLeft w:val="0"/>
      <w:marRight w:val="0"/>
      <w:marTop w:val="0"/>
      <w:marBottom w:val="0"/>
      <w:divBdr>
        <w:top w:val="none" w:sz="0" w:space="0" w:color="auto"/>
        <w:left w:val="none" w:sz="0" w:space="0" w:color="auto"/>
        <w:bottom w:val="none" w:sz="0" w:space="0" w:color="auto"/>
        <w:right w:val="none" w:sz="0" w:space="0" w:color="auto"/>
      </w:divBdr>
      <w:divsChild>
        <w:div w:id="1038550245">
          <w:marLeft w:val="547"/>
          <w:marRight w:val="0"/>
          <w:marTop w:val="115"/>
          <w:marBottom w:val="120"/>
          <w:divBdr>
            <w:top w:val="none" w:sz="0" w:space="0" w:color="auto"/>
            <w:left w:val="none" w:sz="0" w:space="0" w:color="auto"/>
            <w:bottom w:val="none" w:sz="0" w:space="0" w:color="auto"/>
            <w:right w:val="none" w:sz="0" w:space="0" w:color="auto"/>
          </w:divBdr>
        </w:div>
      </w:divsChild>
    </w:div>
    <w:div w:id="1579291010">
      <w:bodyDiv w:val="1"/>
      <w:marLeft w:val="0"/>
      <w:marRight w:val="0"/>
      <w:marTop w:val="0"/>
      <w:marBottom w:val="0"/>
      <w:divBdr>
        <w:top w:val="none" w:sz="0" w:space="0" w:color="auto"/>
        <w:left w:val="none" w:sz="0" w:space="0" w:color="auto"/>
        <w:bottom w:val="none" w:sz="0" w:space="0" w:color="auto"/>
        <w:right w:val="none" w:sz="0" w:space="0" w:color="auto"/>
      </w:divBdr>
    </w:div>
    <w:div w:id="1681002190">
      <w:bodyDiv w:val="1"/>
      <w:marLeft w:val="0"/>
      <w:marRight w:val="0"/>
      <w:marTop w:val="0"/>
      <w:marBottom w:val="0"/>
      <w:divBdr>
        <w:top w:val="none" w:sz="0" w:space="0" w:color="auto"/>
        <w:left w:val="none" w:sz="0" w:space="0" w:color="auto"/>
        <w:bottom w:val="none" w:sz="0" w:space="0" w:color="auto"/>
        <w:right w:val="none" w:sz="0" w:space="0" w:color="auto"/>
      </w:divBdr>
    </w:div>
    <w:div w:id="1682199106">
      <w:bodyDiv w:val="1"/>
      <w:marLeft w:val="0"/>
      <w:marRight w:val="0"/>
      <w:marTop w:val="0"/>
      <w:marBottom w:val="0"/>
      <w:divBdr>
        <w:top w:val="none" w:sz="0" w:space="0" w:color="auto"/>
        <w:left w:val="none" w:sz="0" w:space="0" w:color="auto"/>
        <w:bottom w:val="none" w:sz="0" w:space="0" w:color="auto"/>
        <w:right w:val="none" w:sz="0" w:space="0" w:color="auto"/>
      </w:divBdr>
    </w:div>
    <w:div w:id="1685590182">
      <w:bodyDiv w:val="1"/>
      <w:marLeft w:val="0"/>
      <w:marRight w:val="0"/>
      <w:marTop w:val="0"/>
      <w:marBottom w:val="0"/>
      <w:divBdr>
        <w:top w:val="none" w:sz="0" w:space="0" w:color="auto"/>
        <w:left w:val="none" w:sz="0" w:space="0" w:color="auto"/>
        <w:bottom w:val="none" w:sz="0" w:space="0" w:color="auto"/>
        <w:right w:val="none" w:sz="0" w:space="0" w:color="auto"/>
      </w:divBdr>
      <w:divsChild>
        <w:div w:id="1589729114">
          <w:marLeft w:val="547"/>
          <w:marRight w:val="0"/>
          <w:marTop w:val="0"/>
          <w:marBottom w:val="120"/>
          <w:divBdr>
            <w:top w:val="none" w:sz="0" w:space="0" w:color="auto"/>
            <w:left w:val="none" w:sz="0" w:space="0" w:color="auto"/>
            <w:bottom w:val="none" w:sz="0" w:space="0" w:color="auto"/>
            <w:right w:val="none" w:sz="0" w:space="0" w:color="auto"/>
          </w:divBdr>
        </w:div>
        <w:div w:id="718824031">
          <w:marLeft w:val="547"/>
          <w:marRight w:val="0"/>
          <w:marTop w:val="0"/>
          <w:marBottom w:val="120"/>
          <w:divBdr>
            <w:top w:val="none" w:sz="0" w:space="0" w:color="auto"/>
            <w:left w:val="none" w:sz="0" w:space="0" w:color="auto"/>
            <w:bottom w:val="none" w:sz="0" w:space="0" w:color="auto"/>
            <w:right w:val="none" w:sz="0" w:space="0" w:color="auto"/>
          </w:divBdr>
        </w:div>
        <w:div w:id="1935237293">
          <w:marLeft w:val="547"/>
          <w:marRight w:val="0"/>
          <w:marTop w:val="0"/>
          <w:marBottom w:val="120"/>
          <w:divBdr>
            <w:top w:val="none" w:sz="0" w:space="0" w:color="auto"/>
            <w:left w:val="none" w:sz="0" w:space="0" w:color="auto"/>
            <w:bottom w:val="none" w:sz="0" w:space="0" w:color="auto"/>
            <w:right w:val="none" w:sz="0" w:space="0" w:color="auto"/>
          </w:divBdr>
        </w:div>
        <w:div w:id="873343795">
          <w:marLeft w:val="547"/>
          <w:marRight w:val="0"/>
          <w:marTop w:val="0"/>
          <w:marBottom w:val="120"/>
          <w:divBdr>
            <w:top w:val="none" w:sz="0" w:space="0" w:color="auto"/>
            <w:left w:val="none" w:sz="0" w:space="0" w:color="auto"/>
            <w:bottom w:val="none" w:sz="0" w:space="0" w:color="auto"/>
            <w:right w:val="none" w:sz="0" w:space="0" w:color="auto"/>
          </w:divBdr>
        </w:div>
      </w:divsChild>
    </w:div>
    <w:div w:id="1772117542">
      <w:bodyDiv w:val="1"/>
      <w:marLeft w:val="0"/>
      <w:marRight w:val="0"/>
      <w:marTop w:val="0"/>
      <w:marBottom w:val="0"/>
      <w:divBdr>
        <w:top w:val="none" w:sz="0" w:space="0" w:color="auto"/>
        <w:left w:val="none" w:sz="0" w:space="0" w:color="auto"/>
        <w:bottom w:val="none" w:sz="0" w:space="0" w:color="auto"/>
        <w:right w:val="none" w:sz="0" w:space="0" w:color="auto"/>
      </w:divBdr>
    </w:div>
    <w:div w:id="1870025840">
      <w:bodyDiv w:val="1"/>
      <w:marLeft w:val="0"/>
      <w:marRight w:val="0"/>
      <w:marTop w:val="0"/>
      <w:marBottom w:val="0"/>
      <w:divBdr>
        <w:top w:val="none" w:sz="0" w:space="0" w:color="auto"/>
        <w:left w:val="none" w:sz="0" w:space="0" w:color="auto"/>
        <w:bottom w:val="none" w:sz="0" w:space="0" w:color="auto"/>
        <w:right w:val="none" w:sz="0" w:space="0" w:color="auto"/>
      </w:divBdr>
      <w:divsChild>
        <w:div w:id="1833255548">
          <w:marLeft w:val="547"/>
          <w:marRight w:val="0"/>
          <w:marTop w:val="0"/>
          <w:marBottom w:val="0"/>
          <w:divBdr>
            <w:top w:val="none" w:sz="0" w:space="0" w:color="auto"/>
            <w:left w:val="none" w:sz="0" w:space="0" w:color="auto"/>
            <w:bottom w:val="none" w:sz="0" w:space="0" w:color="auto"/>
            <w:right w:val="none" w:sz="0" w:space="0" w:color="auto"/>
          </w:divBdr>
        </w:div>
        <w:div w:id="1550531454">
          <w:marLeft w:val="547"/>
          <w:marRight w:val="0"/>
          <w:marTop w:val="0"/>
          <w:marBottom w:val="0"/>
          <w:divBdr>
            <w:top w:val="none" w:sz="0" w:space="0" w:color="auto"/>
            <w:left w:val="none" w:sz="0" w:space="0" w:color="auto"/>
            <w:bottom w:val="none" w:sz="0" w:space="0" w:color="auto"/>
            <w:right w:val="none" w:sz="0" w:space="0" w:color="auto"/>
          </w:divBdr>
        </w:div>
      </w:divsChild>
    </w:div>
    <w:div w:id="1887373021">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 w:id="2043705580">
      <w:bodyDiv w:val="1"/>
      <w:marLeft w:val="0"/>
      <w:marRight w:val="0"/>
      <w:marTop w:val="0"/>
      <w:marBottom w:val="0"/>
      <w:divBdr>
        <w:top w:val="none" w:sz="0" w:space="0" w:color="auto"/>
        <w:left w:val="none" w:sz="0" w:space="0" w:color="auto"/>
        <w:bottom w:val="none" w:sz="0" w:space="0" w:color="auto"/>
        <w:right w:val="none" w:sz="0" w:space="0" w:color="auto"/>
      </w:divBdr>
      <w:divsChild>
        <w:div w:id="223873385">
          <w:marLeft w:val="547"/>
          <w:marRight w:val="0"/>
          <w:marTop w:val="0"/>
          <w:marBottom w:val="120"/>
          <w:divBdr>
            <w:top w:val="none" w:sz="0" w:space="0" w:color="auto"/>
            <w:left w:val="none" w:sz="0" w:space="0" w:color="auto"/>
            <w:bottom w:val="none" w:sz="0" w:space="0" w:color="auto"/>
            <w:right w:val="none" w:sz="0" w:space="0" w:color="auto"/>
          </w:divBdr>
        </w:div>
        <w:div w:id="1442912865">
          <w:marLeft w:val="547"/>
          <w:marRight w:val="0"/>
          <w:marTop w:val="0"/>
          <w:marBottom w:val="120"/>
          <w:divBdr>
            <w:top w:val="none" w:sz="0" w:space="0" w:color="auto"/>
            <w:left w:val="none" w:sz="0" w:space="0" w:color="auto"/>
            <w:bottom w:val="none" w:sz="0" w:space="0" w:color="auto"/>
            <w:right w:val="none" w:sz="0" w:space="0" w:color="auto"/>
          </w:divBdr>
        </w:div>
      </w:divsChild>
    </w:div>
    <w:div w:id="2075927579">
      <w:bodyDiv w:val="1"/>
      <w:marLeft w:val="0"/>
      <w:marRight w:val="0"/>
      <w:marTop w:val="0"/>
      <w:marBottom w:val="0"/>
      <w:divBdr>
        <w:top w:val="none" w:sz="0" w:space="0" w:color="auto"/>
        <w:left w:val="none" w:sz="0" w:space="0" w:color="auto"/>
        <w:bottom w:val="none" w:sz="0" w:space="0" w:color="auto"/>
        <w:right w:val="none" w:sz="0" w:space="0" w:color="auto"/>
      </w:divBdr>
      <w:divsChild>
        <w:div w:id="133721309">
          <w:marLeft w:val="547"/>
          <w:marRight w:val="0"/>
          <w:marTop w:val="0"/>
          <w:marBottom w:val="120"/>
          <w:divBdr>
            <w:top w:val="none" w:sz="0" w:space="0" w:color="auto"/>
            <w:left w:val="none" w:sz="0" w:space="0" w:color="auto"/>
            <w:bottom w:val="none" w:sz="0" w:space="0" w:color="auto"/>
            <w:right w:val="none" w:sz="0" w:space="0" w:color="auto"/>
          </w:divBdr>
        </w:div>
        <w:div w:id="134684704">
          <w:marLeft w:val="547"/>
          <w:marRight w:val="0"/>
          <w:marTop w:val="0"/>
          <w:marBottom w:val="120"/>
          <w:divBdr>
            <w:top w:val="none" w:sz="0" w:space="0" w:color="auto"/>
            <w:left w:val="none" w:sz="0" w:space="0" w:color="auto"/>
            <w:bottom w:val="none" w:sz="0" w:space="0" w:color="auto"/>
            <w:right w:val="none" w:sz="0" w:space="0" w:color="auto"/>
          </w:divBdr>
        </w:div>
      </w:divsChild>
    </w:div>
    <w:div w:id="2084715056">
      <w:bodyDiv w:val="1"/>
      <w:marLeft w:val="0"/>
      <w:marRight w:val="0"/>
      <w:marTop w:val="0"/>
      <w:marBottom w:val="0"/>
      <w:divBdr>
        <w:top w:val="none" w:sz="0" w:space="0" w:color="auto"/>
        <w:left w:val="none" w:sz="0" w:space="0" w:color="auto"/>
        <w:bottom w:val="none" w:sz="0" w:space="0" w:color="auto"/>
        <w:right w:val="none" w:sz="0" w:space="0" w:color="auto"/>
      </w:divBdr>
    </w:div>
    <w:div w:id="2119056809">
      <w:bodyDiv w:val="1"/>
      <w:marLeft w:val="0"/>
      <w:marRight w:val="0"/>
      <w:marTop w:val="0"/>
      <w:marBottom w:val="0"/>
      <w:divBdr>
        <w:top w:val="none" w:sz="0" w:space="0" w:color="auto"/>
        <w:left w:val="none" w:sz="0" w:space="0" w:color="auto"/>
        <w:bottom w:val="none" w:sz="0" w:space="0" w:color="auto"/>
        <w:right w:val="none" w:sz="0" w:space="0" w:color="auto"/>
      </w:divBdr>
      <w:divsChild>
        <w:div w:id="750782123">
          <w:marLeft w:val="547"/>
          <w:marRight w:val="0"/>
          <w:marTop w:val="0"/>
          <w:marBottom w:val="0"/>
          <w:divBdr>
            <w:top w:val="none" w:sz="0" w:space="0" w:color="auto"/>
            <w:left w:val="none" w:sz="0" w:space="0" w:color="auto"/>
            <w:bottom w:val="none" w:sz="0" w:space="0" w:color="auto"/>
            <w:right w:val="none" w:sz="0" w:space="0" w:color="auto"/>
          </w:divBdr>
        </w:div>
        <w:div w:id="2103719342">
          <w:marLeft w:val="547"/>
          <w:marRight w:val="0"/>
          <w:marTop w:val="0"/>
          <w:marBottom w:val="0"/>
          <w:divBdr>
            <w:top w:val="none" w:sz="0" w:space="0" w:color="auto"/>
            <w:left w:val="none" w:sz="0" w:space="0" w:color="auto"/>
            <w:bottom w:val="none" w:sz="0" w:space="0" w:color="auto"/>
            <w:right w:val="none" w:sz="0" w:space="0" w:color="auto"/>
          </w:divBdr>
        </w:div>
        <w:div w:id="6161843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DF2A4-4925-4EBC-9DE2-21D531E5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4</Pages>
  <Words>560</Words>
  <Characters>3530</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Volker Jungnickel</dc:creator>
  <cp:lastModifiedBy>Bober, Kai Lennert</cp:lastModifiedBy>
  <cp:revision>15</cp:revision>
  <cp:lastPrinted>2014-11-06T15:49:00Z</cp:lastPrinted>
  <dcterms:created xsi:type="dcterms:W3CDTF">2019-07-05T07:49:00Z</dcterms:created>
  <dcterms:modified xsi:type="dcterms:W3CDTF">2019-11-14T01:07:00Z</dcterms:modified>
  <cp:category>&lt;doc#&gt;</cp:category>
</cp:coreProperties>
</file>