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9743D5">
            <w:pPr>
              <w:pStyle w:val="covertext"/>
            </w:pPr>
            <w:r>
              <w:rPr>
                <w:b/>
                <w:sz w:val="28"/>
              </w:rPr>
              <w:fldChar w:fldCharType="begin"/>
            </w:r>
            <w:r>
              <w:rPr>
                <w:b/>
                <w:sz w:val="28"/>
              </w:rPr>
              <w:instrText xml:space="preserve"> TITLE  "Further HRP Comment Resolutions Vol2"  \* MERGEFORMAT </w:instrText>
            </w:r>
            <w:r>
              <w:rPr>
                <w:b/>
                <w:sz w:val="28"/>
              </w:rPr>
              <w:fldChar w:fldCharType="separate"/>
            </w:r>
            <w:r>
              <w:rPr>
                <w:b/>
                <w:sz w:val="28"/>
              </w:rPr>
              <w:t>Further HRP Comment Resolutions Vol</w:t>
            </w:r>
            <w:r w:rsidR="00D37264">
              <w:rPr>
                <w:b/>
                <w:sz w:val="28"/>
              </w:rPr>
              <w:t>3</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311C9">
            <w:pPr>
              <w:pStyle w:val="covertext"/>
            </w:pPr>
            <w:r w:rsidRPr="00521B6D">
              <w:t>[</w:t>
            </w:r>
            <w:r w:rsidR="00E272F1">
              <w:t>1</w:t>
            </w:r>
            <w:r w:rsidR="00D37264">
              <w:t>9</w:t>
            </w:r>
            <w:r w:rsidRPr="00521B6D">
              <w:t xml:space="preserve"> </w:t>
            </w:r>
            <w:r w:rsidR="00D37264">
              <w:t>September</w:t>
            </w:r>
            <w:r w:rsidRPr="00521B6D">
              <w:t>, 201</w:t>
            </w:r>
            <w:r>
              <w:t>9</w:t>
            </w:r>
            <w:r w:rsidRPr="00521B6D">
              <w:t>]</w:t>
            </w:r>
          </w:p>
        </w:tc>
        <w:bookmarkStart w:id="0" w:name="_GoBack"/>
        <w:bookmarkEnd w:id="0"/>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Pr="00250FC1" w:rsidRDefault="006D3AF6" w:rsidP="00250FC1">
            <w:pPr>
              <w:pStyle w:val="covertext"/>
              <w:spacing w:before="0" w:after="0"/>
            </w:pPr>
            <w:r>
              <w:t>Frank Leong (NXP Semiconductors)</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D37264">
      <w:pPr>
        <w:widowControl w:val="0"/>
        <w:spacing w:before="120"/>
        <w:rPr>
          <w:b/>
          <w:sz w:val="28"/>
        </w:rPr>
      </w:pPr>
      <w:r>
        <w:rPr>
          <w:b/>
          <w:sz w:val="28"/>
        </w:rPr>
        <w:br w:type="page"/>
      </w:r>
      <w:r w:rsidR="00C87094">
        <w:rPr>
          <w:b/>
          <w:sz w:val="28"/>
        </w:rPr>
        <w:lastRenderedPageBreak/>
        <w:t xml:space="preserve">This document provides resolutions to comments </w:t>
      </w:r>
      <w:r w:rsidR="00D37264" w:rsidRPr="00D37264">
        <w:rPr>
          <w:b/>
          <w:sz w:val="28"/>
        </w:rPr>
        <w:t>r1-0054</w:t>
      </w:r>
      <w:r w:rsidR="00D37264">
        <w:rPr>
          <w:b/>
          <w:sz w:val="28"/>
        </w:rPr>
        <w:t xml:space="preserve">, </w:t>
      </w:r>
      <w:r w:rsidR="00D37264" w:rsidRPr="00D37264">
        <w:rPr>
          <w:b/>
          <w:sz w:val="28"/>
        </w:rPr>
        <w:t>r1-0087</w:t>
      </w:r>
      <w:r w:rsidR="00D37264">
        <w:rPr>
          <w:b/>
          <w:sz w:val="28"/>
        </w:rPr>
        <w:t xml:space="preserve">, </w:t>
      </w:r>
      <w:r w:rsidR="00D37264" w:rsidRPr="00D37264">
        <w:rPr>
          <w:b/>
          <w:sz w:val="28"/>
        </w:rPr>
        <w:t>r1-0437</w:t>
      </w:r>
      <w:r w:rsidR="00D37264">
        <w:rPr>
          <w:b/>
          <w:sz w:val="28"/>
        </w:rPr>
        <w:t xml:space="preserve">, </w:t>
      </w:r>
      <w:r w:rsidR="00D37264" w:rsidRPr="00D37264">
        <w:rPr>
          <w:b/>
          <w:sz w:val="28"/>
        </w:rPr>
        <w:t>r1-0438</w:t>
      </w:r>
      <w:r w:rsidR="00D37264">
        <w:rPr>
          <w:b/>
          <w:sz w:val="28"/>
        </w:rPr>
        <w:t xml:space="preserve">, </w:t>
      </w:r>
      <w:r w:rsidR="00D37264" w:rsidRPr="00D37264">
        <w:rPr>
          <w:b/>
          <w:sz w:val="28"/>
        </w:rPr>
        <w:t>r1-0495</w:t>
      </w:r>
      <w:r w:rsidR="00D37264">
        <w:rPr>
          <w:b/>
          <w:sz w:val="28"/>
        </w:rPr>
        <w:t xml:space="preserve">, </w:t>
      </w:r>
      <w:r w:rsidR="00D37264" w:rsidRPr="00D37264">
        <w:rPr>
          <w:b/>
          <w:sz w:val="28"/>
        </w:rPr>
        <w:t>r1-0506</w:t>
      </w:r>
      <w:r w:rsidR="00D37264">
        <w:rPr>
          <w:b/>
          <w:sz w:val="28"/>
        </w:rPr>
        <w:t xml:space="preserve">, </w:t>
      </w:r>
      <w:r w:rsidR="00D37264" w:rsidRPr="00D37264">
        <w:rPr>
          <w:b/>
          <w:sz w:val="28"/>
        </w:rPr>
        <w:t>r1-0519</w:t>
      </w:r>
      <w:r w:rsidR="00D37264">
        <w:rPr>
          <w:b/>
          <w:sz w:val="28"/>
        </w:rPr>
        <w:t xml:space="preserve">, </w:t>
      </w:r>
      <w:r w:rsidR="00D37264" w:rsidRPr="00D37264">
        <w:rPr>
          <w:b/>
          <w:sz w:val="28"/>
        </w:rPr>
        <w:t>r1-0522</w:t>
      </w:r>
      <w:r w:rsidR="00D37264">
        <w:rPr>
          <w:b/>
          <w:sz w:val="28"/>
        </w:rPr>
        <w:t xml:space="preserve">, </w:t>
      </w:r>
      <w:r w:rsidR="00D37264" w:rsidRPr="00D37264">
        <w:rPr>
          <w:b/>
          <w:sz w:val="28"/>
        </w:rPr>
        <w:t>r1-0684</w:t>
      </w:r>
      <w:r w:rsidR="00D37264">
        <w:rPr>
          <w:b/>
          <w:sz w:val="28"/>
        </w:rPr>
        <w:t xml:space="preserve">, </w:t>
      </w:r>
      <w:r w:rsidR="00D37264" w:rsidRPr="00D37264">
        <w:rPr>
          <w:b/>
          <w:sz w:val="28"/>
        </w:rPr>
        <w:t>r1-0720</w:t>
      </w:r>
      <w:r w:rsidR="00D37264">
        <w:rPr>
          <w:b/>
          <w:sz w:val="28"/>
        </w:rPr>
        <w:t xml:space="preserve">, </w:t>
      </w:r>
      <w:r w:rsidR="00D37264" w:rsidRPr="00D37264">
        <w:rPr>
          <w:b/>
          <w:sz w:val="28"/>
        </w:rPr>
        <w:t>r1-0782</w:t>
      </w:r>
      <w:r w:rsidR="00D37264">
        <w:rPr>
          <w:b/>
          <w:sz w:val="28"/>
        </w:rPr>
        <w:t xml:space="preserve">, </w:t>
      </w:r>
      <w:r w:rsidR="00D37264" w:rsidRPr="00D37264">
        <w:rPr>
          <w:b/>
          <w:sz w:val="28"/>
        </w:rPr>
        <w:t>r1-0783</w:t>
      </w:r>
      <w:r w:rsidR="00D37264">
        <w:rPr>
          <w:b/>
          <w:sz w:val="28"/>
        </w:rPr>
        <w:t xml:space="preserve">, </w:t>
      </w:r>
      <w:r w:rsidR="00D37264" w:rsidRPr="00D37264">
        <w:rPr>
          <w:b/>
          <w:sz w:val="28"/>
        </w:rPr>
        <w:t>r1-0784</w:t>
      </w:r>
      <w:r w:rsidR="00D37264">
        <w:rPr>
          <w:b/>
          <w:sz w:val="28"/>
        </w:rPr>
        <w:t xml:space="preserve">, </w:t>
      </w:r>
      <w:r w:rsidR="00D37264" w:rsidRPr="00D37264">
        <w:rPr>
          <w:b/>
          <w:sz w:val="28"/>
        </w:rPr>
        <w:t>r1-0785</w:t>
      </w:r>
      <w:r w:rsidR="00D37264">
        <w:rPr>
          <w:b/>
          <w:sz w:val="28"/>
        </w:rPr>
        <w:t xml:space="preserve">, </w:t>
      </w:r>
      <w:r w:rsidR="00D37264" w:rsidRPr="00D37264">
        <w:rPr>
          <w:b/>
          <w:sz w:val="28"/>
        </w:rPr>
        <w:t>r1-0786</w:t>
      </w:r>
      <w:r w:rsidR="00D37264">
        <w:rPr>
          <w:b/>
          <w:sz w:val="28"/>
        </w:rPr>
        <w:t xml:space="preserve">, </w:t>
      </w:r>
      <w:r w:rsidR="00D37264" w:rsidRPr="00D37264">
        <w:rPr>
          <w:b/>
          <w:sz w:val="28"/>
        </w:rPr>
        <w:t>r1-0787</w:t>
      </w:r>
      <w:r w:rsidR="00D37264">
        <w:rPr>
          <w:b/>
          <w:sz w:val="28"/>
        </w:rPr>
        <w:t xml:space="preserve">, </w:t>
      </w:r>
      <w:r w:rsidR="00D37264" w:rsidRPr="00D37264">
        <w:rPr>
          <w:b/>
          <w:sz w:val="28"/>
        </w:rPr>
        <w:t>r1-0788</w:t>
      </w:r>
      <w:r w:rsidR="00D37264">
        <w:rPr>
          <w:b/>
          <w:sz w:val="28"/>
        </w:rPr>
        <w:t xml:space="preserve">, </w:t>
      </w:r>
      <w:r w:rsidR="00D37264" w:rsidRPr="00D37264">
        <w:rPr>
          <w:b/>
          <w:sz w:val="28"/>
        </w:rPr>
        <w:t>r1-0789</w:t>
      </w:r>
      <w:r w:rsidR="00D37264">
        <w:rPr>
          <w:b/>
          <w:sz w:val="28"/>
        </w:rPr>
        <w:t xml:space="preserve">, </w:t>
      </w:r>
      <w:r w:rsidR="00D37264" w:rsidRPr="00D37264">
        <w:rPr>
          <w:b/>
          <w:sz w:val="28"/>
        </w:rPr>
        <w:t>r1-0790</w:t>
      </w:r>
      <w:r w:rsidR="00D37264">
        <w:rPr>
          <w:b/>
          <w:sz w:val="28"/>
        </w:rPr>
        <w:t xml:space="preserve">, </w:t>
      </w:r>
      <w:r w:rsidR="00D37264" w:rsidRPr="00D37264">
        <w:rPr>
          <w:b/>
          <w:sz w:val="28"/>
        </w:rPr>
        <w:t>r1-0791</w:t>
      </w:r>
      <w:r w:rsidR="00D37264">
        <w:rPr>
          <w:b/>
          <w:sz w:val="28"/>
        </w:rPr>
        <w:t xml:space="preserve">, </w:t>
      </w:r>
      <w:r w:rsidR="00D37264" w:rsidRPr="00D37264">
        <w:rPr>
          <w:b/>
          <w:sz w:val="28"/>
        </w:rPr>
        <w:t>r1-0793</w:t>
      </w:r>
      <w:r w:rsidR="00D37264">
        <w:rPr>
          <w:b/>
          <w:sz w:val="28"/>
        </w:rPr>
        <w:t xml:space="preserve">, </w:t>
      </w:r>
      <w:r w:rsidR="00D37264" w:rsidRPr="00D37264">
        <w:rPr>
          <w:b/>
          <w:sz w:val="28"/>
        </w:rPr>
        <w:t>r1-0800</w:t>
      </w:r>
      <w:r w:rsidR="00D37264">
        <w:rPr>
          <w:b/>
          <w:sz w:val="28"/>
        </w:rPr>
        <w:t xml:space="preserve">, </w:t>
      </w:r>
      <w:r w:rsidR="00D37264" w:rsidRPr="00D37264">
        <w:rPr>
          <w:b/>
          <w:sz w:val="28"/>
        </w:rPr>
        <w:t>r1-0801</w:t>
      </w:r>
      <w:r w:rsidR="00D37264">
        <w:rPr>
          <w:b/>
          <w:sz w:val="28"/>
        </w:rPr>
        <w:t xml:space="preserve">, </w:t>
      </w:r>
      <w:r w:rsidR="00D37264" w:rsidRPr="00D37264">
        <w:rPr>
          <w:b/>
          <w:sz w:val="28"/>
        </w:rPr>
        <w:t>r1-0810</w:t>
      </w:r>
      <w:r w:rsidR="00D37264">
        <w:rPr>
          <w:b/>
          <w:sz w:val="28"/>
        </w:rPr>
        <w:t xml:space="preserve">, </w:t>
      </w:r>
      <w:r w:rsidR="00D37264" w:rsidRPr="00D37264">
        <w:rPr>
          <w:b/>
          <w:sz w:val="28"/>
        </w:rPr>
        <w:t>r1-0811</w:t>
      </w:r>
      <w:r w:rsidR="00C87094">
        <w:rPr>
          <w:b/>
          <w:sz w:val="28"/>
        </w:rPr>
        <w:t>.</w:t>
      </w:r>
    </w:p>
    <w:p w:rsidR="006311C9" w:rsidRDefault="006311C9" w:rsidP="006D3AF6">
      <w:pPr>
        <w:widowControl w:val="0"/>
        <w:spacing w:before="120"/>
        <w:rPr>
          <w:b/>
          <w:sz w:val="28"/>
        </w:rPr>
      </w:pPr>
    </w:p>
    <w:p w:rsidR="006311C9" w:rsidRDefault="006311C9"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D37264" w:rsidRPr="00D37264">
        <w:rPr>
          <w:b/>
          <w:sz w:val="28"/>
        </w:rPr>
        <w:t>r1-0054</w:t>
      </w:r>
      <w:r>
        <w:rPr>
          <w:b/>
          <w:sz w:val="28"/>
        </w:rPr>
        <w:t>.</w:t>
      </w:r>
    </w:p>
    <w:p w:rsidR="002C440D" w:rsidRDefault="002C440D" w:rsidP="006D3AF6">
      <w:pPr>
        <w:widowControl w:val="0"/>
        <w:spacing w:before="120"/>
        <w:rPr>
          <w:b/>
          <w:sz w:val="28"/>
        </w:rPr>
      </w:pPr>
    </w:p>
    <w:p w:rsidR="006311C9" w:rsidRDefault="006311C9" w:rsidP="006311C9">
      <w:pPr>
        <w:autoSpaceDE w:val="0"/>
        <w:autoSpaceDN w:val="0"/>
        <w:adjustRightInd w:val="0"/>
        <w:rPr>
          <w:rFonts w:eastAsia="TimesNewRoman"/>
          <w:b/>
          <w:i/>
          <w:color w:val="FF0000"/>
          <w:sz w:val="20"/>
        </w:rPr>
      </w:pPr>
      <w:r w:rsidRPr="0090329B">
        <w:rPr>
          <w:rFonts w:eastAsia="TimesNewRoman"/>
          <w:b/>
          <w:i/>
          <w:color w:val="FF0000"/>
          <w:sz w:val="20"/>
        </w:rPr>
        <w:t xml:space="preserve">Add the following </w:t>
      </w:r>
      <w:r w:rsidR="00336E1B">
        <w:rPr>
          <w:rFonts w:eastAsia="TimesNewRoman"/>
          <w:b/>
          <w:i/>
          <w:color w:val="FF0000"/>
          <w:sz w:val="20"/>
        </w:rPr>
        <w:t>at the end of 6.9.1.7</w:t>
      </w:r>
      <w:r w:rsidRPr="0090329B">
        <w:rPr>
          <w:rFonts w:eastAsia="TimesNewRoman"/>
          <w:b/>
          <w:i/>
          <w:color w:val="FF0000"/>
          <w:sz w:val="20"/>
        </w:rPr>
        <w:t>:</w:t>
      </w:r>
    </w:p>
    <w:p w:rsidR="006311C9" w:rsidRDefault="006311C9" w:rsidP="006311C9">
      <w:pPr>
        <w:autoSpaceDE w:val="0"/>
        <w:autoSpaceDN w:val="0"/>
        <w:adjustRightInd w:val="0"/>
        <w:rPr>
          <w:rFonts w:eastAsia="TimesNewRoman"/>
          <w:sz w:val="20"/>
        </w:rPr>
      </w:pPr>
    </w:p>
    <w:p w:rsidR="00336E1B" w:rsidRPr="007948ED" w:rsidRDefault="00336E1B" w:rsidP="006311C9">
      <w:pPr>
        <w:autoSpaceDE w:val="0"/>
        <w:autoSpaceDN w:val="0"/>
        <w:adjustRightInd w:val="0"/>
        <w:rPr>
          <w:rFonts w:eastAsia="TimesNewRoman"/>
          <w:sz w:val="20"/>
        </w:rPr>
      </w:pPr>
      <w:r w:rsidRPr="007948ED">
        <w:rPr>
          <w:rFonts w:eastAsia="TimesNewRoman"/>
          <w:sz w:val="20"/>
        </w:rPr>
        <w:t>For example: 0x79 means ci x 4, ci = 3 ns, cl = 20 %.</w:t>
      </w:r>
    </w:p>
    <w:p w:rsidR="00336E1B" w:rsidRPr="007948ED" w:rsidRDefault="00336E1B" w:rsidP="006311C9">
      <w:pPr>
        <w:autoSpaceDE w:val="0"/>
        <w:autoSpaceDN w:val="0"/>
        <w:adjustRightInd w:val="0"/>
        <w:rPr>
          <w:rFonts w:eastAsia="TimesNewRoman"/>
          <w:sz w:val="20"/>
        </w:rPr>
      </w:pPr>
    </w:p>
    <w:p w:rsidR="00336E1B" w:rsidRPr="007948ED" w:rsidRDefault="00336E1B" w:rsidP="006311C9">
      <w:pPr>
        <w:autoSpaceDE w:val="0"/>
        <w:autoSpaceDN w:val="0"/>
        <w:adjustRightInd w:val="0"/>
        <w:rPr>
          <w:rFonts w:eastAsia="TimesNewRoman"/>
          <w:sz w:val="20"/>
        </w:rPr>
      </w:pPr>
    </w:p>
    <w:p w:rsidR="00336E1B" w:rsidRPr="007948ED" w:rsidRDefault="00336E1B" w:rsidP="006311C9">
      <w:pPr>
        <w:autoSpaceDE w:val="0"/>
        <w:autoSpaceDN w:val="0"/>
        <w:adjustRightInd w:val="0"/>
        <w:rPr>
          <w:rFonts w:eastAsia="TimesNewRoman"/>
          <w:sz w:val="20"/>
        </w:rPr>
      </w:pPr>
    </w:p>
    <w:p w:rsidR="00336E1B" w:rsidRDefault="00336E1B" w:rsidP="00336E1B">
      <w:pPr>
        <w:widowControl w:val="0"/>
        <w:spacing w:before="120"/>
        <w:rPr>
          <w:b/>
          <w:sz w:val="28"/>
        </w:rPr>
      </w:pPr>
      <w:r>
        <w:rPr>
          <w:b/>
          <w:sz w:val="28"/>
        </w:rPr>
        <w:t xml:space="preserve">The following resolution applies to </w:t>
      </w:r>
      <w:r w:rsidRPr="00D37264">
        <w:rPr>
          <w:b/>
          <w:sz w:val="28"/>
        </w:rPr>
        <w:t>r1-00</w:t>
      </w:r>
      <w:r>
        <w:rPr>
          <w:b/>
          <w:sz w:val="28"/>
        </w:rPr>
        <w:t>87.</w:t>
      </w:r>
    </w:p>
    <w:p w:rsidR="00336E1B" w:rsidRDefault="00336E1B" w:rsidP="00336E1B">
      <w:pPr>
        <w:widowControl w:val="0"/>
        <w:spacing w:before="120"/>
        <w:rPr>
          <w:b/>
          <w:sz w:val="28"/>
        </w:rPr>
      </w:pPr>
    </w:p>
    <w:p w:rsidR="00336E1B" w:rsidRDefault="0055578D" w:rsidP="00336E1B">
      <w:pPr>
        <w:autoSpaceDE w:val="0"/>
        <w:autoSpaceDN w:val="0"/>
        <w:adjustRightInd w:val="0"/>
        <w:rPr>
          <w:rFonts w:eastAsia="TimesNewRoman"/>
          <w:b/>
          <w:i/>
          <w:color w:val="FF0000"/>
          <w:sz w:val="20"/>
        </w:rPr>
      </w:pPr>
      <w:r>
        <w:rPr>
          <w:rFonts w:eastAsia="TimesNewRoman"/>
          <w:b/>
          <w:i/>
          <w:color w:val="FF0000"/>
          <w:sz w:val="20"/>
        </w:rPr>
        <w:t>In</w:t>
      </w:r>
      <w:r w:rsidR="00336E1B">
        <w:rPr>
          <w:rFonts w:eastAsia="TimesNewRoman"/>
          <w:b/>
          <w:i/>
          <w:color w:val="FF0000"/>
          <w:sz w:val="20"/>
        </w:rPr>
        <w:t xml:space="preserve"> 6.9.6.1</w:t>
      </w:r>
      <w:r>
        <w:rPr>
          <w:rFonts w:eastAsia="TimesNewRoman"/>
          <w:b/>
          <w:i/>
          <w:color w:val="FF0000"/>
          <w:sz w:val="20"/>
        </w:rPr>
        <w:t xml:space="preserve">, </w:t>
      </w:r>
      <w:r w:rsidR="00991BA7">
        <w:rPr>
          <w:rFonts w:eastAsia="TimesNewRoman"/>
          <w:b/>
          <w:i/>
          <w:color w:val="FF0000"/>
          <w:sz w:val="20"/>
        </w:rPr>
        <w:t>chang</w:t>
      </w:r>
      <w:r>
        <w:rPr>
          <w:rFonts w:eastAsia="TimesNewRoman"/>
          <w:b/>
          <w:i/>
          <w:color w:val="FF0000"/>
          <w:sz w:val="20"/>
        </w:rPr>
        <w:t>e Lines 3-8 on Page 16 as follows</w:t>
      </w:r>
      <w:r w:rsidR="00336E1B" w:rsidRPr="0090329B">
        <w:rPr>
          <w:rFonts w:eastAsia="TimesNewRoman"/>
          <w:b/>
          <w:i/>
          <w:color w:val="FF0000"/>
          <w:sz w:val="20"/>
        </w:rPr>
        <w:t>:</w:t>
      </w:r>
    </w:p>
    <w:p w:rsidR="00336E1B" w:rsidRDefault="00336E1B" w:rsidP="00336E1B">
      <w:pPr>
        <w:autoSpaceDE w:val="0"/>
        <w:autoSpaceDN w:val="0"/>
        <w:adjustRightInd w:val="0"/>
        <w:rPr>
          <w:rFonts w:eastAsia="TimesNewRoman"/>
          <w:sz w:val="20"/>
        </w:rPr>
      </w:pPr>
    </w:p>
    <w:p w:rsidR="00336E1B" w:rsidRPr="0055578D" w:rsidRDefault="0055578D" w:rsidP="00336E1B">
      <w:pPr>
        <w:autoSpaceDE w:val="0"/>
        <w:autoSpaceDN w:val="0"/>
        <w:adjustRightInd w:val="0"/>
        <w:rPr>
          <w:rFonts w:eastAsia="TimesNewRoman"/>
          <w:sz w:val="20"/>
        </w:rPr>
      </w:pPr>
      <w:r w:rsidRPr="0055578D">
        <w:rPr>
          <w:rFonts w:eastAsia="TimesNewRoman"/>
          <w:sz w:val="20"/>
        </w:rPr>
        <w:t xml:space="preserve">Irrespective of whether the timestamps are coming from an RDEV or an ERDEV, the same procedures apply, (i.e., any reference to RDEVs also applies to ERDEVs), however </w:t>
      </w:r>
      <w:r w:rsidRPr="0055578D">
        <w:rPr>
          <w:rFonts w:eastAsia="TimesNewRoman"/>
          <w:strike/>
          <w:sz w:val="20"/>
        </w:rPr>
        <w:t xml:space="preserve">in the case of </w:t>
      </w:r>
      <w:r w:rsidRPr="008866DE">
        <w:rPr>
          <w:rFonts w:eastAsia="TimesNewRoman"/>
          <w:strike/>
          <w:sz w:val="20"/>
        </w:rPr>
        <w:t>the</w:t>
      </w:r>
      <w:r w:rsidR="008866DE" w:rsidRPr="008866DE">
        <w:rPr>
          <w:rFonts w:eastAsia="TimesNewRoman"/>
          <w:sz w:val="20"/>
          <w:u w:val="single"/>
        </w:rPr>
        <w:t>an</w:t>
      </w:r>
      <w:r w:rsidRPr="0055578D">
        <w:rPr>
          <w:rFonts w:eastAsia="TimesNewRoman"/>
          <w:sz w:val="20"/>
        </w:rPr>
        <w:t xml:space="preserve"> ERDEV </w:t>
      </w:r>
      <w:r>
        <w:rPr>
          <w:rFonts w:eastAsia="TimesNewRoman"/>
          <w:sz w:val="20"/>
          <w:u w:val="single"/>
        </w:rPr>
        <w:t xml:space="preserve">provides additional </w:t>
      </w:r>
      <w:r w:rsidR="008866DE">
        <w:rPr>
          <w:rFonts w:eastAsia="TimesNewRoman"/>
          <w:sz w:val="20"/>
          <w:u w:val="single"/>
        </w:rPr>
        <w:t>primitive</w:t>
      </w:r>
      <w:r>
        <w:rPr>
          <w:rFonts w:eastAsia="TimesNewRoman"/>
          <w:sz w:val="20"/>
          <w:u w:val="single"/>
        </w:rPr>
        <w:t xml:space="preserve">s </w:t>
      </w:r>
      <w:r w:rsidR="008866DE">
        <w:rPr>
          <w:rFonts w:eastAsia="TimesNewRoman"/>
          <w:sz w:val="20"/>
          <w:u w:val="single"/>
        </w:rPr>
        <w:t xml:space="preserve">based on which </w:t>
      </w:r>
      <w:r w:rsidRPr="0055578D">
        <w:rPr>
          <w:rFonts w:eastAsia="TimesNewRoman"/>
          <w:sz w:val="20"/>
        </w:rPr>
        <w:t xml:space="preserve">the higher layer </w:t>
      </w:r>
      <w:r w:rsidRPr="008866DE">
        <w:rPr>
          <w:rFonts w:eastAsia="TimesNewRoman"/>
          <w:strike/>
          <w:sz w:val="20"/>
        </w:rPr>
        <w:t>may</w:t>
      </w:r>
      <w:r w:rsidR="008866DE">
        <w:rPr>
          <w:rFonts w:eastAsia="TimesNewRoman"/>
          <w:sz w:val="20"/>
          <w:u w:val="single"/>
        </w:rPr>
        <w:t>can</w:t>
      </w:r>
      <w:r w:rsidRPr="0055578D">
        <w:rPr>
          <w:rFonts w:eastAsia="TimesNewRoman"/>
          <w:sz w:val="20"/>
        </w:rPr>
        <w:t xml:space="preserve"> modify the action it takes (e.g., replying in a ranging exchange, or considering the ranging result as good) depending on its validation of the timestamp result. For example, in the case of the HRP-ERDEV this may be done using the RangingStsS1Fom parameter(s) of the MCPS-DATA.indication primitive.</w:t>
      </w:r>
    </w:p>
    <w:p w:rsidR="00336E1B" w:rsidRDefault="00336E1B" w:rsidP="00336E1B">
      <w:pPr>
        <w:autoSpaceDE w:val="0"/>
        <w:autoSpaceDN w:val="0"/>
        <w:adjustRightInd w:val="0"/>
        <w:rPr>
          <w:rFonts w:eastAsia="TimesNewRoman"/>
          <w:sz w:val="20"/>
        </w:rPr>
      </w:pPr>
    </w:p>
    <w:p w:rsidR="00B90322" w:rsidRDefault="00B90322" w:rsidP="006311C9">
      <w:pPr>
        <w:autoSpaceDE w:val="0"/>
        <w:autoSpaceDN w:val="0"/>
        <w:adjustRightInd w:val="0"/>
        <w:rPr>
          <w:rFonts w:eastAsia="TimesNewRoman"/>
          <w:sz w:val="20"/>
        </w:rPr>
      </w:pPr>
    </w:p>
    <w:p w:rsidR="00B90322" w:rsidRPr="0055578D" w:rsidRDefault="00B90322" w:rsidP="006311C9">
      <w:pPr>
        <w:autoSpaceDE w:val="0"/>
        <w:autoSpaceDN w:val="0"/>
        <w:adjustRightInd w:val="0"/>
        <w:rPr>
          <w:rFonts w:eastAsia="TimesNewRoman"/>
          <w:sz w:val="20"/>
        </w:rPr>
      </w:pPr>
    </w:p>
    <w:p w:rsidR="00336E1B" w:rsidRPr="0055578D" w:rsidRDefault="00336E1B" w:rsidP="006311C9">
      <w:pPr>
        <w:autoSpaceDE w:val="0"/>
        <w:autoSpaceDN w:val="0"/>
        <w:adjustRightInd w:val="0"/>
        <w:rPr>
          <w:rFonts w:eastAsia="TimesNewRoman"/>
          <w:sz w:val="20"/>
        </w:rPr>
      </w:pPr>
    </w:p>
    <w:p w:rsidR="008866DE" w:rsidRDefault="008866DE" w:rsidP="008866DE">
      <w:pPr>
        <w:widowControl w:val="0"/>
        <w:spacing w:before="120"/>
        <w:rPr>
          <w:b/>
          <w:sz w:val="28"/>
        </w:rPr>
      </w:pPr>
      <w:r>
        <w:rPr>
          <w:b/>
          <w:sz w:val="28"/>
        </w:rPr>
        <w:t xml:space="preserve">The following resolution applies to </w:t>
      </w:r>
      <w:r w:rsidRPr="00D37264">
        <w:rPr>
          <w:b/>
          <w:sz w:val="28"/>
        </w:rPr>
        <w:t>r1-0437</w:t>
      </w:r>
      <w:r>
        <w:rPr>
          <w:b/>
          <w:sz w:val="28"/>
        </w:rPr>
        <w:t xml:space="preserve">, </w:t>
      </w:r>
      <w:r w:rsidRPr="00D37264">
        <w:rPr>
          <w:b/>
          <w:sz w:val="28"/>
        </w:rPr>
        <w:t>r1-0438</w:t>
      </w:r>
      <w:r>
        <w:rPr>
          <w:b/>
          <w:sz w:val="28"/>
        </w:rPr>
        <w:t>.</w:t>
      </w:r>
    </w:p>
    <w:p w:rsidR="008866DE" w:rsidRDefault="008866DE" w:rsidP="008866DE">
      <w:pPr>
        <w:widowControl w:val="0"/>
        <w:spacing w:before="120"/>
        <w:rPr>
          <w:b/>
          <w:sz w:val="28"/>
        </w:rPr>
      </w:pPr>
    </w:p>
    <w:p w:rsidR="008866DE" w:rsidRDefault="008866DE" w:rsidP="008866DE">
      <w:pPr>
        <w:autoSpaceDE w:val="0"/>
        <w:autoSpaceDN w:val="0"/>
        <w:adjustRightInd w:val="0"/>
        <w:rPr>
          <w:rFonts w:eastAsia="TimesNewRoman"/>
          <w:b/>
          <w:i/>
          <w:color w:val="FF0000"/>
          <w:sz w:val="20"/>
        </w:rPr>
      </w:pPr>
      <w:r>
        <w:rPr>
          <w:rFonts w:eastAsia="TimesNewRoman"/>
          <w:b/>
          <w:i/>
          <w:color w:val="FF0000"/>
          <w:sz w:val="20"/>
        </w:rPr>
        <w:t xml:space="preserve">In 7.4.4.34, replace </w:t>
      </w:r>
      <w:r w:rsidR="00982851">
        <w:rPr>
          <w:rFonts w:eastAsia="TimesNewRoman"/>
          <w:b/>
          <w:i/>
          <w:color w:val="FF0000"/>
          <w:sz w:val="20"/>
        </w:rPr>
        <w:t>Figure 48</w:t>
      </w:r>
      <w:r>
        <w:rPr>
          <w:rFonts w:eastAsia="TimesNewRoman"/>
          <w:b/>
          <w:i/>
          <w:color w:val="FF0000"/>
          <w:sz w:val="20"/>
        </w:rPr>
        <w:t xml:space="preserve"> as follows</w:t>
      </w:r>
      <w:r w:rsidRPr="0090329B">
        <w:rPr>
          <w:rFonts w:eastAsia="TimesNewRoman"/>
          <w:b/>
          <w:i/>
          <w:color w:val="FF0000"/>
          <w:sz w:val="20"/>
        </w:rPr>
        <w:t>:</w:t>
      </w:r>
    </w:p>
    <w:p w:rsidR="008866DE" w:rsidRDefault="008866DE" w:rsidP="008866DE">
      <w:pPr>
        <w:autoSpaceDE w:val="0"/>
        <w:autoSpaceDN w:val="0"/>
        <w:adjustRightInd w:val="0"/>
        <w:rPr>
          <w:rFonts w:eastAsia="TimesNewRoman"/>
          <w:sz w:val="20"/>
        </w:rPr>
      </w:pPr>
    </w:p>
    <w:p w:rsidR="00B90322" w:rsidRDefault="00B90322" w:rsidP="00B90322">
      <w:pPr>
        <w:pStyle w:val="ListParagraph"/>
        <w:rPr>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64"/>
        <w:gridCol w:w="663"/>
        <w:gridCol w:w="804"/>
        <w:gridCol w:w="780"/>
        <w:gridCol w:w="807"/>
        <w:gridCol w:w="742"/>
        <w:gridCol w:w="828"/>
        <w:gridCol w:w="780"/>
        <w:gridCol w:w="790"/>
        <w:gridCol w:w="790"/>
        <w:gridCol w:w="852"/>
        <w:gridCol w:w="706"/>
      </w:tblGrid>
      <w:tr w:rsidR="00B90322" w:rsidTr="00B90322">
        <w:tc>
          <w:tcPr>
            <w:tcW w:w="630" w:type="dxa"/>
            <w:shd w:val="clear" w:color="auto" w:fill="auto"/>
          </w:tcPr>
          <w:p w:rsidR="00B90322" w:rsidRPr="005C4445" w:rsidRDefault="00B90322" w:rsidP="00172C7F">
            <w:pPr>
              <w:pStyle w:val="ListParagraph"/>
              <w:ind w:left="0"/>
              <w:jc w:val="center"/>
              <w:rPr>
                <w:rFonts w:eastAsia="Calibri"/>
                <w:sz w:val="20"/>
                <w:szCs w:val="20"/>
              </w:rPr>
            </w:pPr>
            <w:r w:rsidRPr="005C4445">
              <w:rPr>
                <w:rFonts w:eastAsia="Calibri"/>
                <w:sz w:val="20"/>
                <w:szCs w:val="20"/>
              </w:rPr>
              <w:t xml:space="preserve">Bits: </w:t>
            </w:r>
            <w:r>
              <w:rPr>
                <w:rFonts w:eastAsia="Calibri"/>
                <w:sz w:val="20"/>
                <w:szCs w:val="20"/>
              </w:rPr>
              <w:t>2</w:t>
            </w:r>
          </w:p>
        </w:tc>
        <w:tc>
          <w:tcPr>
            <w:tcW w:w="764" w:type="dxa"/>
            <w:shd w:val="clear" w:color="auto" w:fill="auto"/>
          </w:tcPr>
          <w:p w:rsidR="00B90322" w:rsidRPr="005C4445" w:rsidRDefault="00B90322" w:rsidP="00172C7F">
            <w:pPr>
              <w:pStyle w:val="ListParagraph"/>
              <w:ind w:left="0"/>
              <w:jc w:val="center"/>
              <w:rPr>
                <w:rFonts w:eastAsia="Calibri"/>
                <w:sz w:val="20"/>
                <w:szCs w:val="20"/>
              </w:rPr>
            </w:pPr>
            <w:r>
              <w:rPr>
                <w:rFonts w:eastAsia="Calibri"/>
                <w:sz w:val="20"/>
                <w:szCs w:val="20"/>
              </w:rPr>
              <w:t>2</w:t>
            </w:r>
          </w:p>
        </w:tc>
        <w:tc>
          <w:tcPr>
            <w:tcW w:w="663" w:type="dxa"/>
          </w:tcPr>
          <w:p w:rsidR="00B90322" w:rsidRPr="005C4445" w:rsidRDefault="00B90322" w:rsidP="00172C7F">
            <w:pPr>
              <w:pStyle w:val="ListParagraph"/>
              <w:ind w:left="0"/>
              <w:jc w:val="center"/>
              <w:rPr>
                <w:rFonts w:eastAsia="Calibri"/>
                <w:sz w:val="20"/>
                <w:szCs w:val="20"/>
              </w:rPr>
            </w:pPr>
            <w:r>
              <w:rPr>
                <w:rFonts w:eastAsia="Calibri"/>
                <w:sz w:val="20"/>
                <w:szCs w:val="20"/>
              </w:rPr>
              <w:t>2</w:t>
            </w:r>
          </w:p>
        </w:tc>
        <w:tc>
          <w:tcPr>
            <w:tcW w:w="804" w:type="dxa"/>
          </w:tcPr>
          <w:p w:rsidR="00B90322" w:rsidRPr="005C4445" w:rsidRDefault="00B90322" w:rsidP="00172C7F">
            <w:pPr>
              <w:pStyle w:val="ListParagraph"/>
              <w:ind w:left="0"/>
              <w:jc w:val="center"/>
              <w:rPr>
                <w:rFonts w:eastAsia="Calibri"/>
                <w:sz w:val="20"/>
                <w:szCs w:val="20"/>
              </w:rPr>
            </w:pPr>
            <w:r>
              <w:rPr>
                <w:rFonts w:eastAsia="Calibri"/>
                <w:sz w:val="20"/>
                <w:szCs w:val="20"/>
              </w:rPr>
              <w:t>1</w:t>
            </w:r>
          </w:p>
        </w:tc>
        <w:tc>
          <w:tcPr>
            <w:tcW w:w="780" w:type="dxa"/>
          </w:tcPr>
          <w:p w:rsidR="00B90322" w:rsidRPr="005C4445" w:rsidRDefault="00B90322" w:rsidP="00172C7F">
            <w:pPr>
              <w:pStyle w:val="ListParagraph"/>
              <w:ind w:left="0"/>
              <w:jc w:val="center"/>
              <w:rPr>
                <w:rFonts w:eastAsia="Calibri"/>
                <w:sz w:val="20"/>
                <w:szCs w:val="20"/>
              </w:rPr>
            </w:pPr>
            <w:r>
              <w:rPr>
                <w:rFonts w:eastAsia="Calibri"/>
                <w:sz w:val="20"/>
                <w:szCs w:val="20"/>
              </w:rPr>
              <w:t>1</w:t>
            </w:r>
          </w:p>
        </w:tc>
        <w:tc>
          <w:tcPr>
            <w:tcW w:w="807" w:type="dxa"/>
          </w:tcPr>
          <w:p w:rsidR="00B90322" w:rsidRPr="005C4445" w:rsidRDefault="00B90322" w:rsidP="00172C7F">
            <w:pPr>
              <w:pStyle w:val="ListParagraph"/>
              <w:ind w:left="0"/>
              <w:jc w:val="center"/>
              <w:rPr>
                <w:rFonts w:eastAsia="Calibri"/>
                <w:sz w:val="20"/>
                <w:szCs w:val="20"/>
              </w:rPr>
            </w:pPr>
            <w:r>
              <w:rPr>
                <w:rFonts w:eastAsia="Calibri"/>
                <w:sz w:val="20"/>
                <w:szCs w:val="20"/>
              </w:rPr>
              <w:t>1</w:t>
            </w:r>
          </w:p>
        </w:tc>
        <w:tc>
          <w:tcPr>
            <w:tcW w:w="742" w:type="dxa"/>
            <w:shd w:val="clear" w:color="auto" w:fill="auto"/>
          </w:tcPr>
          <w:p w:rsidR="00B90322" w:rsidRPr="005C4445" w:rsidRDefault="00B90322" w:rsidP="00172C7F">
            <w:pPr>
              <w:pStyle w:val="ListParagraph"/>
              <w:ind w:left="0"/>
              <w:jc w:val="center"/>
              <w:rPr>
                <w:rFonts w:eastAsia="Calibri"/>
                <w:sz w:val="20"/>
                <w:szCs w:val="20"/>
              </w:rPr>
            </w:pPr>
            <w:r>
              <w:rPr>
                <w:rFonts w:eastAsia="Calibri"/>
                <w:sz w:val="20"/>
                <w:szCs w:val="20"/>
              </w:rPr>
              <w:t>6</w:t>
            </w:r>
          </w:p>
        </w:tc>
        <w:tc>
          <w:tcPr>
            <w:tcW w:w="828" w:type="dxa"/>
            <w:shd w:val="clear" w:color="auto" w:fill="auto"/>
          </w:tcPr>
          <w:p w:rsidR="00B90322" w:rsidRPr="005C4445" w:rsidRDefault="00B90322" w:rsidP="00172C7F">
            <w:pPr>
              <w:pStyle w:val="ListParagraph"/>
              <w:ind w:left="0"/>
              <w:jc w:val="center"/>
              <w:rPr>
                <w:rFonts w:eastAsia="Calibri"/>
                <w:sz w:val="20"/>
                <w:szCs w:val="20"/>
              </w:rPr>
            </w:pPr>
            <w:r w:rsidRPr="005C4445">
              <w:rPr>
                <w:rFonts w:eastAsia="Calibri"/>
                <w:sz w:val="20"/>
                <w:szCs w:val="20"/>
              </w:rPr>
              <w:t>1</w:t>
            </w:r>
          </w:p>
        </w:tc>
        <w:tc>
          <w:tcPr>
            <w:tcW w:w="780" w:type="dxa"/>
            <w:shd w:val="clear" w:color="auto" w:fill="auto"/>
          </w:tcPr>
          <w:p w:rsidR="00B90322" w:rsidRPr="005C4445" w:rsidRDefault="00B90322" w:rsidP="00172C7F">
            <w:pPr>
              <w:pStyle w:val="ListParagraph"/>
              <w:ind w:left="0"/>
              <w:jc w:val="center"/>
              <w:rPr>
                <w:rFonts w:eastAsia="Calibri"/>
                <w:sz w:val="20"/>
                <w:szCs w:val="20"/>
              </w:rPr>
            </w:pPr>
            <w:r w:rsidRPr="005C4445">
              <w:rPr>
                <w:rFonts w:eastAsia="Calibri"/>
                <w:sz w:val="20"/>
                <w:szCs w:val="20"/>
              </w:rPr>
              <w:t xml:space="preserve">Octets: </w:t>
            </w:r>
            <w:r>
              <w:rPr>
                <w:rFonts w:eastAsia="Calibri"/>
                <w:sz w:val="20"/>
                <w:szCs w:val="20"/>
              </w:rPr>
              <w:t>1</w:t>
            </w:r>
          </w:p>
        </w:tc>
        <w:tc>
          <w:tcPr>
            <w:tcW w:w="790" w:type="dxa"/>
          </w:tcPr>
          <w:p w:rsidR="00B90322" w:rsidRDefault="00B90322" w:rsidP="00172C7F">
            <w:pPr>
              <w:pStyle w:val="ListParagraph"/>
              <w:ind w:left="0"/>
              <w:jc w:val="center"/>
              <w:rPr>
                <w:rFonts w:eastAsia="Calibri"/>
                <w:sz w:val="20"/>
                <w:szCs w:val="20"/>
              </w:rPr>
            </w:pPr>
            <w:r>
              <w:rPr>
                <w:rFonts w:eastAsia="Calibri"/>
                <w:sz w:val="20"/>
                <w:szCs w:val="20"/>
              </w:rPr>
              <w:t>0</w:t>
            </w:r>
            <w:r w:rsidRPr="005C4445">
              <w:rPr>
                <w:rFonts w:eastAsia="Calibri"/>
                <w:sz w:val="20"/>
                <w:szCs w:val="20"/>
              </w:rPr>
              <w:t>/</w:t>
            </w:r>
            <w:r>
              <w:rPr>
                <w:rFonts w:eastAsia="Calibri"/>
                <w:sz w:val="20"/>
                <w:szCs w:val="20"/>
              </w:rPr>
              <w:t>3</w:t>
            </w:r>
          </w:p>
        </w:tc>
        <w:tc>
          <w:tcPr>
            <w:tcW w:w="790" w:type="dxa"/>
          </w:tcPr>
          <w:p w:rsidR="00B90322" w:rsidRPr="005C4445" w:rsidRDefault="00B90322" w:rsidP="00172C7F">
            <w:pPr>
              <w:pStyle w:val="ListParagraph"/>
              <w:ind w:left="0"/>
              <w:jc w:val="center"/>
              <w:rPr>
                <w:rFonts w:eastAsia="Calibri"/>
                <w:sz w:val="20"/>
                <w:szCs w:val="20"/>
              </w:rPr>
            </w:pPr>
            <w:r>
              <w:rPr>
                <w:rFonts w:eastAsia="Calibri"/>
                <w:sz w:val="20"/>
                <w:szCs w:val="20"/>
              </w:rPr>
              <w:t>0/1</w:t>
            </w:r>
          </w:p>
        </w:tc>
        <w:tc>
          <w:tcPr>
            <w:tcW w:w="852" w:type="dxa"/>
            <w:shd w:val="clear" w:color="auto" w:fill="auto"/>
          </w:tcPr>
          <w:p w:rsidR="00B90322" w:rsidRPr="005C4445" w:rsidRDefault="00B90322" w:rsidP="00172C7F">
            <w:pPr>
              <w:pStyle w:val="ListParagraph"/>
              <w:ind w:left="0"/>
              <w:jc w:val="center"/>
              <w:rPr>
                <w:rFonts w:eastAsia="Calibri"/>
                <w:sz w:val="20"/>
                <w:szCs w:val="20"/>
              </w:rPr>
            </w:pPr>
            <w:r w:rsidRPr="005C4445">
              <w:rPr>
                <w:rFonts w:eastAsia="Calibri"/>
                <w:sz w:val="20"/>
                <w:szCs w:val="20"/>
              </w:rPr>
              <w:t>0/</w:t>
            </w:r>
            <w:r>
              <w:rPr>
                <w:rFonts w:eastAsia="Calibri"/>
                <w:sz w:val="20"/>
                <w:szCs w:val="20"/>
              </w:rPr>
              <w:t>2</w:t>
            </w:r>
          </w:p>
        </w:tc>
        <w:tc>
          <w:tcPr>
            <w:tcW w:w="409" w:type="dxa"/>
            <w:shd w:val="clear" w:color="auto" w:fill="auto"/>
          </w:tcPr>
          <w:p w:rsidR="00B90322" w:rsidRPr="005C4445" w:rsidRDefault="00B90322" w:rsidP="00172C7F">
            <w:pPr>
              <w:pStyle w:val="ListParagraph"/>
              <w:ind w:left="0"/>
              <w:jc w:val="center"/>
              <w:rPr>
                <w:rFonts w:eastAsia="Calibri"/>
                <w:sz w:val="20"/>
                <w:szCs w:val="20"/>
              </w:rPr>
            </w:pPr>
            <w:r w:rsidRPr="005C4445">
              <w:rPr>
                <w:rFonts w:eastAsia="Calibri"/>
                <w:sz w:val="20"/>
                <w:szCs w:val="20"/>
              </w:rPr>
              <w:t>0/4</w:t>
            </w:r>
          </w:p>
        </w:tc>
      </w:tr>
      <w:tr w:rsidR="00B90322" w:rsidRPr="00B90322" w:rsidTr="00B90322">
        <w:tc>
          <w:tcPr>
            <w:tcW w:w="630"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Multi-node Mode</w:t>
            </w:r>
          </w:p>
        </w:tc>
        <w:tc>
          <w:tcPr>
            <w:tcW w:w="764"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Ranging Round Usage</w:t>
            </w:r>
          </w:p>
        </w:tc>
        <w:tc>
          <w:tcPr>
            <w:tcW w:w="663"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STS Packet Config</w:t>
            </w:r>
          </w:p>
        </w:tc>
        <w:tc>
          <w:tcPr>
            <w:tcW w:w="804"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Schedule Mode</w:t>
            </w:r>
          </w:p>
        </w:tc>
        <w:tc>
          <w:tcPr>
            <w:tcW w:w="780"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Deferred Mode</w:t>
            </w:r>
          </w:p>
        </w:tc>
        <w:tc>
          <w:tcPr>
            <w:tcW w:w="807"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Time Structure Indicator</w:t>
            </w:r>
          </w:p>
        </w:tc>
        <w:tc>
          <w:tcPr>
            <w:tcW w:w="742"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RCM Validity Rounds</w:t>
            </w:r>
          </w:p>
        </w:tc>
        <w:tc>
          <w:tcPr>
            <w:tcW w:w="828"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MMRCR</w:t>
            </w:r>
          </w:p>
        </w:tc>
        <w:tc>
          <w:tcPr>
            <w:tcW w:w="780"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Content Control</w:t>
            </w:r>
          </w:p>
        </w:tc>
        <w:tc>
          <w:tcPr>
            <w:tcW w:w="790"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Ranging Block Duration</w:t>
            </w:r>
          </w:p>
        </w:tc>
        <w:tc>
          <w:tcPr>
            <w:tcW w:w="790" w:type="dxa"/>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Ranging Round Duration</w:t>
            </w:r>
          </w:p>
        </w:tc>
        <w:tc>
          <w:tcPr>
            <w:tcW w:w="852"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Ranging Slot Dusration</w:t>
            </w:r>
          </w:p>
        </w:tc>
        <w:tc>
          <w:tcPr>
            <w:tcW w:w="409" w:type="dxa"/>
            <w:shd w:val="clear" w:color="auto" w:fill="auto"/>
          </w:tcPr>
          <w:p w:rsidR="00B90322" w:rsidRPr="00B90322" w:rsidRDefault="00B90322" w:rsidP="00172C7F">
            <w:pPr>
              <w:pStyle w:val="ListParagraph"/>
              <w:ind w:left="0"/>
              <w:jc w:val="center"/>
              <w:rPr>
                <w:rFonts w:eastAsia="Calibri"/>
                <w:sz w:val="16"/>
                <w:szCs w:val="16"/>
              </w:rPr>
            </w:pPr>
            <w:r w:rsidRPr="00B90322">
              <w:rPr>
                <w:rFonts w:eastAsia="Calibri"/>
                <w:sz w:val="16"/>
                <w:szCs w:val="16"/>
              </w:rPr>
              <w:t>Session ID</w:t>
            </w:r>
          </w:p>
        </w:tc>
      </w:tr>
    </w:tbl>
    <w:p w:rsidR="00B90322" w:rsidRDefault="00B90322" w:rsidP="00B90322">
      <w:pPr>
        <w:pStyle w:val="ListParagraph"/>
        <w:rPr>
          <w:sz w:val="20"/>
          <w:szCs w:val="20"/>
        </w:rPr>
      </w:pPr>
    </w:p>
    <w:p w:rsidR="00B90322" w:rsidRPr="00317638" w:rsidRDefault="00B90322" w:rsidP="00B90322">
      <w:pPr>
        <w:pStyle w:val="ListParagraph"/>
        <w:jc w:val="center"/>
        <w:rPr>
          <w:b/>
          <w:sz w:val="20"/>
          <w:szCs w:val="20"/>
        </w:rPr>
      </w:pPr>
      <w:r>
        <w:rPr>
          <w:b/>
          <w:sz w:val="20"/>
          <w:szCs w:val="20"/>
        </w:rPr>
        <w:t xml:space="preserve">Figure </w:t>
      </w:r>
      <w:r w:rsidR="00982851">
        <w:rPr>
          <w:b/>
          <w:color w:val="FF0000"/>
          <w:sz w:val="20"/>
          <w:szCs w:val="20"/>
        </w:rPr>
        <w:t>48</w:t>
      </w:r>
      <w:r>
        <w:rPr>
          <w:b/>
          <w:sz w:val="20"/>
          <w:szCs w:val="20"/>
        </w:rPr>
        <w:t xml:space="preserve"> </w:t>
      </w:r>
      <w:r w:rsidRPr="00317638">
        <w:rPr>
          <w:b/>
          <w:sz w:val="20"/>
          <w:szCs w:val="20"/>
        </w:rPr>
        <w:t>-</w:t>
      </w:r>
      <w:r>
        <w:rPr>
          <w:b/>
          <w:sz w:val="20"/>
          <w:szCs w:val="20"/>
        </w:rPr>
        <w:t xml:space="preserve"> ARC IE Content field format</w:t>
      </w:r>
    </w:p>
    <w:p w:rsidR="00B90322" w:rsidRDefault="00B90322" w:rsidP="00B90322">
      <w:pPr>
        <w:autoSpaceDE w:val="0"/>
        <w:autoSpaceDN w:val="0"/>
        <w:adjustRightInd w:val="0"/>
        <w:rPr>
          <w:rFonts w:eastAsia="TimesNewRoman"/>
          <w:sz w:val="20"/>
        </w:rPr>
      </w:pPr>
    </w:p>
    <w:p w:rsidR="00024932" w:rsidRDefault="00024932" w:rsidP="00B90322">
      <w:pPr>
        <w:autoSpaceDE w:val="0"/>
        <w:autoSpaceDN w:val="0"/>
        <w:adjustRightInd w:val="0"/>
        <w:rPr>
          <w:rFonts w:eastAsia="TimesNewRoman"/>
          <w:sz w:val="20"/>
        </w:rPr>
      </w:pPr>
    </w:p>
    <w:p w:rsidR="00024932" w:rsidRDefault="00024932" w:rsidP="00B90322">
      <w:pPr>
        <w:autoSpaceDE w:val="0"/>
        <w:autoSpaceDN w:val="0"/>
        <w:adjustRightInd w:val="0"/>
        <w:rPr>
          <w:rFonts w:eastAsia="TimesNewRoman"/>
          <w:sz w:val="20"/>
        </w:rPr>
      </w:pPr>
    </w:p>
    <w:p w:rsidR="00892247" w:rsidRDefault="00892247" w:rsidP="00B90322">
      <w:pPr>
        <w:autoSpaceDE w:val="0"/>
        <w:autoSpaceDN w:val="0"/>
        <w:adjustRightInd w:val="0"/>
        <w:rPr>
          <w:rFonts w:eastAsia="TimesNewRoman"/>
          <w:sz w:val="20"/>
        </w:rPr>
      </w:pPr>
    </w:p>
    <w:p w:rsidR="00892247" w:rsidRDefault="00892247" w:rsidP="00B90322">
      <w:pPr>
        <w:autoSpaceDE w:val="0"/>
        <w:autoSpaceDN w:val="0"/>
        <w:adjustRightInd w:val="0"/>
        <w:rPr>
          <w:rFonts w:eastAsia="TimesNewRoman"/>
          <w:sz w:val="20"/>
        </w:rPr>
      </w:pPr>
      <w:r>
        <w:rPr>
          <w:rFonts w:eastAsia="TimesNewRoman"/>
          <w:b/>
          <w:i/>
          <w:color w:val="FF0000"/>
          <w:sz w:val="20"/>
        </w:rPr>
        <w:lastRenderedPageBreak/>
        <w:t>In 7.4.4.34, add the following after Line 14 on Page 67</w:t>
      </w:r>
      <w:r w:rsidRPr="0090329B">
        <w:rPr>
          <w:rFonts w:eastAsia="TimesNewRoman"/>
          <w:b/>
          <w:i/>
          <w:color w:val="FF0000"/>
          <w:sz w:val="20"/>
        </w:rPr>
        <w:t>:</w:t>
      </w:r>
    </w:p>
    <w:p w:rsidR="00892247" w:rsidRDefault="00892247" w:rsidP="00B90322">
      <w:pPr>
        <w:autoSpaceDE w:val="0"/>
        <w:autoSpaceDN w:val="0"/>
        <w:adjustRightInd w:val="0"/>
        <w:rPr>
          <w:rFonts w:eastAsia="TimesNewRoman"/>
          <w:sz w:val="20"/>
        </w:rPr>
      </w:pPr>
    </w:p>
    <w:p w:rsidR="00B90322" w:rsidRDefault="00982851" w:rsidP="00B90322">
      <w:pPr>
        <w:autoSpaceDE w:val="0"/>
        <w:autoSpaceDN w:val="0"/>
        <w:adjustRightInd w:val="0"/>
        <w:rPr>
          <w:rFonts w:eastAsia="TimesNewRoman"/>
          <w:sz w:val="20"/>
        </w:rPr>
      </w:pPr>
      <w:r w:rsidRPr="00982851">
        <w:rPr>
          <w:rFonts w:eastAsia="TimesNewRoman"/>
          <w:sz w:val="20"/>
        </w:rPr>
        <w:t xml:space="preserve">The Content Control field contains sub-fields, formatted as per Figure </w:t>
      </w:r>
      <w:r w:rsidRPr="00982851">
        <w:rPr>
          <w:rFonts w:eastAsia="TimesNewRoman"/>
          <w:color w:val="FF0000"/>
          <w:sz w:val="20"/>
        </w:rPr>
        <w:t>AD</w:t>
      </w:r>
      <w:r w:rsidR="00025276">
        <w:rPr>
          <w:rFonts w:eastAsia="TimesNewRoman"/>
          <w:color w:val="FF0000"/>
          <w:sz w:val="20"/>
        </w:rPr>
        <w:t>1</w:t>
      </w:r>
      <w:r w:rsidRPr="00982851">
        <w:rPr>
          <w:rFonts w:eastAsia="TimesNewRoman"/>
          <w:sz w:val="20"/>
        </w:rPr>
        <w:t xml:space="preserve">, indicating presence or not of other fields in the </w:t>
      </w:r>
      <w:r>
        <w:rPr>
          <w:rFonts w:eastAsia="TimesNewRoman"/>
          <w:sz w:val="20"/>
        </w:rPr>
        <w:t>ARC</w:t>
      </w:r>
      <w:r w:rsidRPr="00982851">
        <w:rPr>
          <w:rFonts w:eastAsia="TimesNewRoman"/>
          <w:sz w:val="20"/>
        </w:rPr>
        <w:t xml:space="preserve"> IE.</w:t>
      </w:r>
    </w:p>
    <w:p w:rsidR="00982851" w:rsidRDefault="00982851" w:rsidP="00B90322">
      <w:pPr>
        <w:autoSpaceDE w:val="0"/>
        <w:autoSpaceDN w:val="0"/>
        <w:adjustRightInd w:val="0"/>
        <w:rPr>
          <w:rFonts w:eastAsia="TimesNewRoman"/>
          <w:sz w:val="20"/>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417"/>
        <w:gridCol w:w="1418"/>
        <w:gridCol w:w="2552"/>
      </w:tblGrid>
      <w:tr w:rsidR="00982851" w:rsidTr="00982851">
        <w:tc>
          <w:tcPr>
            <w:tcW w:w="1417" w:type="dxa"/>
            <w:shd w:val="clear" w:color="auto" w:fill="auto"/>
          </w:tcPr>
          <w:p w:rsidR="00982851" w:rsidRPr="00982851" w:rsidRDefault="00982851" w:rsidP="00172C7F">
            <w:pPr>
              <w:pStyle w:val="ListParagraph"/>
              <w:ind w:left="0"/>
              <w:jc w:val="center"/>
              <w:rPr>
                <w:rFonts w:eastAsia="Calibri"/>
                <w:szCs w:val="20"/>
              </w:rPr>
            </w:pPr>
            <w:r w:rsidRPr="00982851">
              <w:rPr>
                <w:rFonts w:eastAsia="Calibri"/>
                <w:szCs w:val="20"/>
              </w:rPr>
              <w:t>Bits: 1</w:t>
            </w:r>
          </w:p>
        </w:tc>
        <w:tc>
          <w:tcPr>
            <w:tcW w:w="1418" w:type="dxa"/>
            <w:shd w:val="clear" w:color="auto" w:fill="auto"/>
          </w:tcPr>
          <w:p w:rsidR="00982851" w:rsidRPr="00982851" w:rsidRDefault="00982851" w:rsidP="00172C7F">
            <w:pPr>
              <w:pStyle w:val="ListParagraph"/>
              <w:ind w:left="0"/>
              <w:jc w:val="center"/>
              <w:rPr>
                <w:rFonts w:eastAsia="Calibri"/>
                <w:szCs w:val="20"/>
              </w:rPr>
            </w:pPr>
            <w:r w:rsidRPr="00982851">
              <w:rPr>
                <w:rFonts w:eastAsia="Calibri"/>
                <w:szCs w:val="20"/>
              </w:rPr>
              <w:t>1</w:t>
            </w:r>
          </w:p>
        </w:tc>
        <w:tc>
          <w:tcPr>
            <w:tcW w:w="1417" w:type="dxa"/>
          </w:tcPr>
          <w:p w:rsidR="00982851" w:rsidRPr="00982851" w:rsidRDefault="00982851" w:rsidP="00172C7F">
            <w:pPr>
              <w:pStyle w:val="ListParagraph"/>
              <w:ind w:left="0"/>
              <w:jc w:val="center"/>
              <w:rPr>
                <w:rFonts w:eastAsia="Calibri"/>
                <w:szCs w:val="20"/>
              </w:rPr>
            </w:pPr>
            <w:r w:rsidRPr="00982851">
              <w:rPr>
                <w:rFonts w:eastAsia="Calibri"/>
                <w:szCs w:val="20"/>
              </w:rPr>
              <w:t>1</w:t>
            </w:r>
          </w:p>
        </w:tc>
        <w:tc>
          <w:tcPr>
            <w:tcW w:w="1418" w:type="dxa"/>
          </w:tcPr>
          <w:p w:rsidR="00982851" w:rsidRPr="00982851" w:rsidRDefault="00982851" w:rsidP="00172C7F">
            <w:pPr>
              <w:pStyle w:val="ListParagraph"/>
              <w:ind w:left="0"/>
              <w:jc w:val="center"/>
              <w:rPr>
                <w:rFonts w:eastAsia="Calibri"/>
                <w:szCs w:val="20"/>
              </w:rPr>
            </w:pPr>
            <w:r w:rsidRPr="00982851">
              <w:rPr>
                <w:rFonts w:eastAsia="Calibri"/>
                <w:szCs w:val="20"/>
              </w:rPr>
              <w:t>1</w:t>
            </w:r>
          </w:p>
        </w:tc>
        <w:tc>
          <w:tcPr>
            <w:tcW w:w="2552" w:type="dxa"/>
          </w:tcPr>
          <w:p w:rsidR="00982851" w:rsidRPr="00982851" w:rsidRDefault="00982851" w:rsidP="00172C7F">
            <w:pPr>
              <w:pStyle w:val="ListParagraph"/>
              <w:ind w:left="0"/>
              <w:jc w:val="center"/>
              <w:rPr>
                <w:rFonts w:eastAsia="Calibri"/>
                <w:szCs w:val="20"/>
              </w:rPr>
            </w:pPr>
            <w:r w:rsidRPr="00982851">
              <w:rPr>
                <w:rFonts w:eastAsia="Calibri"/>
                <w:szCs w:val="20"/>
              </w:rPr>
              <w:t>4</w:t>
            </w:r>
          </w:p>
        </w:tc>
      </w:tr>
      <w:tr w:rsidR="00982851" w:rsidRPr="00B90322" w:rsidTr="00982851">
        <w:tc>
          <w:tcPr>
            <w:tcW w:w="1417" w:type="dxa"/>
            <w:shd w:val="clear" w:color="auto" w:fill="auto"/>
          </w:tcPr>
          <w:p w:rsidR="00982851" w:rsidRPr="00982851" w:rsidRDefault="00982851" w:rsidP="00982851">
            <w:pPr>
              <w:pStyle w:val="ListParagraph"/>
              <w:ind w:left="0"/>
              <w:jc w:val="center"/>
              <w:rPr>
                <w:rFonts w:eastAsia="Calibri"/>
                <w:szCs w:val="16"/>
              </w:rPr>
            </w:pPr>
            <w:r w:rsidRPr="00982851">
              <w:rPr>
                <w:rFonts w:eastAsia="Calibri"/>
                <w:szCs w:val="16"/>
              </w:rPr>
              <w:t>RBDP</w:t>
            </w:r>
          </w:p>
        </w:tc>
        <w:tc>
          <w:tcPr>
            <w:tcW w:w="1418" w:type="dxa"/>
            <w:shd w:val="clear" w:color="auto" w:fill="auto"/>
          </w:tcPr>
          <w:p w:rsidR="00982851" w:rsidRPr="00982851" w:rsidRDefault="00982851" w:rsidP="00982851">
            <w:pPr>
              <w:pStyle w:val="ListParagraph"/>
              <w:ind w:left="0"/>
              <w:jc w:val="center"/>
              <w:rPr>
                <w:rFonts w:eastAsia="Calibri"/>
                <w:szCs w:val="16"/>
              </w:rPr>
            </w:pPr>
            <w:r w:rsidRPr="00982851">
              <w:rPr>
                <w:rFonts w:eastAsia="Calibri"/>
                <w:szCs w:val="16"/>
              </w:rPr>
              <w:t>RRDP</w:t>
            </w:r>
          </w:p>
        </w:tc>
        <w:tc>
          <w:tcPr>
            <w:tcW w:w="1417" w:type="dxa"/>
          </w:tcPr>
          <w:p w:rsidR="00982851" w:rsidRPr="00982851" w:rsidRDefault="00982851" w:rsidP="00982851">
            <w:pPr>
              <w:pStyle w:val="ListParagraph"/>
              <w:ind w:left="0"/>
              <w:jc w:val="center"/>
              <w:rPr>
                <w:rFonts w:eastAsia="Calibri"/>
                <w:szCs w:val="16"/>
              </w:rPr>
            </w:pPr>
            <w:r w:rsidRPr="00982851">
              <w:rPr>
                <w:rFonts w:eastAsia="Calibri"/>
                <w:szCs w:val="16"/>
              </w:rPr>
              <w:t>RSDP</w:t>
            </w:r>
          </w:p>
        </w:tc>
        <w:tc>
          <w:tcPr>
            <w:tcW w:w="1418" w:type="dxa"/>
          </w:tcPr>
          <w:p w:rsidR="00982851" w:rsidRPr="00982851" w:rsidRDefault="00982851" w:rsidP="00982851">
            <w:pPr>
              <w:pStyle w:val="ListParagraph"/>
              <w:ind w:left="0"/>
              <w:jc w:val="center"/>
              <w:rPr>
                <w:rFonts w:eastAsia="Calibri"/>
                <w:szCs w:val="16"/>
              </w:rPr>
            </w:pPr>
            <w:r w:rsidRPr="00982851">
              <w:rPr>
                <w:rFonts w:eastAsia="Calibri"/>
                <w:szCs w:val="16"/>
              </w:rPr>
              <w:t>SIP</w:t>
            </w:r>
          </w:p>
        </w:tc>
        <w:tc>
          <w:tcPr>
            <w:tcW w:w="2552" w:type="dxa"/>
          </w:tcPr>
          <w:p w:rsidR="00982851" w:rsidRPr="00982851" w:rsidRDefault="00982851" w:rsidP="00982851">
            <w:pPr>
              <w:pStyle w:val="ListParagraph"/>
              <w:ind w:left="0"/>
              <w:jc w:val="center"/>
              <w:rPr>
                <w:rFonts w:eastAsia="Calibri"/>
                <w:szCs w:val="20"/>
              </w:rPr>
            </w:pPr>
            <w:r w:rsidRPr="00982851">
              <w:rPr>
                <w:rFonts w:eastAsia="Calibri"/>
                <w:szCs w:val="20"/>
              </w:rPr>
              <w:t>Reserved</w:t>
            </w:r>
          </w:p>
        </w:tc>
      </w:tr>
    </w:tbl>
    <w:p w:rsidR="00982851" w:rsidRDefault="00982851" w:rsidP="00982851">
      <w:pPr>
        <w:pStyle w:val="ListParagraph"/>
        <w:rPr>
          <w:sz w:val="20"/>
          <w:szCs w:val="20"/>
        </w:rPr>
      </w:pPr>
    </w:p>
    <w:p w:rsidR="00982851" w:rsidRPr="00317638" w:rsidRDefault="00982851" w:rsidP="00982851">
      <w:pPr>
        <w:pStyle w:val="ListParagraph"/>
        <w:jc w:val="center"/>
        <w:rPr>
          <w:b/>
          <w:sz w:val="20"/>
          <w:szCs w:val="20"/>
        </w:rPr>
      </w:pPr>
      <w:r>
        <w:rPr>
          <w:b/>
          <w:sz w:val="20"/>
          <w:szCs w:val="20"/>
        </w:rPr>
        <w:t xml:space="preserve">Figure </w:t>
      </w:r>
      <w:r w:rsidRPr="00E823D2">
        <w:rPr>
          <w:b/>
          <w:color w:val="FF0000"/>
          <w:sz w:val="20"/>
          <w:szCs w:val="20"/>
        </w:rPr>
        <w:t>AD</w:t>
      </w:r>
      <w:r w:rsidR="00025276">
        <w:rPr>
          <w:b/>
          <w:color w:val="FF0000"/>
          <w:sz w:val="20"/>
          <w:szCs w:val="20"/>
        </w:rPr>
        <w:t>1</w:t>
      </w:r>
      <w:r>
        <w:rPr>
          <w:b/>
          <w:sz w:val="20"/>
          <w:szCs w:val="20"/>
        </w:rPr>
        <w:t xml:space="preserve"> – Content Control field of the ARC IE</w:t>
      </w:r>
    </w:p>
    <w:p w:rsidR="00982851" w:rsidRDefault="00982851" w:rsidP="00982851">
      <w:pPr>
        <w:autoSpaceDE w:val="0"/>
        <w:autoSpaceDN w:val="0"/>
        <w:adjustRightInd w:val="0"/>
        <w:rPr>
          <w:rFonts w:eastAsia="TimesNewRoman"/>
          <w:sz w:val="20"/>
        </w:rPr>
      </w:pPr>
    </w:p>
    <w:p w:rsidR="00982851" w:rsidRDefault="00982851" w:rsidP="00982851">
      <w:pPr>
        <w:autoSpaceDE w:val="0"/>
        <w:autoSpaceDN w:val="0"/>
        <w:adjustRightInd w:val="0"/>
        <w:rPr>
          <w:rFonts w:eastAsia="TimesNewRoman"/>
          <w:sz w:val="20"/>
        </w:rPr>
      </w:pPr>
      <w:r w:rsidRPr="00982851">
        <w:rPr>
          <w:rFonts w:eastAsia="TimesNewRoman"/>
          <w:sz w:val="20"/>
        </w:rPr>
        <w:t>The R</w:t>
      </w:r>
      <w:r>
        <w:rPr>
          <w:rFonts w:eastAsia="TimesNewRoman"/>
          <w:sz w:val="20"/>
        </w:rPr>
        <w:t>BD</w:t>
      </w:r>
      <w:r w:rsidRPr="00982851">
        <w:rPr>
          <w:rFonts w:eastAsia="TimesNewRoman"/>
          <w:sz w:val="20"/>
        </w:rPr>
        <w:t>P field when 1 indicates the presence of the R</w:t>
      </w:r>
      <w:r>
        <w:rPr>
          <w:rFonts w:eastAsia="TimesNewRoman"/>
          <w:sz w:val="20"/>
        </w:rPr>
        <w:t>anging Block Duration</w:t>
      </w:r>
      <w:r w:rsidRPr="00982851">
        <w:rPr>
          <w:rFonts w:eastAsia="TimesNewRoman"/>
          <w:sz w:val="20"/>
        </w:rPr>
        <w:t xml:space="preserve"> field, or not present when 0.</w:t>
      </w:r>
    </w:p>
    <w:p w:rsidR="00982851" w:rsidRDefault="00982851" w:rsidP="00982851">
      <w:pPr>
        <w:autoSpaceDE w:val="0"/>
        <w:autoSpaceDN w:val="0"/>
        <w:adjustRightInd w:val="0"/>
        <w:rPr>
          <w:rFonts w:eastAsia="TimesNewRoman"/>
          <w:sz w:val="20"/>
        </w:rPr>
      </w:pPr>
    </w:p>
    <w:p w:rsidR="00982851" w:rsidRDefault="00982851" w:rsidP="00982851">
      <w:pPr>
        <w:autoSpaceDE w:val="0"/>
        <w:autoSpaceDN w:val="0"/>
        <w:adjustRightInd w:val="0"/>
        <w:rPr>
          <w:rFonts w:eastAsia="TimesNewRoman"/>
          <w:sz w:val="20"/>
        </w:rPr>
      </w:pPr>
      <w:r w:rsidRPr="00982851">
        <w:rPr>
          <w:rFonts w:eastAsia="TimesNewRoman"/>
          <w:sz w:val="20"/>
        </w:rPr>
        <w:t>The R</w:t>
      </w:r>
      <w:r>
        <w:rPr>
          <w:rFonts w:eastAsia="TimesNewRoman"/>
          <w:sz w:val="20"/>
        </w:rPr>
        <w:t>RD</w:t>
      </w:r>
      <w:r w:rsidRPr="00982851">
        <w:rPr>
          <w:rFonts w:eastAsia="TimesNewRoman"/>
          <w:sz w:val="20"/>
        </w:rPr>
        <w:t>P field when 1 indicates the presence of the R</w:t>
      </w:r>
      <w:r>
        <w:rPr>
          <w:rFonts w:eastAsia="TimesNewRoman"/>
          <w:sz w:val="20"/>
        </w:rPr>
        <w:t>anging Round Duration</w:t>
      </w:r>
      <w:r w:rsidRPr="00982851">
        <w:rPr>
          <w:rFonts w:eastAsia="TimesNewRoman"/>
          <w:sz w:val="20"/>
        </w:rPr>
        <w:t xml:space="preserve"> field, or not present when 0.</w:t>
      </w:r>
    </w:p>
    <w:p w:rsidR="00982851" w:rsidRDefault="00982851" w:rsidP="00B90322">
      <w:pPr>
        <w:autoSpaceDE w:val="0"/>
        <w:autoSpaceDN w:val="0"/>
        <w:adjustRightInd w:val="0"/>
        <w:rPr>
          <w:rFonts w:eastAsia="TimesNewRoman"/>
          <w:sz w:val="20"/>
        </w:rPr>
      </w:pPr>
    </w:p>
    <w:p w:rsidR="00336E1B" w:rsidRDefault="00982851" w:rsidP="006311C9">
      <w:pPr>
        <w:autoSpaceDE w:val="0"/>
        <w:autoSpaceDN w:val="0"/>
        <w:adjustRightInd w:val="0"/>
        <w:rPr>
          <w:rFonts w:eastAsia="TimesNewRoman"/>
          <w:sz w:val="20"/>
        </w:rPr>
      </w:pPr>
      <w:r w:rsidRPr="00982851">
        <w:rPr>
          <w:rFonts w:eastAsia="TimesNewRoman"/>
          <w:sz w:val="20"/>
        </w:rPr>
        <w:t>The R</w:t>
      </w:r>
      <w:r>
        <w:rPr>
          <w:rFonts w:eastAsia="TimesNewRoman"/>
          <w:sz w:val="20"/>
        </w:rPr>
        <w:t>SD</w:t>
      </w:r>
      <w:r w:rsidRPr="00982851">
        <w:rPr>
          <w:rFonts w:eastAsia="TimesNewRoman"/>
          <w:sz w:val="20"/>
        </w:rPr>
        <w:t>P field when 1 indicates the presence of the R</w:t>
      </w:r>
      <w:r>
        <w:rPr>
          <w:rFonts w:eastAsia="TimesNewRoman"/>
          <w:sz w:val="20"/>
        </w:rPr>
        <w:t>anging Slot Duration</w:t>
      </w:r>
      <w:r w:rsidRPr="00982851">
        <w:rPr>
          <w:rFonts w:eastAsia="TimesNewRoman"/>
          <w:sz w:val="20"/>
        </w:rPr>
        <w:t xml:space="preserve"> field, or not present when 0.</w:t>
      </w:r>
    </w:p>
    <w:p w:rsidR="00982851" w:rsidRDefault="00982851" w:rsidP="006311C9">
      <w:pPr>
        <w:autoSpaceDE w:val="0"/>
        <w:autoSpaceDN w:val="0"/>
        <w:adjustRightInd w:val="0"/>
        <w:rPr>
          <w:rFonts w:eastAsia="TimesNewRoman"/>
          <w:sz w:val="20"/>
        </w:rPr>
      </w:pPr>
    </w:p>
    <w:p w:rsidR="00982851" w:rsidRDefault="00982851" w:rsidP="006311C9">
      <w:pPr>
        <w:autoSpaceDE w:val="0"/>
        <w:autoSpaceDN w:val="0"/>
        <w:adjustRightInd w:val="0"/>
        <w:rPr>
          <w:rFonts w:eastAsia="TimesNewRoman"/>
          <w:sz w:val="20"/>
        </w:rPr>
      </w:pPr>
      <w:r w:rsidRPr="00982851">
        <w:rPr>
          <w:rFonts w:eastAsia="TimesNewRoman"/>
          <w:sz w:val="20"/>
        </w:rPr>
        <w:t xml:space="preserve">The </w:t>
      </w:r>
      <w:r>
        <w:rPr>
          <w:rFonts w:eastAsia="TimesNewRoman"/>
          <w:sz w:val="20"/>
        </w:rPr>
        <w:t>SI</w:t>
      </w:r>
      <w:r w:rsidRPr="00982851">
        <w:rPr>
          <w:rFonts w:eastAsia="TimesNewRoman"/>
          <w:sz w:val="20"/>
        </w:rPr>
        <w:t>P field when 1 indicates the presence of the</w:t>
      </w:r>
      <w:r>
        <w:rPr>
          <w:rFonts w:eastAsia="TimesNewRoman"/>
          <w:sz w:val="20"/>
        </w:rPr>
        <w:t xml:space="preserve"> Session ID</w:t>
      </w:r>
      <w:r w:rsidRPr="00982851">
        <w:rPr>
          <w:rFonts w:eastAsia="TimesNewRoman"/>
          <w:sz w:val="20"/>
        </w:rPr>
        <w:t xml:space="preserve"> field, or not present when 0.</w:t>
      </w:r>
    </w:p>
    <w:p w:rsidR="00BB67CE" w:rsidRDefault="00BB67CE" w:rsidP="006311C9">
      <w:pPr>
        <w:autoSpaceDE w:val="0"/>
        <w:autoSpaceDN w:val="0"/>
        <w:adjustRightInd w:val="0"/>
        <w:rPr>
          <w:rFonts w:eastAsia="TimesNewRoman"/>
          <w:sz w:val="20"/>
        </w:rPr>
      </w:pPr>
    </w:p>
    <w:p w:rsidR="00BB67CE" w:rsidRDefault="00BB67CE" w:rsidP="006311C9">
      <w:pPr>
        <w:autoSpaceDE w:val="0"/>
        <w:autoSpaceDN w:val="0"/>
        <w:adjustRightInd w:val="0"/>
        <w:rPr>
          <w:rFonts w:eastAsia="TimesNewRoman"/>
          <w:sz w:val="20"/>
        </w:rPr>
      </w:pPr>
    </w:p>
    <w:p w:rsidR="00892247" w:rsidRDefault="00892247" w:rsidP="00892247">
      <w:pPr>
        <w:autoSpaceDE w:val="0"/>
        <w:autoSpaceDN w:val="0"/>
        <w:adjustRightInd w:val="0"/>
        <w:rPr>
          <w:rFonts w:eastAsia="TimesNewRoman"/>
          <w:sz w:val="20"/>
        </w:rPr>
      </w:pPr>
      <w:r>
        <w:rPr>
          <w:rFonts w:eastAsia="TimesNewRoman"/>
          <w:b/>
          <w:i/>
          <w:color w:val="FF0000"/>
          <w:sz w:val="20"/>
        </w:rPr>
        <w:t>In 7.4.4.34, add the following after Line 14 on Page 67</w:t>
      </w:r>
      <w:r w:rsidRPr="0090329B">
        <w:rPr>
          <w:rFonts w:eastAsia="TimesNewRoman"/>
          <w:b/>
          <w:i/>
          <w:color w:val="FF0000"/>
          <w:sz w:val="20"/>
        </w:rPr>
        <w:t>:</w:t>
      </w:r>
    </w:p>
    <w:p w:rsidR="00892247" w:rsidRDefault="00892247" w:rsidP="00892247">
      <w:pPr>
        <w:autoSpaceDE w:val="0"/>
        <w:autoSpaceDN w:val="0"/>
        <w:adjustRightInd w:val="0"/>
        <w:rPr>
          <w:rFonts w:eastAsia="TimesNewRoman"/>
          <w:sz w:val="20"/>
        </w:rPr>
      </w:pPr>
    </w:p>
    <w:p w:rsidR="00892247" w:rsidRDefault="00892247" w:rsidP="006311C9">
      <w:pPr>
        <w:autoSpaceDE w:val="0"/>
        <w:autoSpaceDN w:val="0"/>
        <w:adjustRightInd w:val="0"/>
        <w:rPr>
          <w:rFonts w:eastAsia="TimesNewRoman"/>
          <w:sz w:val="20"/>
        </w:rPr>
      </w:pPr>
      <w:r w:rsidRPr="00982851">
        <w:rPr>
          <w:rFonts w:eastAsia="TimesNewRoman"/>
          <w:sz w:val="20"/>
        </w:rPr>
        <w:t xml:space="preserve">The </w:t>
      </w:r>
      <w:r>
        <w:rPr>
          <w:rFonts w:eastAsia="TimesNewRoman"/>
          <w:sz w:val="20"/>
        </w:rPr>
        <w:t>Session ID</w:t>
      </w:r>
      <w:r w:rsidRPr="00982851">
        <w:rPr>
          <w:rFonts w:eastAsia="TimesNewRoman"/>
          <w:sz w:val="20"/>
        </w:rPr>
        <w:t xml:space="preserve"> field contains </w:t>
      </w:r>
      <w:r>
        <w:rPr>
          <w:rFonts w:eastAsia="TimesNewRoman"/>
          <w:sz w:val="20"/>
        </w:rPr>
        <w:t>a 4-octet session identifier which is unique to a session, where a session encompasses all messages sent within one running block or interval time structure configuration. A separate set of STS seeds should be associated with each session.</w:t>
      </w:r>
    </w:p>
    <w:p w:rsidR="002B6BB2" w:rsidRPr="00024932" w:rsidRDefault="002B6BB2" w:rsidP="006311C9">
      <w:pPr>
        <w:autoSpaceDE w:val="0"/>
        <w:autoSpaceDN w:val="0"/>
        <w:adjustRightInd w:val="0"/>
        <w:rPr>
          <w:rFonts w:eastAsia="TimesNewRoman"/>
          <w:sz w:val="20"/>
        </w:rPr>
      </w:pPr>
    </w:p>
    <w:p w:rsidR="002B6BB2" w:rsidRPr="00024932" w:rsidRDefault="002B6BB2" w:rsidP="006311C9">
      <w:pPr>
        <w:autoSpaceDE w:val="0"/>
        <w:autoSpaceDN w:val="0"/>
        <w:adjustRightInd w:val="0"/>
        <w:rPr>
          <w:rFonts w:eastAsia="TimesNewRoman"/>
          <w:sz w:val="20"/>
        </w:rPr>
      </w:pPr>
    </w:p>
    <w:p w:rsidR="00BB67CE" w:rsidRDefault="00BB67CE" w:rsidP="00BB67CE">
      <w:pPr>
        <w:widowControl w:val="0"/>
        <w:spacing w:before="120"/>
        <w:rPr>
          <w:b/>
          <w:sz w:val="28"/>
        </w:rPr>
      </w:pPr>
      <w:r>
        <w:rPr>
          <w:b/>
          <w:sz w:val="28"/>
        </w:rPr>
        <w:t xml:space="preserve">The following resolution applies to </w:t>
      </w:r>
      <w:r w:rsidRPr="00D37264">
        <w:rPr>
          <w:b/>
          <w:sz w:val="28"/>
        </w:rPr>
        <w:t>r1-</w:t>
      </w:r>
      <w:r>
        <w:rPr>
          <w:b/>
          <w:sz w:val="28"/>
        </w:rPr>
        <w:t>0495.</w:t>
      </w:r>
    </w:p>
    <w:p w:rsidR="00BB67CE" w:rsidRDefault="00BB67CE" w:rsidP="00BB67CE">
      <w:pPr>
        <w:widowControl w:val="0"/>
        <w:spacing w:before="120"/>
        <w:rPr>
          <w:b/>
          <w:sz w:val="28"/>
        </w:rPr>
      </w:pPr>
    </w:p>
    <w:p w:rsidR="00BB67CE" w:rsidRDefault="00BB67CE" w:rsidP="00BB67CE">
      <w:pPr>
        <w:autoSpaceDE w:val="0"/>
        <w:autoSpaceDN w:val="0"/>
        <w:adjustRightInd w:val="0"/>
        <w:rPr>
          <w:rFonts w:eastAsia="TimesNewRoman"/>
          <w:b/>
          <w:i/>
          <w:color w:val="FF0000"/>
          <w:sz w:val="20"/>
        </w:rPr>
      </w:pPr>
      <w:r>
        <w:rPr>
          <w:rFonts w:eastAsia="TimesNewRoman"/>
          <w:b/>
          <w:i/>
          <w:color w:val="FF0000"/>
          <w:sz w:val="20"/>
        </w:rPr>
        <w:t xml:space="preserve">In 7.4.4.38, </w:t>
      </w:r>
      <w:r w:rsidR="00991BA7">
        <w:rPr>
          <w:rFonts w:eastAsia="TimesNewRoman"/>
          <w:b/>
          <w:i/>
          <w:color w:val="FF0000"/>
          <w:sz w:val="20"/>
        </w:rPr>
        <w:t>chang</w:t>
      </w:r>
      <w:r>
        <w:rPr>
          <w:rFonts w:eastAsia="TimesNewRoman"/>
          <w:b/>
          <w:i/>
          <w:color w:val="FF0000"/>
          <w:sz w:val="20"/>
        </w:rPr>
        <w:t>e Lines 3-8 on Page 70 as follows</w:t>
      </w:r>
      <w:r w:rsidRPr="0090329B">
        <w:rPr>
          <w:rFonts w:eastAsia="TimesNewRoman"/>
          <w:b/>
          <w:i/>
          <w:color w:val="FF0000"/>
          <w:sz w:val="20"/>
        </w:rPr>
        <w:t>:</w:t>
      </w:r>
    </w:p>
    <w:p w:rsidR="00BB67CE" w:rsidRDefault="00BB67CE" w:rsidP="00BB67CE">
      <w:pPr>
        <w:autoSpaceDE w:val="0"/>
        <w:autoSpaceDN w:val="0"/>
        <w:adjustRightInd w:val="0"/>
        <w:rPr>
          <w:rFonts w:eastAsia="TimesNewRoman"/>
          <w:sz w:val="20"/>
        </w:rPr>
      </w:pPr>
    </w:p>
    <w:p w:rsidR="00BB67CE" w:rsidRDefault="00BB67CE" w:rsidP="006311C9">
      <w:pPr>
        <w:autoSpaceDE w:val="0"/>
        <w:autoSpaceDN w:val="0"/>
        <w:adjustRightInd w:val="0"/>
        <w:rPr>
          <w:rFonts w:eastAsia="TimesNewRoman"/>
          <w:sz w:val="20"/>
        </w:rPr>
      </w:pPr>
      <w:r w:rsidRPr="00BB67CE">
        <w:rPr>
          <w:rFonts w:eastAsia="TimesNewRoman"/>
          <w:sz w:val="20"/>
        </w:rPr>
        <w:t>The RCPS IE provides the slot indices for the various phases of the Ranging Round when Schedule Mode is Contention-based. If the RCPS IE is not included in RCM, then all the remaining slots are used for contention based ranging</w:t>
      </w:r>
      <w:r>
        <w:rPr>
          <w:rFonts w:eastAsia="TimesNewRoman"/>
          <w:sz w:val="20"/>
          <w:u w:val="single"/>
        </w:rPr>
        <w:t>, according to a slot phase assignment that is coordinated using out-of-band signaling</w:t>
      </w:r>
      <w:r w:rsidR="00266B4F">
        <w:rPr>
          <w:rFonts w:eastAsia="TimesNewRoman"/>
          <w:sz w:val="20"/>
          <w:u w:val="single"/>
        </w:rPr>
        <w:t xml:space="preserve"> and/or custom </w:t>
      </w:r>
      <w:r>
        <w:rPr>
          <w:rFonts w:eastAsia="TimesNewRoman"/>
          <w:sz w:val="20"/>
          <w:u w:val="single"/>
        </w:rPr>
        <w:t>me</w:t>
      </w:r>
      <w:r w:rsidR="00266B4F">
        <w:rPr>
          <w:rFonts w:eastAsia="TimesNewRoman"/>
          <w:sz w:val="20"/>
          <w:u w:val="single"/>
        </w:rPr>
        <w:t>s</w:t>
      </w:r>
      <w:r>
        <w:rPr>
          <w:rFonts w:eastAsia="TimesNewRoman"/>
          <w:sz w:val="20"/>
          <w:u w:val="single"/>
        </w:rPr>
        <w:t>s</w:t>
      </w:r>
      <w:r w:rsidR="00266B4F">
        <w:rPr>
          <w:rFonts w:eastAsia="TimesNewRoman"/>
          <w:sz w:val="20"/>
          <w:u w:val="single"/>
        </w:rPr>
        <w:t>ages</w:t>
      </w:r>
      <w:r w:rsidRPr="00BB67CE">
        <w:rPr>
          <w:rFonts w:eastAsia="TimesNewRoman"/>
          <w:sz w:val="20"/>
        </w:rPr>
        <w:t>. The content field of the RCPS IE shall be formatted as shown in Figure 53.</w:t>
      </w:r>
    </w:p>
    <w:p w:rsidR="00BB67CE" w:rsidRDefault="00BB67CE" w:rsidP="006311C9">
      <w:pPr>
        <w:autoSpaceDE w:val="0"/>
        <w:autoSpaceDN w:val="0"/>
        <w:adjustRightInd w:val="0"/>
        <w:rPr>
          <w:rFonts w:eastAsia="TimesNewRoman"/>
          <w:sz w:val="20"/>
        </w:rPr>
      </w:pPr>
    </w:p>
    <w:p w:rsidR="00BB67CE" w:rsidRDefault="00BB67CE" w:rsidP="006311C9">
      <w:pPr>
        <w:autoSpaceDE w:val="0"/>
        <w:autoSpaceDN w:val="0"/>
        <w:adjustRightInd w:val="0"/>
        <w:rPr>
          <w:rFonts w:eastAsia="TimesNewRoman"/>
          <w:sz w:val="20"/>
        </w:rPr>
      </w:pPr>
    </w:p>
    <w:p w:rsidR="00BB67CE" w:rsidRDefault="00BB67CE" w:rsidP="006311C9">
      <w:pPr>
        <w:autoSpaceDE w:val="0"/>
        <w:autoSpaceDN w:val="0"/>
        <w:adjustRightInd w:val="0"/>
        <w:rPr>
          <w:rFonts w:eastAsia="TimesNewRoman"/>
          <w:sz w:val="20"/>
        </w:rPr>
      </w:pPr>
    </w:p>
    <w:p w:rsidR="007948ED" w:rsidRDefault="007948ED" w:rsidP="007948ED">
      <w:pPr>
        <w:widowControl w:val="0"/>
        <w:spacing w:before="120"/>
        <w:rPr>
          <w:b/>
          <w:sz w:val="28"/>
        </w:rPr>
      </w:pPr>
      <w:r>
        <w:rPr>
          <w:b/>
          <w:sz w:val="28"/>
        </w:rPr>
        <w:t xml:space="preserve">The following resolution applies to </w:t>
      </w:r>
      <w:r w:rsidRPr="00D37264">
        <w:rPr>
          <w:b/>
          <w:sz w:val="28"/>
        </w:rPr>
        <w:t>r1-</w:t>
      </w:r>
      <w:r>
        <w:rPr>
          <w:b/>
          <w:sz w:val="28"/>
        </w:rPr>
        <w:t>0506.</w:t>
      </w:r>
    </w:p>
    <w:p w:rsidR="007948ED" w:rsidRDefault="007948ED" w:rsidP="007948ED">
      <w:pPr>
        <w:widowControl w:val="0"/>
        <w:spacing w:before="120"/>
        <w:rPr>
          <w:b/>
          <w:sz w:val="28"/>
        </w:rPr>
      </w:pPr>
    </w:p>
    <w:p w:rsidR="007948ED" w:rsidRDefault="007948ED" w:rsidP="007948ED">
      <w:pPr>
        <w:autoSpaceDE w:val="0"/>
        <w:autoSpaceDN w:val="0"/>
        <w:adjustRightInd w:val="0"/>
        <w:rPr>
          <w:rFonts w:eastAsia="TimesNewRoman"/>
          <w:b/>
          <w:i/>
          <w:color w:val="FF0000"/>
          <w:sz w:val="20"/>
        </w:rPr>
      </w:pPr>
      <w:r>
        <w:rPr>
          <w:rFonts w:eastAsia="TimesNewRoman"/>
          <w:b/>
          <w:i/>
          <w:color w:val="FF0000"/>
          <w:sz w:val="20"/>
        </w:rPr>
        <w:t>In 7.4.4.40, change the name of the IE as follows</w:t>
      </w:r>
      <w:r w:rsidRPr="0090329B">
        <w:rPr>
          <w:rFonts w:eastAsia="TimesNewRoman"/>
          <w:b/>
          <w:i/>
          <w:color w:val="FF0000"/>
          <w:sz w:val="20"/>
        </w:rPr>
        <w:t>:</w:t>
      </w: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r w:rsidRPr="007948ED">
        <w:rPr>
          <w:rFonts w:eastAsia="TimesNewRoman"/>
          <w:sz w:val="20"/>
        </w:rPr>
        <w:t xml:space="preserve">Ranging STS Key and </w:t>
      </w:r>
      <w:r w:rsidRPr="007948ED">
        <w:rPr>
          <w:rFonts w:eastAsia="TimesNewRoman"/>
          <w:strike/>
          <w:sz w:val="20"/>
        </w:rPr>
        <w:t>IV</w:t>
      </w:r>
      <w:r>
        <w:rPr>
          <w:rFonts w:eastAsia="TimesNewRoman"/>
          <w:sz w:val="20"/>
          <w:u w:val="single"/>
        </w:rPr>
        <w:t>Data</w:t>
      </w:r>
      <w:r w:rsidRPr="007948ED">
        <w:rPr>
          <w:rFonts w:eastAsia="TimesNewRoman"/>
          <w:sz w:val="20"/>
        </w:rPr>
        <w:t xml:space="preserve"> IE (RSK</w:t>
      </w:r>
      <w:r w:rsidRPr="007948ED">
        <w:rPr>
          <w:rFonts w:eastAsia="TimesNewRoman"/>
          <w:strike/>
          <w:sz w:val="20"/>
        </w:rPr>
        <w:t>I</w:t>
      </w:r>
      <w:r>
        <w:rPr>
          <w:rFonts w:eastAsia="TimesNewRoman"/>
          <w:sz w:val="20"/>
          <w:u w:val="single"/>
        </w:rPr>
        <w:t>D</w:t>
      </w:r>
      <w:r w:rsidRPr="007948ED">
        <w:rPr>
          <w:rFonts w:eastAsia="TimesNewRoman"/>
          <w:sz w:val="20"/>
        </w:rPr>
        <w:t xml:space="preserve"> IE)</w:t>
      </w:r>
      <w:r w:rsidRPr="00BB67CE">
        <w:rPr>
          <w:rFonts w:eastAsia="TimesNewRoman"/>
          <w:sz w:val="20"/>
        </w:rPr>
        <w:t>.</w:t>
      </w: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p>
    <w:p w:rsidR="00CF2D3E" w:rsidRDefault="00CF2D3E" w:rsidP="00CF2D3E">
      <w:pPr>
        <w:widowControl w:val="0"/>
        <w:spacing w:before="120"/>
        <w:rPr>
          <w:b/>
          <w:sz w:val="28"/>
        </w:rPr>
      </w:pPr>
      <w:r>
        <w:rPr>
          <w:b/>
          <w:sz w:val="28"/>
        </w:rPr>
        <w:lastRenderedPageBreak/>
        <w:t xml:space="preserve">The following resolution applies to </w:t>
      </w:r>
      <w:r w:rsidRPr="00D37264">
        <w:rPr>
          <w:b/>
          <w:sz w:val="28"/>
        </w:rPr>
        <w:t>r1-</w:t>
      </w:r>
      <w:r>
        <w:rPr>
          <w:b/>
          <w:sz w:val="28"/>
        </w:rPr>
        <w:t>0519.</w:t>
      </w:r>
    </w:p>
    <w:p w:rsidR="00CF2D3E" w:rsidRDefault="00CF2D3E" w:rsidP="007948ED">
      <w:pPr>
        <w:widowControl w:val="0"/>
        <w:spacing w:before="120"/>
        <w:rPr>
          <w:b/>
          <w:sz w:val="28"/>
        </w:rPr>
      </w:pPr>
    </w:p>
    <w:p w:rsidR="003B54B2" w:rsidRDefault="003B54B2" w:rsidP="003B54B2">
      <w:pPr>
        <w:autoSpaceDE w:val="0"/>
        <w:autoSpaceDN w:val="0"/>
        <w:adjustRightInd w:val="0"/>
        <w:rPr>
          <w:rFonts w:eastAsia="TimesNewRoman"/>
          <w:b/>
          <w:i/>
          <w:color w:val="FF0000"/>
          <w:sz w:val="20"/>
        </w:rPr>
      </w:pPr>
      <w:r>
        <w:rPr>
          <w:rFonts w:eastAsia="TimesNewRoman"/>
          <w:b/>
          <w:i/>
          <w:color w:val="FF0000"/>
          <w:sz w:val="20"/>
        </w:rPr>
        <w:t>In 7.4.4.40, change field names</w:t>
      </w:r>
      <w:r w:rsidR="00873EBF">
        <w:rPr>
          <w:rFonts w:eastAsia="TimesNewRoman"/>
          <w:b/>
          <w:i/>
          <w:color w:val="FF0000"/>
          <w:sz w:val="20"/>
        </w:rPr>
        <w:t xml:space="preserve"> (all instances)</w:t>
      </w:r>
      <w:r>
        <w:rPr>
          <w:rFonts w:eastAsia="TimesNewRoman"/>
          <w:b/>
          <w:i/>
          <w:color w:val="FF0000"/>
          <w:sz w:val="20"/>
        </w:rPr>
        <w:t xml:space="preserve"> as follows</w:t>
      </w:r>
      <w:r w:rsidRPr="0090329B">
        <w:rPr>
          <w:rFonts w:eastAsia="TimesNewRoman"/>
          <w:b/>
          <w:i/>
          <w:color w:val="FF0000"/>
          <w:sz w:val="20"/>
        </w:rPr>
        <w:t>:</w:t>
      </w:r>
    </w:p>
    <w:p w:rsidR="003B54B2" w:rsidRDefault="003B54B2" w:rsidP="003B54B2">
      <w:pPr>
        <w:autoSpaceDE w:val="0"/>
        <w:autoSpaceDN w:val="0"/>
        <w:adjustRightInd w:val="0"/>
        <w:rPr>
          <w:rFonts w:eastAsia="TimesNewRoman"/>
          <w:sz w:val="20"/>
        </w:rPr>
      </w:pPr>
    </w:p>
    <w:p w:rsidR="003B54B2" w:rsidRDefault="003B54B2" w:rsidP="003B54B2">
      <w:pPr>
        <w:autoSpaceDE w:val="0"/>
        <w:autoSpaceDN w:val="0"/>
        <w:adjustRightInd w:val="0"/>
        <w:rPr>
          <w:rFonts w:eastAsia="TimesNewRoman"/>
          <w:sz w:val="20"/>
        </w:rPr>
      </w:pPr>
      <w:r>
        <w:rPr>
          <w:rFonts w:eastAsia="TimesNewRoman"/>
          <w:sz w:val="20"/>
        </w:rPr>
        <w:t>Change “IVCP” to “VCP”</w:t>
      </w:r>
    </w:p>
    <w:p w:rsidR="003B54B2" w:rsidRDefault="003B54B2" w:rsidP="003B54B2">
      <w:pPr>
        <w:autoSpaceDE w:val="0"/>
        <w:autoSpaceDN w:val="0"/>
        <w:adjustRightInd w:val="0"/>
        <w:rPr>
          <w:rFonts w:eastAsia="TimesNewRoman"/>
          <w:sz w:val="20"/>
        </w:rPr>
      </w:pPr>
      <w:r>
        <w:rPr>
          <w:rFonts w:eastAsia="TimesNewRoman"/>
          <w:sz w:val="20"/>
        </w:rPr>
        <w:t>Change “IV1P” to “V1P”</w:t>
      </w:r>
    </w:p>
    <w:p w:rsidR="003B54B2" w:rsidRDefault="003B54B2" w:rsidP="003B54B2">
      <w:pPr>
        <w:autoSpaceDE w:val="0"/>
        <w:autoSpaceDN w:val="0"/>
        <w:adjustRightInd w:val="0"/>
        <w:rPr>
          <w:rFonts w:eastAsia="TimesNewRoman"/>
          <w:sz w:val="20"/>
        </w:rPr>
      </w:pPr>
      <w:r>
        <w:rPr>
          <w:rFonts w:eastAsia="TimesNewRoman"/>
          <w:sz w:val="20"/>
        </w:rPr>
        <w:t>Change “IV2P” to “V2P”</w:t>
      </w:r>
    </w:p>
    <w:p w:rsidR="003B54B2" w:rsidRDefault="003B54B2" w:rsidP="003B54B2">
      <w:pPr>
        <w:autoSpaceDE w:val="0"/>
        <w:autoSpaceDN w:val="0"/>
        <w:adjustRightInd w:val="0"/>
        <w:rPr>
          <w:rFonts w:eastAsia="TimesNewRoman"/>
          <w:sz w:val="20"/>
        </w:rPr>
      </w:pPr>
      <w:r>
        <w:rPr>
          <w:rFonts w:eastAsia="TimesNewRoman"/>
          <w:sz w:val="20"/>
        </w:rPr>
        <w:t>Change “IV3P” to “V3P”</w:t>
      </w:r>
    </w:p>
    <w:p w:rsidR="003B54B2" w:rsidRDefault="003B54B2" w:rsidP="003B54B2">
      <w:pPr>
        <w:autoSpaceDE w:val="0"/>
        <w:autoSpaceDN w:val="0"/>
        <w:adjustRightInd w:val="0"/>
        <w:rPr>
          <w:rFonts w:eastAsia="TimesNewRoman"/>
          <w:sz w:val="20"/>
        </w:rPr>
      </w:pPr>
      <w:r>
        <w:rPr>
          <w:rFonts w:eastAsia="TimesNewRoman"/>
          <w:sz w:val="20"/>
        </w:rPr>
        <w:t>Change “IV Counter” to “V Counter”</w:t>
      </w:r>
    </w:p>
    <w:p w:rsidR="003B54B2" w:rsidRDefault="003B54B2" w:rsidP="003B54B2">
      <w:pPr>
        <w:autoSpaceDE w:val="0"/>
        <w:autoSpaceDN w:val="0"/>
        <w:adjustRightInd w:val="0"/>
        <w:rPr>
          <w:rFonts w:eastAsia="TimesNewRoman"/>
          <w:sz w:val="20"/>
        </w:rPr>
      </w:pPr>
      <w:r>
        <w:rPr>
          <w:rFonts w:eastAsia="TimesNewRoman"/>
          <w:sz w:val="20"/>
        </w:rPr>
        <w:t>Change “IV1” to “V1”</w:t>
      </w:r>
    </w:p>
    <w:p w:rsidR="003B54B2" w:rsidRDefault="003B54B2" w:rsidP="003B54B2">
      <w:pPr>
        <w:autoSpaceDE w:val="0"/>
        <w:autoSpaceDN w:val="0"/>
        <w:adjustRightInd w:val="0"/>
        <w:rPr>
          <w:rFonts w:eastAsia="TimesNewRoman"/>
          <w:sz w:val="20"/>
        </w:rPr>
      </w:pPr>
      <w:r>
        <w:rPr>
          <w:rFonts w:eastAsia="TimesNewRoman"/>
          <w:sz w:val="20"/>
        </w:rPr>
        <w:t>Change “IV2” to “V2”</w:t>
      </w:r>
    </w:p>
    <w:p w:rsidR="003B54B2" w:rsidRDefault="003B54B2" w:rsidP="003B54B2">
      <w:pPr>
        <w:autoSpaceDE w:val="0"/>
        <w:autoSpaceDN w:val="0"/>
        <w:adjustRightInd w:val="0"/>
        <w:rPr>
          <w:rFonts w:eastAsia="TimesNewRoman"/>
          <w:sz w:val="20"/>
        </w:rPr>
      </w:pPr>
      <w:r>
        <w:rPr>
          <w:rFonts w:eastAsia="TimesNewRoman"/>
          <w:sz w:val="20"/>
        </w:rPr>
        <w:t>Change “IV3” to “V3”</w:t>
      </w:r>
    </w:p>
    <w:p w:rsidR="00873EBF" w:rsidRDefault="00873EBF" w:rsidP="003B54B2">
      <w:pPr>
        <w:autoSpaceDE w:val="0"/>
        <w:autoSpaceDN w:val="0"/>
        <w:adjustRightInd w:val="0"/>
        <w:rPr>
          <w:rFonts w:eastAsia="TimesNewRoman"/>
          <w:sz w:val="20"/>
        </w:rPr>
      </w:pPr>
    </w:p>
    <w:p w:rsidR="003B54B2" w:rsidRDefault="003B54B2" w:rsidP="003B54B2">
      <w:pPr>
        <w:autoSpaceDE w:val="0"/>
        <w:autoSpaceDN w:val="0"/>
        <w:adjustRightInd w:val="0"/>
        <w:rPr>
          <w:rFonts w:eastAsia="TimesNewRoman"/>
          <w:sz w:val="20"/>
        </w:rPr>
      </w:pPr>
    </w:p>
    <w:p w:rsidR="003B54B2" w:rsidRDefault="003B54B2" w:rsidP="003B54B2">
      <w:pPr>
        <w:autoSpaceDE w:val="0"/>
        <w:autoSpaceDN w:val="0"/>
        <w:adjustRightInd w:val="0"/>
        <w:rPr>
          <w:rFonts w:eastAsia="TimesNewRoman"/>
          <w:b/>
          <w:i/>
          <w:color w:val="FF0000"/>
          <w:sz w:val="20"/>
        </w:rPr>
      </w:pPr>
      <w:r>
        <w:rPr>
          <w:rFonts w:eastAsia="TimesNewRoman"/>
          <w:b/>
          <w:i/>
          <w:color w:val="FF0000"/>
          <w:sz w:val="20"/>
        </w:rPr>
        <w:t>In 7.4.4.40, change Lines 18-19 on Page 71 as follows</w:t>
      </w:r>
      <w:r w:rsidRPr="0090329B">
        <w:rPr>
          <w:rFonts w:eastAsia="TimesNewRoman"/>
          <w:b/>
          <w:i/>
          <w:color w:val="FF0000"/>
          <w:sz w:val="20"/>
        </w:rPr>
        <w:t>:</w:t>
      </w:r>
    </w:p>
    <w:p w:rsidR="003B54B2" w:rsidRDefault="003B54B2" w:rsidP="003B54B2">
      <w:pPr>
        <w:autoSpaceDE w:val="0"/>
        <w:autoSpaceDN w:val="0"/>
        <w:adjustRightInd w:val="0"/>
        <w:rPr>
          <w:rFonts w:eastAsia="TimesNewRoman"/>
          <w:sz w:val="20"/>
        </w:rPr>
      </w:pPr>
    </w:p>
    <w:p w:rsidR="003B54B2" w:rsidRDefault="006657F6" w:rsidP="003B54B2">
      <w:pPr>
        <w:autoSpaceDE w:val="0"/>
        <w:autoSpaceDN w:val="0"/>
        <w:adjustRightInd w:val="0"/>
        <w:rPr>
          <w:rFonts w:eastAsia="TimesNewRoman"/>
          <w:sz w:val="20"/>
        </w:rPr>
      </w:pPr>
      <w:r w:rsidRPr="006657F6">
        <w:rPr>
          <w:rFonts w:eastAsia="TimesNewRoman"/>
          <w:sz w:val="20"/>
        </w:rPr>
        <w:t>The RSK</w:t>
      </w:r>
      <w:r w:rsidRPr="006657F6">
        <w:rPr>
          <w:rFonts w:eastAsia="TimesNewRoman"/>
          <w:strike/>
          <w:sz w:val="20"/>
        </w:rPr>
        <w:t>I</w:t>
      </w:r>
      <w:r>
        <w:rPr>
          <w:rFonts w:eastAsia="TimesNewRoman"/>
          <w:sz w:val="20"/>
        </w:rPr>
        <w:t>D</w:t>
      </w:r>
      <w:r w:rsidRPr="006657F6">
        <w:rPr>
          <w:rFonts w:eastAsia="TimesNewRoman"/>
          <w:sz w:val="20"/>
        </w:rPr>
        <w:t xml:space="preserve"> IE </w:t>
      </w:r>
      <w:r w:rsidRPr="006657F6">
        <w:rPr>
          <w:rFonts w:eastAsia="TimesNewRoman"/>
          <w:strike/>
          <w:sz w:val="20"/>
        </w:rPr>
        <w:t>may</w:t>
      </w:r>
      <w:r w:rsidRPr="006657F6">
        <w:rPr>
          <w:rFonts w:eastAsia="TimesNewRoman"/>
          <w:sz w:val="20"/>
          <w:u w:val="single"/>
        </w:rPr>
        <w:t>can</w:t>
      </w:r>
      <w:r w:rsidRPr="006657F6">
        <w:rPr>
          <w:rFonts w:eastAsia="TimesNewRoman"/>
          <w:sz w:val="20"/>
        </w:rPr>
        <w:t xml:space="preserve"> be used to convey and align the seed</w:t>
      </w:r>
      <w:r w:rsidRPr="006657F6">
        <w:rPr>
          <w:rFonts w:eastAsia="TimesNewRoman"/>
          <w:strike/>
          <w:sz w:val="20"/>
        </w:rPr>
        <w:t>,</w:t>
      </w:r>
      <w:r w:rsidRPr="006657F6">
        <w:rPr>
          <w:rFonts w:eastAsia="TimesNewRoman"/>
          <w:sz w:val="20"/>
        </w:rPr>
        <w:t xml:space="preserve"> (i.e., key and data</w:t>
      </w:r>
      <w:r w:rsidRPr="006657F6">
        <w:rPr>
          <w:rFonts w:eastAsia="TimesNewRoman"/>
          <w:strike/>
          <w:sz w:val="20"/>
        </w:rPr>
        <w:t xml:space="preserve"> IV</w:t>
      </w:r>
      <w:r w:rsidRPr="006657F6">
        <w:rPr>
          <w:rFonts w:eastAsia="TimesNewRoman"/>
          <w:sz w:val="20"/>
        </w:rPr>
        <w:t>)</w:t>
      </w:r>
      <w:r w:rsidRPr="006657F6">
        <w:rPr>
          <w:rFonts w:eastAsia="TimesNewRoman"/>
          <w:strike/>
          <w:sz w:val="20"/>
        </w:rPr>
        <w:t>,</w:t>
      </w:r>
      <w:r w:rsidRPr="006657F6">
        <w:rPr>
          <w:rFonts w:eastAsia="TimesNewRoman"/>
          <w:sz w:val="20"/>
        </w:rPr>
        <w:t xml:space="preserve"> used for STS generation. The content field of the RSK</w:t>
      </w:r>
      <w:r w:rsidRPr="006657F6">
        <w:rPr>
          <w:rFonts w:eastAsia="TimesNewRoman"/>
          <w:strike/>
          <w:sz w:val="20"/>
        </w:rPr>
        <w:t>I</w:t>
      </w:r>
      <w:r>
        <w:rPr>
          <w:rFonts w:eastAsia="TimesNewRoman"/>
          <w:sz w:val="20"/>
        </w:rPr>
        <w:t>D</w:t>
      </w:r>
      <w:r w:rsidRPr="006657F6">
        <w:rPr>
          <w:rFonts w:eastAsia="TimesNewRoman"/>
          <w:sz w:val="20"/>
        </w:rPr>
        <w:t xml:space="preserve"> IE shall be formatted as shown in Figure 56.</w:t>
      </w:r>
    </w:p>
    <w:p w:rsidR="003B54B2" w:rsidRPr="007948ED" w:rsidRDefault="003B54B2" w:rsidP="003B54B2">
      <w:pPr>
        <w:autoSpaceDE w:val="0"/>
        <w:autoSpaceDN w:val="0"/>
        <w:adjustRightInd w:val="0"/>
        <w:rPr>
          <w:rFonts w:eastAsia="TimesNewRoman"/>
          <w:sz w:val="20"/>
        </w:rPr>
      </w:pPr>
    </w:p>
    <w:p w:rsidR="003B54B2" w:rsidRDefault="003B54B2" w:rsidP="003B54B2">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b/>
          <w:i/>
          <w:color w:val="FF0000"/>
          <w:sz w:val="20"/>
        </w:rPr>
      </w:pPr>
      <w:r>
        <w:rPr>
          <w:rFonts w:eastAsia="TimesNewRoman"/>
          <w:b/>
          <w:i/>
          <w:color w:val="FF0000"/>
          <w:sz w:val="20"/>
        </w:rPr>
        <w:t>In 7.4.4.40, change Lines 10-13 on Page 72 as follows</w:t>
      </w:r>
      <w:r w:rsidRPr="0090329B">
        <w:rPr>
          <w:rFonts w:eastAsia="TimesNewRoman"/>
          <w:b/>
          <w:i/>
          <w:color w:val="FF0000"/>
          <w:sz w:val="20"/>
        </w:rPr>
        <w:t>:</w:t>
      </w:r>
    </w:p>
    <w:p w:rsid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r w:rsidRPr="007948ED">
        <w:rPr>
          <w:rFonts w:eastAsia="TimesNewRoman"/>
          <w:sz w:val="20"/>
        </w:rPr>
        <w:t xml:space="preserve">The </w:t>
      </w:r>
      <w:bookmarkStart w:id="1" w:name="_Hlk19765194"/>
      <w:r w:rsidRPr="006657F6">
        <w:rPr>
          <w:rFonts w:eastAsia="TimesNewRoman"/>
          <w:strike/>
          <w:sz w:val="20"/>
        </w:rPr>
        <w:t>I</w:t>
      </w:r>
      <w:bookmarkEnd w:id="1"/>
      <w:r w:rsidRPr="007948ED">
        <w:rPr>
          <w:rFonts w:eastAsia="TimesNewRoman"/>
          <w:sz w:val="20"/>
        </w:rPr>
        <w:t xml:space="preserve">V Counter field, if present, contains a 4-octet string to set the counter portion of the </w:t>
      </w:r>
      <w:r w:rsidRPr="007948ED">
        <w:rPr>
          <w:rFonts w:eastAsia="TimesNewRoman"/>
          <w:strike/>
          <w:sz w:val="20"/>
        </w:rPr>
        <w:t>IV</w:t>
      </w:r>
      <w:r>
        <w:rPr>
          <w:rFonts w:eastAsia="TimesNewRoman"/>
          <w:sz w:val="20"/>
          <w:u w:val="single"/>
        </w:rPr>
        <w:t>STS generation data</w:t>
      </w:r>
      <w:r w:rsidRPr="007948ED">
        <w:rPr>
          <w:rFonts w:eastAsia="TimesNewRoman"/>
          <w:sz w:val="20"/>
        </w:rPr>
        <w:t>.</w:t>
      </w:r>
    </w:p>
    <w:p w:rsidR="007948ED" w:rsidRP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r w:rsidRPr="007948ED">
        <w:rPr>
          <w:rFonts w:eastAsia="TimesNewRoman"/>
          <w:sz w:val="20"/>
        </w:rPr>
        <w:t xml:space="preserve">The </w:t>
      </w:r>
      <w:r w:rsidR="006657F6" w:rsidRPr="006657F6">
        <w:rPr>
          <w:rFonts w:eastAsia="TimesNewRoman"/>
          <w:strike/>
          <w:sz w:val="20"/>
        </w:rPr>
        <w:t>I</w:t>
      </w:r>
      <w:r w:rsidRPr="007948ED">
        <w:rPr>
          <w:rFonts w:eastAsia="TimesNewRoman"/>
          <w:sz w:val="20"/>
        </w:rPr>
        <w:t xml:space="preserve">V1 field, if present, contains a 4-octet string to set bits 32 to 63 of the </w:t>
      </w:r>
      <w:r w:rsidRPr="007948ED">
        <w:rPr>
          <w:rFonts w:eastAsia="TimesNewRoman"/>
          <w:strike/>
          <w:sz w:val="20"/>
        </w:rPr>
        <w:t>IV</w:t>
      </w:r>
      <w:r>
        <w:rPr>
          <w:rFonts w:eastAsia="TimesNewRoman"/>
          <w:sz w:val="20"/>
          <w:u w:val="single"/>
        </w:rPr>
        <w:t>STS generation data</w:t>
      </w:r>
      <w:r w:rsidRPr="007948ED">
        <w:rPr>
          <w:rFonts w:eastAsia="TimesNewRoman"/>
          <w:sz w:val="20"/>
        </w:rPr>
        <w:t>.</w:t>
      </w:r>
    </w:p>
    <w:p w:rsidR="007948ED" w:rsidRP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r w:rsidRPr="007948ED">
        <w:rPr>
          <w:rFonts w:eastAsia="TimesNewRoman"/>
          <w:sz w:val="20"/>
        </w:rPr>
        <w:t xml:space="preserve">The </w:t>
      </w:r>
      <w:r w:rsidR="006657F6" w:rsidRPr="006657F6">
        <w:rPr>
          <w:rFonts w:eastAsia="TimesNewRoman"/>
          <w:strike/>
          <w:sz w:val="20"/>
        </w:rPr>
        <w:t>I</w:t>
      </w:r>
      <w:r w:rsidRPr="007948ED">
        <w:rPr>
          <w:rFonts w:eastAsia="TimesNewRoman"/>
          <w:sz w:val="20"/>
        </w:rPr>
        <w:t xml:space="preserve">V2 field, if present, contains a 4-octet string to set bits 64 to 95 of the </w:t>
      </w:r>
      <w:r w:rsidRPr="007948ED">
        <w:rPr>
          <w:rFonts w:eastAsia="TimesNewRoman"/>
          <w:strike/>
          <w:sz w:val="20"/>
        </w:rPr>
        <w:t>IV</w:t>
      </w:r>
      <w:r>
        <w:rPr>
          <w:rFonts w:eastAsia="TimesNewRoman"/>
          <w:sz w:val="20"/>
          <w:u w:val="single"/>
        </w:rPr>
        <w:t>STS generation data</w:t>
      </w:r>
      <w:r w:rsidRPr="007948ED">
        <w:rPr>
          <w:rFonts w:eastAsia="TimesNewRoman"/>
          <w:sz w:val="20"/>
        </w:rPr>
        <w:t>.</w:t>
      </w:r>
    </w:p>
    <w:p w:rsidR="007948ED" w:rsidRPr="007948ED" w:rsidRDefault="007948ED" w:rsidP="007948ED">
      <w:pPr>
        <w:autoSpaceDE w:val="0"/>
        <w:autoSpaceDN w:val="0"/>
        <w:adjustRightInd w:val="0"/>
        <w:rPr>
          <w:rFonts w:eastAsia="TimesNewRoman"/>
          <w:sz w:val="20"/>
        </w:rPr>
      </w:pPr>
    </w:p>
    <w:p w:rsidR="007948ED" w:rsidRDefault="007948ED" w:rsidP="007948ED">
      <w:pPr>
        <w:autoSpaceDE w:val="0"/>
        <w:autoSpaceDN w:val="0"/>
        <w:adjustRightInd w:val="0"/>
        <w:rPr>
          <w:rFonts w:eastAsia="TimesNewRoman"/>
          <w:sz w:val="20"/>
        </w:rPr>
      </w:pPr>
      <w:r w:rsidRPr="007948ED">
        <w:rPr>
          <w:rFonts w:eastAsia="TimesNewRoman"/>
          <w:sz w:val="20"/>
        </w:rPr>
        <w:t xml:space="preserve">The </w:t>
      </w:r>
      <w:r w:rsidR="006657F6" w:rsidRPr="006657F6">
        <w:rPr>
          <w:rFonts w:eastAsia="TimesNewRoman"/>
          <w:strike/>
          <w:sz w:val="20"/>
        </w:rPr>
        <w:t>I</w:t>
      </w:r>
      <w:r w:rsidRPr="007948ED">
        <w:rPr>
          <w:rFonts w:eastAsia="TimesNewRoman"/>
          <w:sz w:val="20"/>
        </w:rPr>
        <w:t xml:space="preserve">V3 field, if present, contains a 4-octet string to set bits 96 to 127 of the </w:t>
      </w:r>
      <w:r w:rsidRPr="007948ED">
        <w:rPr>
          <w:rFonts w:eastAsia="TimesNewRoman"/>
          <w:strike/>
          <w:sz w:val="20"/>
        </w:rPr>
        <w:t>IV</w:t>
      </w:r>
      <w:r>
        <w:rPr>
          <w:rFonts w:eastAsia="TimesNewRoman"/>
          <w:sz w:val="20"/>
          <w:u w:val="single"/>
        </w:rPr>
        <w:t>STS generation data</w:t>
      </w:r>
      <w:r w:rsidRPr="007948ED">
        <w:rPr>
          <w:rFonts w:eastAsia="TimesNewRoman"/>
          <w:sz w:val="20"/>
        </w:rPr>
        <w:t>.</w:t>
      </w:r>
    </w:p>
    <w:p w:rsidR="001F55AB" w:rsidRDefault="001F55AB" w:rsidP="007948ED">
      <w:pPr>
        <w:autoSpaceDE w:val="0"/>
        <w:autoSpaceDN w:val="0"/>
        <w:adjustRightInd w:val="0"/>
        <w:rPr>
          <w:rFonts w:eastAsia="TimesNewRoman"/>
          <w:sz w:val="20"/>
        </w:rPr>
      </w:pPr>
    </w:p>
    <w:p w:rsidR="001F55AB" w:rsidRPr="001F55AB" w:rsidRDefault="001F55AB" w:rsidP="007948ED">
      <w:pPr>
        <w:autoSpaceDE w:val="0"/>
        <w:autoSpaceDN w:val="0"/>
        <w:adjustRightInd w:val="0"/>
        <w:rPr>
          <w:rFonts w:eastAsia="TimesNewRoman"/>
          <w:sz w:val="20"/>
          <w:u w:val="single"/>
        </w:rPr>
      </w:pPr>
      <w:r w:rsidRPr="001F55AB">
        <w:rPr>
          <w:rFonts w:eastAsia="TimesNewRoman"/>
          <w:sz w:val="20"/>
          <w:u w:val="single"/>
        </w:rPr>
        <w:t>V Counter, V1, V2, and V3 can be transmitted separately to facilitate synchronization between ranging nodes.</w:t>
      </w:r>
    </w:p>
    <w:p w:rsidR="007948ED" w:rsidRDefault="007948ED" w:rsidP="007948ED">
      <w:pPr>
        <w:autoSpaceDE w:val="0"/>
        <w:autoSpaceDN w:val="0"/>
        <w:adjustRightInd w:val="0"/>
        <w:rPr>
          <w:rFonts w:eastAsia="TimesNewRoman"/>
          <w:sz w:val="20"/>
        </w:rPr>
      </w:pPr>
    </w:p>
    <w:p w:rsidR="007948ED" w:rsidRDefault="007948ED" w:rsidP="006311C9">
      <w:pPr>
        <w:autoSpaceDE w:val="0"/>
        <w:autoSpaceDN w:val="0"/>
        <w:adjustRightInd w:val="0"/>
        <w:rPr>
          <w:rFonts w:eastAsia="TimesNewRoman"/>
          <w:sz w:val="20"/>
        </w:rPr>
      </w:pPr>
    </w:p>
    <w:p w:rsidR="007948ED" w:rsidRDefault="007948ED" w:rsidP="006311C9">
      <w:pPr>
        <w:autoSpaceDE w:val="0"/>
        <w:autoSpaceDN w:val="0"/>
        <w:adjustRightInd w:val="0"/>
        <w:rPr>
          <w:rFonts w:eastAsia="TimesNewRoman"/>
          <w:sz w:val="20"/>
        </w:rPr>
      </w:pPr>
    </w:p>
    <w:p w:rsidR="007948ED" w:rsidRDefault="007948ED" w:rsidP="007948ED">
      <w:pPr>
        <w:widowControl w:val="0"/>
        <w:spacing w:before="120"/>
        <w:rPr>
          <w:b/>
          <w:sz w:val="28"/>
        </w:rPr>
      </w:pPr>
      <w:r>
        <w:rPr>
          <w:b/>
          <w:sz w:val="28"/>
        </w:rPr>
        <w:t xml:space="preserve">The following resolution applies to </w:t>
      </w:r>
      <w:r w:rsidRPr="00D37264">
        <w:rPr>
          <w:b/>
          <w:sz w:val="28"/>
        </w:rPr>
        <w:t>r1-</w:t>
      </w:r>
      <w:r>
        <w:rPr>
          <w:b/>
          <w:sz w:val="28"/>
        </w:rPr>
        <w:t>0522.</w:t>
      </w:r>
    </w:p>
    <w:p w:rsidR="007948ED" w:rsidRDefault="007948ED" w:rsidP="007948ED">
      <w:pPr>
        <w:autoSpaceDE w:val="0"/>
        <w:autoSpaceDN w:val="0"/>
        <w:adjustRightInd w:val="0"/>
        <w:rPr>
          <w:rFonts w:eastAsia="TimesNewRoman"/>
          <w:b/>
          <w:i/>
          <w:color w:val="FF0000"/>
          <w:sz w:val="20"/>
        </w:rPr>
      </w:pPr>
    </w:p>
    <w:p w:rsidR="007948ED" w:rsidRPr="007E3C44" w:rsidRDefault="007948ED" w:rsidP="007948ED">
      <w:pPr>
        <w:autoSpaceDE w:val="0"/>
        <w:autoSpaceDN w:val="0"/>
        <w:adjustRightInd w:val="0"/>
        <w:rPr>
          <w:b/>
          <w:bCs/>
          <w:szCs w:val="24"/>
        </w:rPr>
      </w:pPr>
      <w:r>
        <w:rPr>
          <w:b/>
          <w:bCs/>
          <w:szCs w:val="24"/>
        </w:rPr>
        <w:t>Resolution detail:</w:t>
      </w:r>
    </w:p>
    <w:p w:rsidR="007948ED" w:rsidRDefault="007948ED" w:rsidP="007948ED">
      <w:pPr>
        <w:autoSpaceDE w:val="0"/>
        <w:autoSpaceDN w:val="0"/>
        <w:adjustRightInd w:val="0"/>
        <w:rPr>
          <w:rFonts w:eastAsia="TimesNewRoman"/>
          <w:sz w:val="20"/>
        </w:rPr>
      </w:pPr>
      <w:r>
        <w:rPr>
          <w:rFonts w:eastAsia="TimesNewRoman"/>
          <w:sz w:val="20"/>
        </w:rPr>
        <w:t xml:space="preserve">The </w:t>
      </w:r>
      <w:r w:rsidR="00CF2D3E">
        <w:rPr>
          <w:rFonts w:eastAsia="TimesNewRoman"/>
          <w:sz w:val="20"/>
        </w:rPr>
        <w:t>Checksum field allows the next higher layer to authenticate the STS Key and Data separately, for example when the means to generate FCS are known to a large number of nodes.</w:t>
      </w:r>
    </w:p>
    <w:p w:rsidR="007948ED" w:rsidRDefault="007948ED" w:rsidP="007948ED">
      <w:pPr>
        <w:autoSpaceDE w:val="0"/>
        <w:autoSpaceDN w:val="0"/>
        <w:adjustRightInd w:val="0"/>
        <w:rPr>
          <w:rFonts w:eastAsia="TimesNewRoman"/>
          <w:sz w:val="20"/>
        </w:rPr>
      </w:pPr>
    </w:p>
    <w:p w:rsidR="007948ED" w:rsidRDefault="007948ED" w:rsidP="006311C9">
      <w:pPr>
        <w:autoSpaceDE w:val="0"/>
        <w:autoSpaceDN w:val="0"/>
        <w:adjustRightInd w:val="0"/>
        <w:rPr>
          <w:rFonts w:eastAsia="TimesNewRoman"/>
          <w:sz w:val="20"/>
        </w:rPr>
      </w:pPr>
    </w:p>
    <w:p w:rsidR="001F55AB" w:rsidRDefault="001F55AB" w:rsidP="006311C9">
      <w:pPr>
        <w:autoSpaceDE w:val="0"/>
        <w:autoSpaceDN w:val="0"/>
        <w:adjustRightInd w:val="0"/>
        <w:rPr>
          <w:rFonts w:eastAsia="TimesNewRoman"/>
          <w:sz w:val="20"/>
        </w:rPr>
      </w:pPr>
    </w:p>
    <w:p w:rsidR="001F55AB" w:rsidRDefault="001F55AB" w:rsidP="001F55AB">
      <w:pPr>
        <w:widowControl w:val="0"/>
        <w:spacing w:before="120"/>
        <w:rPr>
          <w:b/>
          <w:sz w:val="28"/>
        </w:rPr>
      </w:pPr>
      <w:r>
        <w:rPr>
          <w:b/>
          <w:sz w:val="28"/>
        </w:rPr>
        <w:t xml:space="preserve">The following resolution applies to </w:t>
      </w:r>
      <w:r w:rsidRPr="001F55AB">
        <w:rPr>
          <w:b/>
          <w:sz w:val="28"/>
        </w:rPr>
        <w:t>r1-0684</w:t>
      </w:r>
      <w:r>
        <w:rPr>
          <w:b/>
          <w:sz w:val="28"/>
        </w:rPr>
        <w:t xml:space="preserve">, </w:t>
      </w:r>
      <w:r w:rsidRPr="001F55AB">
        <w:rPr>
          <w:b/>
          <w:sz w:val="28"/>
        </w:rPr>
        <w:t>r1-0782</w:t>
      </w:r>
      <w:r>
        <w:rPr>
          <w:b/>
          <w:sz w:val="28"/>
        </w:rPr>
        <w:t xml:space="preserve">, </w:t>
      </w:r>
      <w:r w:rsidRPr="001F55AB">
        <w:rPr>
          <w:b/>
          <w:sz w:val="28"/>
        </w:rPr>
        <w:t>r1-0783</w:t>
      </w:r>
      <w:r>
        <w:rPr>
          <w:b/>
          <w:sz w:val="28"/>
        </w:rPr>
        <w:t xml:space="preserve">, </w:t>
      </w:r>
      <w:r w:rsidRPr="001F55AB">
        <w:rPr>
          <w:b/>
          <w:sz w:val="28"/>
        </w:rPr>
        <w:t>r1-0784</w:t>
      </w:r>
      <w:r>
        <w:rPr>
          <w:b/>
          <w:sz w:val="28"/>
        </w:rPr>
        <w:t xml:space="preserve">, </w:t>
      </w:r>
      <w:r w:rsidRPr="001F55AB">
        <w:rPr>
          <w:b/>
          <w:sz w:val="28"/>
        </w:rPr>
        <w:t>r1-0785</w:t>
      </w:r>
      <w:r>
        <w:rPr>
          <w:b/>
          <w:sz w:val="28"/>
        </w:rPr>
        <w:t xml:space="preserve">, </w:t>
      </w:r>
      <w:r w:rsidRPr="001F55AB">
        <w:rPr>
          <w:b/>
          <w:sz w:val="28"/>
        </w:rPr>
        <w:t>r1-0786</w:t>
      </w:r>
      <w:r>
        <w:rPr>
          <w:b/>
          <w:sz w:val="28"/>
        </w:rPr>
        <w:t xml:space="preserve">, </w:t>
      </w:r>
      <w:r w:rsidRPr="001F55AB">
        <w:rPr>
          <w:b/>
          <w:sz w:val="28"/>
        </w:rPr>
        <w:t>r1-0787</w:t>
      </w:r>
      <w:r>
        <w:rPr>
          <w:b/>
          <w:sz w:val="28"/>
        </w:rPr>
        <w:t xml:space="preserve">, </w:t>
      </w:r>
      <w:r w:rsidRPr="001F55AB">
        <w:rPr>
          <w:b/>
          <w:sz w:val="28"/>
        </w:rPr>
        <w:t>r1-0788</w:t>
      </w:r>
      <w:r>
        <w:rPr>
          <w:b/>
          <w:sz w:val="28"/>
        </w:rPr>
        <w:t xml:space="preserve">, </w:t>
      </w:r>
      <w:r w:rsidRPr="001F55AB">
        <w:rPr>
          <w:b/>
          <w:sz w:val="28"/>
        </w:rPr>
        <w:t>r1-0789</w:t>
      </w:r>
      <w:r>
        <w:rPr>
          <w:b/>
          <w:sz w:val="28"/>
        </w:rPr>
        <w:t xml:space="preserve">, </w:t>
      </w:r>
      <w:r w:rsidRPr="001F55AB">
        <w:rPr>
          <w:b/>
          <w:sz w:val="28"/>
        </w:rPr>
        <w:t>r1-0790</w:t>
      </w:r>
      <w:r>
        <w:rPr>
          <w:b/>
          <w:sz w:val="28"/>
        </w:rPr>
        <w:t xml:space="preserve">, </w:t>
      </w:r>
      <w:r w:rsidRPr="001F55AB">
        <w:rPr>
          <w:b/>
          <w:sz w:val="28"/>
        </w:rPr>
        <w:t>r1-0791</w:t>
      </w:r>
      <w:r>
        <w:rPr>
          <w:b/>
          <w:sz w:val="28"/>
        </w:rPr>
        <w:t xml:space="preserve">, </w:t>
      </w:r>
      <w:r w:rsidRPr="001F55AB">
        <w:rPr>
          <w:b/>
          <w:sz w:val="28"/>
        </w:rPr>
        <w:t>r1-0793</w:t>
      </w:r>
      <w:r>
        <w:rPr>
          <w:b/>
          <w:sz w:val="28"/>
        </w:rPr>
        <w:t xml:space="preserve">, </w:t>
      </w:r>
      <w:r w:rsidRPr="001F55AB">
        <w:rPr>
          <w:b/>
          <w:sz w:val="28"/>
        </w:rPr>
        <w:t>r1-0800</w:t>
      </w:r>
      <w:r>
        <w:rPr>
          <w:b/>
          <w:sz w:val="28"/>
        </w:rPr>
        <w:t xml:space="preserve">, </w:t>
      </w:r>
      <w:r w:rsidRPr="001F55AB">
        <w:rPr>
          <w:b/>
          <w:sz w:val="28"/>
        </w:rPr>
        <w:t>r1-0801</w:t>
      </w:r>
      <w:r>
        <w:rPr>
          <w:b/>
          <w:sz w:val="28"/>
        </w:rPr>
        <w:t xml:space="preserve">, </w:t>
      </w:r>
      <w:r w:rsidRPr="001F55AB">
        <w:rPr>
          <w:b/>
          <w:sz w:val="28"/>
        </w:rPr>
        <w:t>r1-0810</w:t>
      </w:r>
      <w:r>
        <w:rPr>
          <w:b/>
          <w:sz w:val="28"/>
        </w:rPr>
        <w:t xml:space="preserve">, </w:t>
      </w:r>
      <w:r w:rsidRPr="001F55AB">
        <w:rPr>
          <w:b/>
          <w:sz w:val="28"/>
        </w:rPr>
        <w:t>r1-0811</w:t>
      </w:r>
      <w:r>
        <w:rPr>
          <w:b/>
          <w:sz w:val="28"/>
        </w:rPr>
        <w:t>.</w:t>
      </w:r>
    </w:p>
    <w:p w:rsidR="001F55AB" w:rsidRDefault="001F55AB" w:rsidP="001F55AB">
      <w:pPr>
        <w:autoSpaceDE w:val="0"/>
        <w:autoSpaceDN w:val="0"/>
        <w:adjustRightInd w:val="0"/>
        <w:rPr>
          <w:rFonts w:eastAsia="TimesNewRoman"/>
          <w:b/>
          <w:i/>
          <w:color w:val="FF0000"/>
          <w:sz w:val="20"/>
        </w:rPr>
      </w:pPr>
    </w:p>
    <w:p w:rsidR="001F55AB" w:rsidRPr="007E3C44" w:rsidRDefault="001F55AB" w:rsidP="001F55AB">
      <w:pPr>
        <w:autoSpaceDE w:val="0"/>
        <w:autoSpaceDN w:val="0"/>
        <w:adjustRightInd w:val="0"/>
        <w:rPr>
          <w:b/>
          <w:bCs/>
          <w:szCs w:val="24"/>
        </w:rPr>
      </w:pPr>
      <w:r>
        <w:rPr>
          <w:b/>
          <w:bCs/>
          <w:szCs w:val="24"/>
        </w:rPr>
        <w:t>Resolution detail:</w:t>
      </w:r>
    </w:p>
    <w:p w:rsidR="001F55AB" w:rsidRDefault="001F55AB" w:rsidP="001F55AB">
      <w:pPr>
        <w:autoSpaceDE w:val="0"/>
        <w:autoSpaceDN w:val="0"/>
        <w:adjustRightInd w:val="0"/>
        <w:rPr>
          <w:rFonts w:eastAsia="TimesNewRoman"/>
          <w:sz w:val="20"/>
        </w:rPr>
      </w:pPr>
      <w:r>
        <w:rPr>
          <w:rFonts w:eastAsia="TimesNewRoman"/>
          <w:sz w:val="20"/>
        </w:rPr>
        <w:t xml:space="preserve">Having STS-related PIB attributes is clearer than relating all associated PHY sections to a </w:t>
      </w:r>
      <w:r w:rsidR="00250FC1">
        <w:rPr>
          <w:rFonts w:eastAsia="TimesNewRoman"/>
          <w:sz w:val="20"/>
        </w:rPr>
        <w:t>primitive</w:t>
      </w:r>
      <w:r>
        <w:rPr>
          <w:rFonts w:eastAsia="TimesNewRoman"/>
          <w:sz w:val="20"/>
        </w:rPr>
        <w:t>.</w:t>
      </w:r>
    </w:p>
    <w:p w:rsidR="001F55AB" w:rsidRDefault="001F55AB" w:rsidP="006311C9">
      <w:pPr>
        <w:autoSpaceDE w:val="0"/>
        <w:autoSpaceDN w:val="0"/>
        <w:adjustRightInd w:val="0"/>
        <w:rPr>
          <w:rFonts w:eastAsia="TimesNewRoman"/>
          <w:sz w:val="20"/>
        </w:rPr>
      </w:pPr>
    </w:p>
    <w:p w:rsidR="001F55AB" w:rsidRDefault="001F55AB" w:rsidP="006311C9">
      <w:pPr>
        <w:autoSpaceDE w:val="0"/>
        <w:autoSpaceDN w:val="0"/>
        <w:adjustRightInd w:val="0"/>
        <w:rPr>
          <w:rFonts w:eastAsia="TimesNewRoman"/>
          <w:sz w:val="20"/>
        </w:rPr>
      </w:pPr>
    </w:p>
    <w:p w:rsidR="007948ED" w:rsidRDefault="007948ED" w:rsidP="006311C9">
      <w:pPr>
        <w:autoSpaceDE w:val="0"/>
        <w:autoSpaceDN w:val="0"/>
        <w:adjustRightInd w:val="0"/>
        <w:rPr>
          <w:rFonts w:eastAsia="TimesNewRoman"/>
          <w:sz w:val="20"/>
        </w:rPr>
      </w:pPr>
    </w:p>
    <w:p w:rsidR="006E0810" w:rsidRDefault="006E0810" w:rsidP="006311C9">
      <w:pPr>
        <w:autoSpaceDE w:val="0"/>
        <w:autoSpaceDN w:val="0"/>
        <w:adjustRightInd w:val="0"/>
        <w:rPr>
          <w:rFonts w:eastAsia="TimesNewRoman"/>
          <w:sz w:val="20"/>
        </w:rPr>
      </w:pPr>
    </w:p>
    <w:p w:rsidR="006E0810" w:rsidRDefault="006E0810" w:rsidP="006E0810">
      <w:pPr>
        <w:widowControl w:val="0"/>
        <w:spacing w:before="120"/>
        <w:rPr>
          <w:b/>
          <w:sz w:val="28"/>
        </w:rPr>
      </w:pPr>
      <w:r>
        <w:rPr>
          <w:b/>
          <w:sz w:val="28"/>
        </w:rPr>
        <w:t xml:space="preserve">The following resolution applies to </w:t>
      </w:r>
      <w:r w:rsidRPr="00D37264">
        <w:rPr>
          <w:b/>
          <w:sz w:val="28"/>
        </w:rPr>
        <w:t>r1-</w:t>
      </w:r>
      <w:r>
        <w:rPr>
          <w:b/>
          <w:sz w:val="28"/>
        </w:rPr>
        <w:t>0720.</w:t>
      </w:r>
    </w:p>
    <w:p w:rsidR="006E0810" w:rsidRDefault="006E0810" w:rsidP="006E0810">
      <w:pPr>
        <w:widowControl w:val="0"/>
        <w:spacing w:before="120"/>
        <w:rPr>
          <w:b/>
          <w:sz w:val="28"/>
        </w:rPr>
      </w:pPr>
    </w:p>
    <w:p w:rsidR="006E0810" w:rsidRDefault="006E0810" w:rsidP="006E0810">
      <w:pPr>
        <w:autoSpaceDE w:val="0"/>
        <w:autoSpaceDN w:val="0"/>
        <w:adjustRightInd w:val="0"/>
        <w:rPr>
          <w:rFonts w:eastAsia="TimesNewRoman"/>
          <w:b/>
          <w:i/>
          <w:color w:val="FF0000"/>
          <w:sz w:val="20"/>
        </w:rPr>
      </w:pPr>
      <w:r>
        <w:rPr>
          <w:rFonts w:eastAsia="TimesNewRoman"/>
          <w:b/>
          <w:i/>
          <w:color w:val="FF0000"/>
          <w:sz w:val="20"/>
        </w:rPr>
        <w:t xml:space="preserve">In 8.3.3, </w:t>
      </w:r>
      <w:r w:rsidR="00991BA7">
        <w:rPr>
          <w:rFonts w:eastAsia="TimesNewRoman"/>
          <w:b/>
          <w:i/>
          <w:color w:val="FF0000"/>
          <w:sz w:val="20"/>
        </w:rPr>
        <w:t>chang</w:t>
      </w:r>
      <w:r>
        <w:rPr>
          <w:rFonts w:eastAsia="TimesNewRoman"/>
          <w:b/>
          <w:i/>
          <w:color w:val="FF0000"/>
          <w:sz w:val="20"/>
        </w:rPr>
        <w:t>e Lines 9-12 on Page 103 as follows</w:t>
      </w:r>
      <w:r w:rsidRPr="0090329B">
        <w:rPr>
          <w:rFonts w:eastAsia="TimesNewRoman"/>
          <w:b/>
          <w:i/>
          <w:color w:val="FF0000"/>
          <w:sz w:val="20"/>
        </w:rPr>
        <w:t>:</w:t>
      </w:r>
    </w:p>
    <w:p w:rsidR="006E0810" w:rsidRDefault="006E0810" w:rsidP="006E0810">
      <w:pPr>
        <w:autoSpaceDE w:val="0"/>
        <w:autoSpaceDN w:val="0"/>
        <w:adjustRightInd w:val="0"/>
        <w:rPr>
          <w:rFonts w:eastAsia="TimesNewRoman"/>
          <w:sz w:val="20"/>
        </w:rPr>
      </w:pPr>
    </w:p>
    <w:p w:rsidR="006E0810" w:rsidRDefault="006E0810" w:rsidP="006E0810">
      <w:pPr>
        <w:autoSpaceDE w:val="0"/>
        <w:autoSpaceDN w:val="0"/>
        <w:adjustRightInd w:val="0"/>
        <w:rPr>
          <w:rFonts w:eastAsia="TimesNewRoman"/>
          <w:sz w:val="20"/>
        </w:rPr>
      </w:pPr>
      <w:r w:rsidRPr="006E0810">
        <w:rPr>
          <w:rFonts w:eastAsia="TimesNewRoman"/>
          <w:sz w:val="20"/>
        </w:rPr>
        <w:t xml:space="preserve">The next higher layer can estimate the relative clock offset between the remote transmitter and the local reference clock at the receiver based on the reported SRMARKER receive ranging counter values for one or more STS segments. </w:t>
      </w:r>
      <w:r>
        <w:rPr>
          <w:rFonts w:eastAsia="TimesNewRoman"/>
          <w:sz w:val="20"/>
          <w:u w:val="single"/>
        </w:rPr>
        <w:t xml:space="preserve">This allows </w:t>
      </w:r>
      <w:r w:rsidR="00991BA7">
        <w:rPr>
          <w:rFonts w:eastAsia="TimesNewRoman"/>
          <w:sz w:val="20"/>
          <w:u w:val="single"/>
        </w:rPr>
        <w:t xml:space="preserve">estimation of individual </w:t>
      </w:r>
      <w:r>
        <w:rPr>
          <w:rFonts w:eastAsia="TimesNewRoman"/>
          <w:sz w:val="20"/>
          <w:u w:val="single"/>
        </w:rPr>
        <w:t>clock offset</w:t>
      </w:r>
      <w:r w:rsidR="00991BA7">
        <w:rPr>
          <w:rFonts w:eastAsia="TimesNewRoman"/>
          <w:sz w:val="20"/>
          <w:u w:val="single"/>
        </w:rPr>
        <w:t>s</w:t>
      </w:r>
      <w:r>
        <w:rPr>
          <w:rFonts w:eastAsia="TimesNewRoman"/>
          <w:sz w:val="20"/>
          <w:u w:val="single"/>
        </w:rPr>
        <w:t xml:space="preserve"> </w:t>
      </w:r>
      <w:r w:rsidR="00991BA7">
        <w:rPr>
          <w:rFonts w:eastAsia="TimesNewRoman"/>
          <w:sz w:val="20"/>
          <w:u w:val="single"/>
        </w:rPr>
        <w:t>per</w:t>
      </w:r>
      <w:r>
        <w:rPr>
          <w:rFonts w:eastAsia="TimesNewRoman"/>
          <w:sz w:val="20"/>
          <w:u w:val="single"/>
        </w:rPr>
        <w:t xml:space="preserve"> subsystem, in case different subsystems are used to transmit or receive different STS segments, e.g., in ranging nodes featuring antenna diversity.</w:t>
      </w:r>
      <w:r w:rsidR="00991BA7">
        <w:rPr>
          <w:rFonts w:eastAsia="TimesNewRoman"/>
          <w:sz w:val="20"/>
          <w:u w:val="single"/>
        </w:rPr>
        <w:t xml:space="preserve"> </w:t>
      </w:r>
      <w:r w:rsidRPr="006E0810">
        <w:rPr>
          <w:rFonts w:eastAsia="TimesNewRoman"/>
          <w:sz w:val="20"/>
        </w:rPr>
        <w:t>For example, to determine the relative clock offset via the first STS segment, the following calculation can be used:</w:t>
      </w:r>
    </w:p>
    <w:p w:rsidR="00C87094" w:rsidRPr="00187BD4" w:rsidRDefault="00C87094" w:rsidP="006311C9">
      <w:pPr>
        <w:autoSpaceDE w:val="0"/>
        <w:autoSpaceDN w:val="0"/>
        <w:adjustRightInd w:val="0"/>
      </w:pPr>
    </w:p>
    <w:sectPr w:rsidR="00C87094" w:rsidRPr="00187BD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CC" w:rsidRDefault="006E17CC">
      <w:r>
        <w:separator/>
      </w:r>
    </w:p>
  </w:endnote>
  <w:endnote w:type="continuationSeparator" w:id="0">
    <w:p w:rsidR="006E17CC" w:rsidRDefault="006E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D37264"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D37264">
      <w:rPr>
        <w:lang w:val="fr-FR"/>
      </w:rPr>
      <w:t>Submission</w:t>
    </w:r>
    <w:r w:rsidRPr="00D37264">
      <w:rPr>
        <w:lang w:val="fr-FR"/>
      </w:rPr>
      <w:tab/>
      <w:t xml:space="preserve">Page </w:t>
    </w:r>
    <w:r>
      <w:pgNum/>
    </w:r>
    <w:r w:rsidRPr="00D37264">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CC" w:rsidRDefault="006E17CC">
      <w:r>
        <w:separator/>
      </w:r>
    </w:p>
  </w:footnote>
  <w:footnote w:type="continuationSeparator" w:id="0">
    <w:p w:rsidR="006E17CC" w:rsidRDefault="006E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657F6">
      <w:rPr>
        <w:b/>
        <w:noProof/>
        <w:sz w:val="28"/>
      </w:rPr>
      <w:t>September, 2019</w:t>
    </w:r>
    <w:r>
      <w:rPr>
        <w:b/>
        <w:sz w:val="28"/>
      </w:rPr>
      <w:fldChar w:fldCharType="end"/>
    </w:r>
    <w:r>
      <w:rPr>
        <w:b/>
        <w:sz w:val="28"/>
      </w:rPr>
      <w:tab/>
      <w:t xml:space="preserve"> IEEE P802.15-</w:t>
    </w:r>
    <w:r w:rsidR="00597889">
      <w:rPr>
        <w:b/>
        <w:sz w:val="28"/>
      </w:rPr>
      <w:t>19-0</w:t>
    </w:r>
    <w:r w:rsidR="00292BF1">
      <w:rPr>
        <w:b/>
        <w:sz w:val="28"/>
      </w:rPr>
      <w:t>444</w:t>
    </w:r>
    <w:r w:rsidR="00597889">
      <w:rPr>
        <w:b/>
        <w:sz w:val="28"/>
      </w:rPr>
      <w:t>-0</w:t>
    </w:r>
    <w:r w:rsidR="00982851">
      <w:rPr>
        <w:b/>
        <w:sz w:val="28"/>
      </w:rPr>
      <w:t>0</w:t>
    </w:r>
    <w:r w:rsidR="00EE10E4" w:rsidRPr="00EE10E4">
      <w:rPr>
        <w:b/>
        <w:sz w:val="28"/>
      </w:rPr>
      <w:t>-004z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7DA9"/>
    <w:multiLevelType w:val="multilevel"/>
    <w:tmpl w:val="1F9C282E"/>
    <w:numStyleLink w:val="Headings"/>
  </w:abstractNum>
  <w:abstractNum w:abstractNumId="5" w15:restartNumberingAfterBreak="0">
    <w:nsid w:val="783613A9"/>
    <w:multiLevelType w:val="multilevel"/>
    <w:tmpl w:val="1F9C282E"/>
    <w:numStyleLink w:val="Headings"/>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3B7"/>
    <w:rsid w:val="000217EA"/>
    <w:rsid w:val="00024932"/>
    <w:rsid w:val="00025276"/>
    <w:rsid w:val="000558FB"/>
    <w:rsid w:val="000671A9"/>
    <w:rsid w:val="000F7EB0"/>
    <w:rsid w:val="001513B7"/>
    <w:rsid w:val="00154A55"/>
    <w:rsid w:val="00187BD4"/>
    <w:rsid w:val="001F55AB"/>
    <w:rsid w:val="00246EB2"/>
    <w:rsid w:val="00250FC1"/>
    <w:rsid w:val="00266B4F"/>
    <w:rsid w:val="00292BF1"/>
    <w:rsid w:val="002B6BB2"/>
    <w:rsid w:val="002C440D"/>
    <w:rsid w:val="00336E1B"/>
    <w:rsid w:val="003866AE"/>
    <w:rsid w:val="003B54B2"/>
    <w:rsid w:val="004C2933"/>
    <w:rsid w:val="00506C6F"/>
    <w:rsid w:val="00521B6D"/>
    <w:rsid w:val="0055578D"/>
    <w:rsid w:val="00597889"/>
    <w:rsid w:val="005B0DB9"/>
    <w:rsid w:val="005C4445"/>
    <w:rsid w:val="005E5E73"/>
    <w:rsid w:val="00620D88"/>
    <w:rsid w:val="006311C9"/>
    <w:rsid w:val="006657F6"/>
    <w:rsid w:val="00694F59"/>
    <w:rsid w:val="006A535C"/>
    <w:rsid w:val="006D3AF6"/>
    <w:rsid w:val="006E0810"/>
    <w:rsid w:val="006E17CC"/>
    <w:rsid w:val="0071713B"/>
    <w:rsid w:val="0076161F"/>
    <w:rsid w:val="00781F25"/>
    <w:rsid w:val="0079297D"/>
    <w:rsid w:val="007948ED"/>
    <w:rsid w:val="007C5EBB"/>
    <w:rsid w:val="007D2621"/>
    <w:rsid w:val="00873EBF"/>
    <w:rsid w:val="008866DE"/>
    <w:rsid w:val="00892247"/>
    <w:rsid w:val="008B7DC8"/>
    <w:rsid w:val="009046EB"/>
    <w:rsid w:val="009743D5"/>
    <w:rsid w:val="00982851"/>
    <w:rsid w:val="00991BA7"/>
    <w:rsid w:val="009934C6"/>
    <w:rsid w:val="009B06A7"/>
    <w:rsid w:val="00A22970"/>
    <w:rsid w:val="00A66BF8"/>
    <w:rsid w:val="00B90322"/>
    <w:rsid w:val="00BB67CE"/>
    <w:rsid w:val="00BF41F7"/>
    <w:rsid w:val="00C87094"/>
    <w:rsid w:val="00CF2D3E"/>
    <w:rsid w:val="00D37264"/>
    <w:rsid w:val="00E220B0"/>
    <w:rsid w:val="00E272F1"/>
    <w:rsid w:val="00E54D63"/>
    <w:rsid w:val="00EE10E4"/>
    <w:rsid w:val="00EE4A79"/>
    <w:rsid w:val="00EE7637"/>
    <w:rsid w:val="00FB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1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lang w:eastAsia="en-US"/>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lang w:eastAsia="en-US"/>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11C9"/>
    <w:pPr>
      <w:ind w:left="800"/>
    </w:pPr>
    <w:rPr>
      <w:szCs w:val="24"/>
    </w:rPr>
  </w:style>
  <w:style w:type="character" w:customStyle="1" w:styleId="ReqTxtChar">
    <w:name w:val="ReqTxt Char"/>
    <w:link w:val="ReqTxt"/>
    <w:locked/>
    <w:rsid w:val="006311C9"/>
    <w:rPr>
      <w:rFonts w:ascii="Arial" w:hAnsi="Arial" w:cs="Arial"/>
    </w:rPr>
  </w:style>
  <w:style w:type="paragraph" w:customStyle="1" w:styleId="ReqTxt">
    <w:name w:val="ReqTxt"/>
    <w:basedOn w:val="Normal"/>
    <w:link w:val="ReqTxtChar"/>
    <w:qFormat/>
    <w:rsid w:val="006311C9"/>
    <w:pPr>
      <w:spacing w:before="100" w:after="80" w:line="250" w:lineRule="exac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4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2019-07-16T15:51:00Z</dcterms:created>
  <dcterms:modified xsi:type="dcterms:W3CDTF">2019-09-19T04:01:00Z</dcterms:modified>
  <cp:category/>
</cp:coreProperties>
</file>