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rPr/>
              <w:instrText> TITLE </w:instrText>
            </w:r>
            <w:r>
              <w:rPr/>
              <w:fldChar w:fldCharType="separate"/>
            </w:r>
            <w:r>
              <w:rPr/>
              <w:t>Resolution to CID 690, 706, 715</w:t>
            </w:r>
            <w:r>
              <w:rP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w:t>
            </w:r>
            <w:r>
              <w:rPr/>
              <w:t>8</w:t>
            </w:r>
            <w:r>
              <w:rPr/>
              <w:t xml:space="preserve">, </w:t>
            </w:r>
            <w:r>
              <w:rPr/>
              <w:t>September</w:t>
            </w:r>
            <w:r>
              <w:rPr/>
              <w:t xml:space="preserve"> 2019</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fldChar w:fldCharType="begin"/>
            </w:r>
            <w:r>
              <w:rPr/>
              <w:instrText> AUTHOR </w:instrText>
            </w:r>
            <w:r>
              <w:rPr/>
              <w:fldChar w:fldCharType="separate"/>
            </w:r>
            <w:r>
              <w:rPr/>
              <w:t>Tero Kivinen</w:t>
            </w:r>
            <w:r>
              <w:rPr/>
              <w:fldChar w:fldCharType="end"/>
            </w:r>
            <w:r>
              <w:rPr/>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 xml:space="preserve">+358 </w:t>
            </w:r>
            <w:r>
              <w:rPr/>
              <w:t>40 547 4476</w:t>
            </w:r>
            <w:r>
              <w:rPr/>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Move all Ranging related parameters to separate substructure in MCSP-DATE.* calls.</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This document provides editing instructions to resolve CID 690, 706, 715.</w:t>
            </w:r>
          </w:p>
          <w:p>
            <w:pPr>
              <w:pStyle w:val="Covertext"/>
              <w:spacing w:before="120" w:after="120"/>
              <w:rPr/>
            </w:pPr>
            <w:r>
              <w:rPr/>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Resolve CID 690, 706, 715</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rPr/>
      </w:pPr>
      <w:r>
        <w:rPr/>
        <w:t xml:space="preserve"> </w:t>
      </w:r>
      <w:r>
        <w:rPr/>
        <w:t>Overview</w:t>
      </w:r>
    </w:p>
    <w:p>
      <w:pPr>
        <w:pStyle w:val="Normal"/>
        <w:rPr/>
      </w:pPr>
      <w:r>
        <w:rPr/>
        <w:t>This document provides editing instructions to move all ranging related parameters out from the MCPS-DATA.* primitives to separate substructure which is then referenced from the main primitive. This way the users of the MCPS-DATA primitives who are not doing ranging, can just leave that substructure empty, and do not need to provide lots of useless parameters.</w:t>
      </w:r>
    </w:p>
    <w:p>
      <w:pPr>
        <w:pStyle w:val="Heading1"/>
        <w:rPr/>
      </w:pPr>
      <w:r>
        <w:rPr/>
        <w:t>MCPS-DATA.request</w:t>
      </w:r>
    </w:p>
    <w:p>
      <w:pPr>
        <w:pStyle w:val="Normal"/>
        <w:rPr/>
      </w:pPr>
      <w:r>
        <w:rPr/>
        <w:t xml:space="preserve">In MCPS-DATA.request primitive semantics remove following entries from the list: UwbPrf, Ranging, </w:t>
      </w:r>
      <w:r>
        <w:rPr>
          <w:u w:val="single"/>
        </w:rPr>
        <w:t>RangingPhr, TxTimeSpecified, RangingTxTime, RequestRrtiTx</w:t>
      </w:r>
      <w:r>
        <w:rPr/>
        <w:t xml:space="preserve">, </w:t>
      </w:r>
      <w:r>
        <w:rPr/>
        <w:t>UwbPreambleSymbolRepetitions, LocationEnhancingInformationPostamble, and LocationEnhancingInformationPostambleLength. Replace them with “RangingRequestParams” parameter.</w:t>
      </w:r>
    </w:p>
    <w:p>
      <w:pPr>
        <w:pStyle w:val="Normal"/>
        <w:rPr/>
      </w:pPr>
      <w:r>
        <w:rPr/>
        <w:t>In Table 8-75 move entries UwbPrf, Ranging, UwbPreambleSymbolRepetitions,  LocationEnhancingInformationPostamble, and LocationEnhancingInformationPostambleLength to new Table 8-75a with title of “Elements of RangingRequ</w:t>
      </w:r>
      <w:r>
        <w:rPr/>
        <w:t>e</w:t>
      </w:r>
      <w:r>
        <w:rPr/>
        <w:t>stParams”. Add following row to Table 8-75 after KeyIndex:</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158"/>
        <w:gridCol w:w="2250"/>
        <w:gridCol w:w="1350"/>
        <w:gridCol w:w="3602"/>
      </w:tblGrid>
      <w:tr>
        <w:trPr/>
        <w:tc>
          <w:tcPr>
            <w:tcW w:w="2158"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158"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RangingRequestParams</w:t>
            </w:r>
          </w:p>
        </w:tc>
        <w:tc>
          <w:tcPr>
            <w:tcW w:w="22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RangingRequestParams value</w:t>
            </w:r>
          </w:p>
        </w:tc>
        <w:tc>
          <w:tcPr>
            <w:tcW w:w="13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8-75a</w:t>
            </w:r>
          </w:p>
        </w:tc>
        <w:tc>
          <w:tcPr>
            <w:tcW w:w="36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 xml:space="preserve">Ranging related parameters, if no ranging is requested this </w:t>
            </w:r>
            <w:r>
              <w:rPr>
                <w:sz w:val="20"/>
                <w:szCs w:val="20"/>
              </w:rPr>
              <w:t>can be omitted</w:t>
            </w:r>
            <w:r>
              <w:rPr>
                <w:sz w:val="20"/>
                <w:szCs w:val="20"/>
              </w:rPr>
              <w:t>.</w:t>
            </w:r>
          </w:p>
        </w:tc>
      </w:tr>
    </w:tbl>
    <w:p>
      <w:pPr>
        <w:pStyle w:val="Normal"/>
        <w:rPr/>
      </w:pPr>
      <w:r>
        <w:rPr/>
      </w:r>
    </w:p>
    <w:p>
      <w:pPr>
        <w:pStyle w:val="Normal"/>
        <w:rPr/>
      </w:pPr>
      <w:r>
        <w:rPr/>
        <w:t xml:space="preserve">In section 16.2.5 fix </w:t>
      </w:r>
      <w:r>
        <w:rPr/>
        <w:t xml:space="preserve">HrpUwbPreambleSymbolsRepetitions </w:t>
      </w:r>
      <w:r>
        <w:rPr/>
        <w:t xml:space="preserve">to </w:t>
      </w:r>
      <w:r>
        <w:rPr/>
        <w:t>UwbPreambleSymbolRepetitions.</w:t>
      </w:r>
    </w:p>
    <w:p>
      <w:pPr>
        <w:pStyle w:val="Heading1"/>
        <w:numPr>
          <w:ilvl w:val="0"/>
          <w:numId w:val="0"/>
        </w:numPr>
        <w:ind w:left="0" w:right="0" w:hanging="0"/>
        <w:outlineLvl w:val="0"/>
        <w:rPr/>
      </w:pPr>
      <w:r>
        <w:rPr/>
      </w:r>
      <w:r>
        <w:br w:type="page"/>
      </w:r>
    </w:p>
    <w:p>
      <w:pPr>
        <w:pStyle w:val="Heading1"/>
        <w:rPr/>
      </w:pPr>
      <w:r>
        <w:rPr/>
        <w:t>MCPS-DATA.confirm</w:t>
      </w:r>
    </w:p>
    <w:p>
      <w:pPr>
        <w:pStyle w:val="Normal"/>
        <w:rPr/>
      </w:pPr>
      <w:r>
        <w:rPr/>
        <w:t>In MCPS-DATA.</w:t>
      </w:r>
      <w:r>
        <w:rPr/>
        <w:t>confirm</w:t>
      </w:r>
      <w:r>
        <w:rPr/>
        <w:t xml:space="preserve"> primitive semantics remove following entries from the list: RangingReceived, </w:t>
      </w:r>
      <w:r>
        <w:rPr>
          <w:strike/>
        </w:rPr>
        <w:t>RangingCounterStart,</w:t>
      </w:r>
      <w:r>
        <w:rPr>
          <w:strike w:val="false"/>
          <w:dstrike w:val="false"/>
        </w:rPr>
        <w:t xml:space="preserve"> </w:t>
      </w:r>
      <w:r>
        <w:rPr>
          <w:strike w:val="false"/>
          <w:dstrike w:val="false"/>
          <w:u w:val="single"/>
        </w:rPr>
        <w:t>TxRangingCounter</w:t>
      </w:r>
      <w:r>
        <w:rPr>
          <w:strike w:val="false"/>
          <w:dstrike w:val="false"/>
        </w:rPr>
        <w:t xml:space="preserve">, </w:t>
      </w:r>
      <w:r>
        <w:rPr>
          <w:strike/>
        </w:rPr>
        <w:t>RangingCounterStop</w:t>
      </w:r>
      <w:r>
        <w:rPr/>
        <w:t xml:space="preserve">, </w:t>
      </w:r>
      <w:r>
        <w:rPr>
          <w:u w:val="single"/>
        </w:rPr>
        <w:t>RxRangingCounter</w:t>
      </w:r>
      <w:r>
        <w:rPr/>
        <w:t>,</w:t>
      </w:r>
      <w:r>
        <w:rPr/>
        <w:t xml:space="preserve"> RangingTrackingInterval, RangingOffset, RangingFom,</w:t>
      </w:r>
      <w:r>
        <w:rPr/>
        <w:t xml:space="preserve"> </w:t>
      </w:r>
      <w:r>
        <w:rPr>
          <w:u w:val="single"/>
        </w:rPr>
        <w:t>RangingStsFom, AngleOfArrivalAzimuth, AngleOfArrivalElevation, AngleOfArrivalPresent</w:t>
      </w:r>
      <w:r>
        <w:rPr/>
        <w:t>. Replace them with “Ranging</w:t>
      </w:r>
      <w:r>
        <w:rPr/>
        <w:t>Confirm</w:t>
      </w:r>
      <w:r>
        <w:rPr/>
        <w:t>Params” parameter.</w:t>
      </w:r>
    </w:p>
    <w:p>
      <w:pPr>
        <w:pStyle w:val="Normal"/>
        <w:rPr/>
      </w:pPr>
      <w:r>
        <w:rPr/>
        <w:t>In Table 8-7</w:t>
      </w:r>
      <w:r>
        <w:rPr/>
        <w:t>6</w:t>
      </w:r>
      <w:r>
        <w:rPr/>
        <w:t xml:space="preserve"> move entries RangingReceived, RangingCounterStart, RangingCounterStop, RangingTrackingInterval, RangingOffset, </w:t>
      </w:r>
      <w:r>
        <w:rPr/>
        <w:t xml:space="preserve">and </w:t>
      </w:r>
      <w:r>
        <w:rPr/>
        <w:t>RangingFom to new Table 8-7</w:t>
      </w:r>
      <w:r>
        <w:rPr/>
        <w:t>6</w:t>
      </w:r>
      <w:r>
        <w:rPr/>
        <w:t>a with title of “Elements of Ranging</w:t>
      </w:r>
      <w:r>
        <w:rPr/>
        <w:t>Confirm</w:t>
      </w:r>
      <w:r>
        <w:rPr/>
        <w:t xml:space="preserve">Params”. </w:t>
      </w:r>
      <w:r>
        <w:rPr/>
        <w:t xml:space="preserve">Add AngleOfArrivalAzimuth, AngleOfArrivalElevation, AngleOfArrivalPresent, and RangingStsFom as new entries Table 8-76a instead of Table 8-76. Keep adding the AckHeaderIeList, AckPayloadIeList, and Rssi to 8-76. </w:t>
      </w:r>
      <w:r>
        <w:rPr/>
        <w:t>Add following row to Table 8-7</w:t>
      </w:r>
      <w:r>
        <w:rPr/>
        <w:t>6</w:t>
      </w:r>
      <w:r>
        <w:rPr/>
        <w:t xml:space="preserve"> after </w:t>
      </w:r>
      <w:r>
        <w:rPr/>
        <w:t>Timestamp</w:t>
      </w:r>
      <w:r>
        <w:rPr/>
        <w:t>:</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158"/>
        <w:gridCol w:w="2250"/>
        <w:gridCol w:w="1350"/>
        <w:gridCol w:w="3602"/>
      </w:tblGrid>
      <w:tr>
        <w:trPr/>
        <w:tc>
          <w:tcPr>
            <w:tcW w:w="2158"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158"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w:t>
            </w:r>
            <w:r>
              <w:rPr>
                <w:sz w:val="20"/>
                <w:szCs w:val="20"/>
              </w:rPr>
              <w:t>Confirm</w:t>
            </w:r>
            <w:r>
              <w:rPr>
                <w:sz w:val="20"/>
                <w:szCs w:val="20"/>
              </w:rPr>
              <w:t>Params</w:t>
            </w:r>
          </w:p>
        </w:tc>
        <w:tc>
          <w:tcPr>
            <w:tcW w:w="22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w:t>
            </w:r>
            <w:r>
              <w:rPr>
                <w:sz w:val="20"/>
                <w:szCs w:val="20"/>
              </w:rPr>
              <w:t>Confirm</w:t>
            </w:r>
            <w:r>
              <w:rPr>
                <w:sz w:val="20"/>
                <w:szCs w:val="20"/>
              </w:rPr>
              <w:t>Params value</w:t>
            </w:r>
          </w:p>
        </w:tc>
        <w:tc>
          <w:tcPr>
            <w:tcW w:w="13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w:t>
            </w:r>
            <w:r>
              <w:rPr>
                <w:sz w:val="20"/>
                <w:szCs w:val="20"/>
              </w:rPr>
              <w:t>6</w:t>
            </w:r>
            <w:r>
              <w:rPr>
                <w:sz w:val="20"/>
                <w:szCs w:val="20"/>
              </w:rPr>
              <w:t>a</w:t>
            </w:r>
          </w:p>
        </w:tc>
        <w:tc>
          <w:tcPr>
            <w:tcW w:w="36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 xml:space="preserve">Ranging related parameters, if no ranging </w:t>
            </w:r>
            <w:r>
              <w:rPr>
                <w:sz w:val="20"/>
                <w:szCs w:val="20"/>
              </w:rPr>
              <w:t>was done this is omitted</w:t>
            </w:r>
            <w:r>
              <w:rPr>
                <w:sz w:val="20"/>
                <w:szCs w:val="20"/>
              </w:rPr>
              <w:t>.</w:t>
            </w:r>
          </w:p>
        </w:tc>
      </w:tr>
    </w:tbl>
    <w:p>
      <w:pPr>
        <w:pStyle w:val="Heading1"/>
        <w:numPr>
          <w:ilvl w:val="0"/>
          <w:numId w:val="0"/>
        </w:numPr>
        <w:ind w:left="0" w:right="0" w:hanging="0"/>
        <w:outlineLvl w:val="0"/>
        <w:rPr/>
      </w:pPr>
      <w:r>
        <w:rPr/>
      </w:r>
      <w:r>
        <w:br w:type="page"/>
      </w:r>
    </w:p>
    <w:p>
      <w:pPr>
        <w:pStyle w:val="Heading1"/>
        <w:rPr/>
      </w:pPr>
      <w:r>
        <w:rPr/>
        <w:t>MCPS-DATA.indication</w:t>
      </w:r>
    </w:p>
    <w:p>
      <w:pPr>
        <w:pStyle w:val="Normal"/>
        <w:rPr/>
      </w:pPr>
      <w:r>
        <w:rPr/>
        <w:t>In MCPS-DATA.</w:t>
      </w:r>
      <w:r>
        <w:rPr/>
        <w:t>indication</w:t>
      </w:r>
      <w:r>
        <w:rPr/>
        <w:t xml:space="preserve"> primitive semantics remove following entries from the list: RangingReceived, </w:t>
      </w:r>
      <w:r>
        <w:rPr>
          <w:strike/>
        </w:rPr>
        <w:t>RangingCounterStart</w:t>
      </w:r>
      <w:r>
        <w:rPr/>
        <w:t xml:space="preserve">, </w:t>
      </w:r>
      <w:r>
        <w:rPr/>
        <w:t>TxRangingCounter,</w:t>
      </w:r>
      <w:r>
        <w:rPr/>
        <w:t xml:space="preserve"> </w:t>
      </w:r>
      <w:r>
        <w:rPr>
          <w:strike/>
        </w:rPr>
        <w:t>RangingCounterStop</w:t>
      </w:r>
      <w:r>
        <w:rPr/>
        <w:t xml:space="preserve">, </w:t>
      </w:r>
      <w:r>
        <w:rPr/>
        <w:t>RxRangingCounter,</w:t>
      </w:r>
      <w:r>
        <w:rPr/>
        <w:t xml:space="preserve"> RangingTrackingInterval, RangingOffset, RangingFom,</w:t>
      </w:r>
      <w:r>
        <w:rPr>
          <w:u w:val="single"/>
        </w:rPr>
        <w:t xml:space="preserve"> Sp3Packet, RxS0RangingCounter, RxS1RangingCounter, RxS2RangingCounter, RxS3RangingCounter, RxS4RangingCounter, TxS0RangingCounter, TxS1RangingCounter, TxS2RangingCounter, TxS3RangingCounter, TxS4RangingCounter, RangingStsS1Fom, RangingStsS2Fom, RangingStsS3Fom, RangingStsS4Fom, RangingStsAoaAzimuthFom, RangingStsAoaElevationFom,</w:t>
      </w:r>
      <w:r>
        <w:rPr>
          <w:u w:val="none"/>
        </w:rPr>
        <w:t xml:space="preserve"> </w:t>
      </w:r>
      <w:r>
        <w:rPr/>
        <w:t xml:space="preserve">AngleOfArrivalAzimuth, AngleOfArrivalElevation, </w:t>
      </w:r>
      <w:r>
        <w:rPr/>
        <w:t xml:space="preserve">and </w:t>
      </w:r>
      <w:r>
        <w:rPr/>
        <w:t>AngleOfArrivalSupported. Replace them with “Ranging</w:t>
      </w:r>
      <w:r>
        <w:rPr/>
        <w:t>Indication</w:t>
      </w:r>
      <w:r>
        <w:rPr/>
        <w:t>Params” parameter.</w:t>
      </w:r>
    </w:p>
    <w:p>
      <w:pPr>
        <w:pStyle w:val="Normal"/>
        <w:rPr/>
      </w:pPr>
      <w:r>
        <w:rPr/>
        <w:t>In Table 8-7</w:t>
      </w:r>
      <w:r>
        <w:rPr/>
        <w:t>7</w:t>
      </w:r>
      <w:r>
        <w:rPr/>
        <w:t xml:space="preserve"> move entries RangingReceived, RangingCounterStart, RangingCounterStop, RangingTrackingInterval, RangingOffset, RangingFom, AngleOfArrivalAzimuth, AngleOfArrivalElevation, </w:t>
      </w:r>
      <w:r>
        <w:rPr/>
        <w:t xml:space="preserve">and </w:t>
      </w:r>
      <w:r>
        <w:rPr/>
        <w:t>AngleOfArrivalSupported to new Table 8-7</w:t>
      </w:r>
      <w:r>
        <w:rPr/>
        <w:t>7</w:t>
      </w:r>
      <w:r>
        <w:rPr/>
        <w:t>a with title of “Elements of Ranging</w:t>
      </w:r>
      <w:r>
        <w:rPr/>
        <w:t>Indication</w:t>
      </w:r>
      <w:r>
        <w:rPr/>
        <w:t xml:space="preserve">Params”. </w:t>
      </w:r>
      <w:r>
        <w:rPr/>
        <w:t xml:space="preserve">Move new entries </w:t>
      </w:r>
      <w:r>
        <w:rPr>
          <w:u w:val="none"/>
        </w:rPr>
        <w:t xml:space="preserve">Sp3Packet, RxS0RangingCounter, RxS1RangingCounter, RxS2RangingCounter, RxS3RangingCounter, RxS4RangingCounter, TxS0RangingCounter, TxS1RangingCounter, TxS2RangingCounter, TxS3RangingCounter, </w:t>
      </w:r>
      <w:bookmarkStart w:id="0" w:name="__DdeLink__637_3204243378"/>
      <w:r>
        <w:rPr>
          <w:u w:val="none"/>
        </w:rPr>
        <w:t>TxS4RangingCounter</w:t>
      </w:r>
      <w:bookmarkEnd w:id="0"/>
      <w:r>
        <w:rPr>
          <w:u w:val="none"/>
        </w:rPr>
        <w:t xml:space="preserve">, RangingStsS1Fom, RangingStsS2Fom, RangingStsS3Fom, RangingStsS4Fom, RangingStsAoaAzimuthFom, </w:t>
      </w:r>
      <w:r>
        <w:rPr>
          <w:u w:val="none"/>
        </w:rPr>
        <w:t xml:space="preserve">and </w:t>
      </w:r>
      <w:r>
        <w:rPr>
          <w:u w:val="none"/>
        </w:rPr>
        <w:t xml:space="preserve">RangingStsAoaElevationFom </w:t>
      </w:r>
      <w:r>
        <w:rPr>
          <w:u w:val="none"/>
        </w:rPr>
        <w:t xml:space="preserve">from Table 8-77 to Table 8-77a. </w:t>
      </w:r>
      <w:r>
        <w:rPr/>
        <w:t>Add following row to Table 8-7</w:t>
      </w:r>
      <w:r>
        <w:rPr/>
        <w:t>7</w:t>
      </w:r>
      <w:r>
        <w:rPr/>
        <w:t xml:space="preserve"> after KeyIndex:</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250"/>
        <w:gridCol w:w="2250"/>
        <w:gridCol w:w="1258"/>
        <w:gridCol w:w="3602"/>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258"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2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w:t>
            </w:r>
            <w:r>
              <w:rPr>
                <w:sz w:val="20"/>
                <w:szCs w:val="20"/>
              </w:rPr>
              <w:t>Indication</w:t>
            </w:r>
            <w:r>
              <w:rPr>
                <w:sz w:val="20"/>
                <w:szCs w:val="20"/>
              </w:rPr>
              <w:t>Params</w:t>
            </w:r>
          </w:p>
        </w:tc>
        <w:tc>
          <w:tcPr>
            <w:tcW w:w="2250"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w:t>
            </w:r>
            <w:r>
              <w:rPr>
                <w:sz w:val="20"/>
                <w:szCs w:val="20"/>
              </w:rPr>
              <w:t>Indication</w:t>
            </w:r>
            <w:r>
              <w:rPr>
                <w:sz w:val="20"/>
                <w:szCs w:val="20"/>
              </w:rPr>
              <w:t>Params value</w:t>
            </w:r>
          </w:p>
        </w:tc>
        <w:tc>
          <w:tcPr>
            <w:tcW w:w="1258" w:type="dxa"/>
            <w:tcBorders>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w:t>
            </w:r>
            <w:r>
              <w:rPr>
                <w:sz w:val="20"/>
                <w:szCs w:val="20"/>
              </w:rPr>
              <w:t>7</w:t>
            </w:r>
            <w:r>
              <w:rPr>
                <w:sz w:val="20"/>
                <w:szCs w:val="20"/>
              </w:rPr>
              <w:t>a</w:t>
            </w:r>
          </w:p>
        </w:tc>
        <w:tc>
          <w:tcPr>
            <w:tcW w:w="36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 xml:space="preserve">Ranging related parameters, if no ranging </w:t>
            </w:r>
            <w:r>
              <w:rPr>
                <w:sz w:val="20"/>
                <w:szCs w:val="20"/>
              </w:rPr>
              <w:t>was done this is omitted</w:t>
            </w:r>
            <w:r>
              <w:rPr>
                <w:sz w:val="20"/>
                <w:szCs w:val="20"/>
              </w:rPr>
              <w:t>.</w:t>
            </w:r>
          </w:p>
        </w:tc>
      </w:tr>
    </w:tbl>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Palatino">
    <w:charset w:val="00"/>
    <w:family w:val="roman"/>
    <w:pitch w:val="variable"/>
  </w:font>
  <w:font w:name="New Century Schlbk">
    <w:altName w:val="Century Schoolbook"/>
    <w:charset w:val="00"/>
    <w:family w:val="auto"/>
    <w:pitch w:val="variable"/>
  </w:font>
  <w:font w:name="Tahoma">
    <w:charset w:val="00"/>
    <w:family w:val="swiss"/>
    <w:pitch w:val="variable"/>
  </w:font>
  <w:font w:name="Courier 10 Pitch">
    <w:charset w:val="00"/>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 ARABIC </w:instrText>
    </w:r>
    <w:r>
      <w:rPr/>
      <w:fldChar w:fldCharType="separate"/>
    </w:r>
    <w:r>
      <w:rPr/>
      <w:t>4</w:t>
    </w:r>
    <w:r>
      <w:rPr/>
      <w:fldChar w:fldCharType="end"/>
    </w:r>
    <w:r>
      <w:rPr/>
      <w:tab/>
    </w:r>
    <w:r>
      <w:rPr/>
      <w:fldChar w:fldCharType="begin"/>
    </w:r>
    <w:r>
      <w:rPr/>
      <w:instrText> AUTHOR </w:instrText>
    </w:r>
    <w:r>
      <w:rPr/>
      <w:fldChar w:fldCharType="separate"/>
    </w:r>
    <w:r>
      <w:rPr/>
      <w:t>Tero Kivinen</w:t>
    </w:r>
    <w:r>
      <w:rPr/>
      <w:fldChar w:fldCharType="end"/>
    </w:r>
    <w:r>
      <w:rPr/>
      <w:t xml:space="preserve">,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DATE \@"MMM\ yyyy" </w:instrText>
    </w:r>
    <w:r>
      <w:rPr>
        <w:sz w:val="28"/>
        <w:b/>
      </w:rPr>
      <w:fldChar w:fldCharType="separate"/>
    </w:r>
    <w:r>
      <w:rPr>
        <w:sz w:val="28"/>
        <w:b/>
      </w:rPr>
      <w:t>Sep 2019</w:t>
    </w:r>
    <w:r>
      <w:rPr>
        <w:sz w:val="28"/>
        <w:b/>
      </w:rPr>
      <w:fldChar w:fldCharType="end"/>
    </w:r>
    <w:r>
      <w:rPr>
        <w:b/>
        <w:sz w:val="28"/>
      </w:rPr>
      <w:tab/>
      <w:t xml:space="preserve"> IEEE P802.15 - 15-</w:t>
    </w:r>
    <w:r>
      <w:rPr>
        <w:b/>
        <w:sz w:val="28"/>
      </w:rPr>
      <w:t>19</w:t>
    </w:r>
    <w:r>
      <w:rPr>
        <w:b/>
        <w:sz w:val="28"/>
      </w:rPr>
      <w:t>-0</w:t>
    </w:r>
    <w:r>
      <w:rPr>
        <w:b/>
        <w:sz w:val="28"/>
      </w:rPr>
      <w:t>427</w:t>
    </w:r>
    <w:r>
      <w:rPr>
        <w:b/>
        <w:sz w:val="28"/>
      </w:rPr>
      <w:t>-0</w:t>
    </w:r>
    <w:r>
      <w:rPr>
        <w:b/>
        <w:sz w:val="28"/>
      </w:rPr>
      <w:t>0</w:t>
    </w:r>
    <w:r>
      <w:rPr>
        <w:b/>
        <w:sz w:val="28"/>
      </w:rPr>
      <w:t>-0</w:t>
    </w:r>
    <w:r>
      <w:rPr>
        <w:b/>
        <w:sz w:val="28"/>
      </w:rPr>
      <w:t>04z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80"/>
  <w:defaultTabStop w:val="408"/>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spacing w:before="115" w:after="0"/>
      <w:ind w:left="0" w:right="0" w:hanging="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qFormat/>
    <w:pPr>
      <w:keepNext w:val="true"/>
      <w:numPr>
        <w:ilvl w:val="0"/>
        <w:numId w:val="1"/>
      </w:numPr>
      <w:tabs>
        <w:tab w:val="clear" w:pos="408"/>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408"/>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Drawing">
    <w:name w:val="Table of Figures"/>
    <w:basedOn w:val="Caption"/>
    <w:pPr/>
    <w:rPr/>
  </w:style>
  <w:style w:type="paragraph" w:styleId="YangExample">
    <w:name w:val="YangExample"/>
    <w:basedOn w:val="Normal"/>
    <w:qFormat/>
    <w:pPr>
      <w:tabs>
        <w:tab w:val="clear" w:pos="408"/>
      </w:tabs>
      <w:bidi w:val="0"/>
      <w:spacing w:before="0" w:after="0"/>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436</TotalTime>
  <Application>LibreOffice/6.1.5.2$Linux_X86_64 LibreOffice_project/10$Build-2</Application>
  <Pages>4</Pages>
  <Words>550</Words>
  <Characters>4499</Characters>
  <CharactersWithSpaces>4999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2019-09-18T15:01:48Z</dcterms:modified>
  <cp:revision>58</cp:revision>
  <dc:subject/>
  <dc:title>Resolution to CID 690, 706, 715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