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bookmarkStart w:id="0" w:name="_GoBack"/>
        <w:bookmarkEnd w:id="0"/>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D26D6A">
            <w:pPr>
              <w:pStyle w:val="covertext"/>
            </w:pPr>
            <w:r>
              <w:rPr>
                <w:b/>
                <w:sz w:val="28"/>
              </w:rPr>
              <w:fldChar w:fldCharType="begin"/>
            </w:r>
            <w:r>
              <w:rPr>
                <w:b/>
                <w:sz w:val="28"/>
              </w:rPr>
              <w:instrText xml:space="preserve"> TITLE  "Resolution to CID i-0518"  \* MERGEFORMAT </w:instrText>
            </w:r>
            <w:r>
              <w:rPr>
                <w:b/>
                <w:sz w:val="28"/>
              </w:rPr>
              <w:fldChar w:fldCharType="separate"/>
            </w:r>
            <w:r>
              <w:rPr>
                <w:b/>
                <w:sz w:val="28"/>
              </w:rPr>
              <w:t>Resolution to CID i-0518</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685571">
            <w:pPr>
              <w:pStyle w:val="covertext"/>
            </w:pPr>
            <w:r w:rsidRPr="00521B6D">
              <w:t>[</w:t>
            </w:r>
            <w:r w:rsidR="00D26D6A">
              <w:t>1</w:t>
            </w:r>
            <w:r w:rsidR="00DD76C2">
              <w:t>2</w:t>
            </w:r>
            <w:r w:rsidRPr="00521B6D">
              <w:t xml:space="preserve"> </w:t>
            </w:r>
            <w:r w:rsidR="00D26D6A">
              <w:t>August</w:t>
            </w:r>
            <w:r w:rsidRPr="00521B6D">
              <w:t>, 201</w:t>
            </w:r>
            <w:r>
              <w:t>9</w:t>
            </w:r>
            <w:r w:rsidRPr="00521B6D">
              <w:t>]</w:t>
            </w:r>
          </w:p>
        </w:tc>
      </w:tr>
      <w:tr w:rsidR="006D3AF6" w:rsidRPr="00315260" w:rsidTr="00C84965">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Default="006D3AF6" w:rsidP="006D3AF6">
            <w:pPr>
              <w:pStyle w:val="covertext"/>
              <w:tabs>
                <w:tab w:val="left" w:pos="1152"/>
              </w:tabs>
              <w:spacing w:before="0" w:after="0"/>
            </w:pPr>
            <w:r>
              <w:t>B</w:t>
            </w:r>
            <w:r w:rsidR="00F74412">
              <w:t>illy Verso (Decawave</w:t>
            </w:r>
            <w:r>
              <w:t>)</w:t>
            </w:r>
          </w:p>
          <w:p w:rsidR="00D26D6A" w:rsidRPr="00315260" w:rsidRDefault="00D26D6A" w:rsidP="006D3AF6">
            <w:pPr>
              <w:pStyle w:val="covertext"/>
              <w:tabs>
                <w:tab w:val="left" w:pos="1152"/>
              </w:tabs>
              <w:spacing w:before="0" w:after="0"/>
            </w:pPr>
            <w:r w:rsidRPr="00315260">
              <w:t>Benjamin A. Rolfe (B</w:t>
            </w:r>
            <w:r w:rsidR="008E73CD">
              <w:t>l</w:t>
            </w:r>
            <w:r w:rsidRPr="00315260">
              <w:t>ind Creek</w:t>
            </w:r>
            <w:r w:rsidR="009C3571">
              <w:t xml:space="preserve"> Associates</w:t>
            </w:r>
            <w:r w:rsidRPr="00315260">
              <w:t xml:space="preserve"> / NXP / UWB</w:t>
            </w:r>
            <w:r w:rsidR="009C3571">
              <w:t xml:space="preserve"> </w:t>
            </w:r>
            <w:r w:rsidRPr="00315260">
              <w:t>A</w:t>
            </w:r>
            <w:r w:rsidR="009C3571">
              <w:t>lliance</w:t>
            </w:r>
            <w:r w:rsidRPr="00315260">
              <w:t>)</w:t>
            </w:r>
            <w:r w:rsidRPr="00315260">
              <w:br/>
            </w:r>
            <w:r>
              <w:t>Brima Ibrahim (NXP Semiconductors)</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F74412">
              <w:t>Resolution to</w:t>
            </w:r>
            <w:r w:rsidR="006D3AF6">
              <w:t xml:space="preserve"> </w:t>
            </w:r>
            <w:r w:rsidR="001513B7" w:rsidRPr="001513B7">
              <w:t>802.15.4</w:t>
            </w:r>
            <w:r w:rsidR="00F74412">
              <w:t>z comment CID i-051</w:t>
            </w:r>
            <w:r w:rsidR="009C3571">
              <w:t>8</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F74412">
            <w:pPr>
              <w:pStyle w:val="covertext"/>
            </w:pPr>
            <w:r>
              <w:t>[</w:t>
            </w:r>
            <w:r w:rsidR="006D3AF6">
              <w:t xml:space="preserve">Resolve 802.15.4z </w:t>
            </w:r>
            <w:r w:rsidR="00F74412">
              <w:t>comment CID i-051</w:t>
            </w:r>
            <w:r w:rsidR="009C3571">
              <w:t>8</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B5206" w:rsidRDefault="0079297D" w:rsidP="009B5206">
      <w:pPr>
        <w:widowControl w:val="0"/>
        <w:spacing w:before="120"/>
        <w:rPr>
          <w:b/>
          <w:sz w:val="28"/>
        </w:rPr>
      </w:pPr>
      <w:r>
        <w:rPr>
          <w:b/>
          <w:sz w:val="28"/>
        </w:rPr>
        <w:br w:type="page"/>
      </w:r>
      <w:r w:rsidR="009B5206">
        <w:rPr>
          <w:b/>
          <w:sz w:val="28"/>
        </w:rPr>
        <w:lastRenderedPageBreak/>
        <w:t>This document provides a resolution to comment i-0518.</w:t>
      </w:r>
    </w:p>
    <w:p w:rsidR="009B5206" w:rsidRDefault="009B5206" w:rsidP="009B5206">
      <w:pPr>
        <w:widowControl w:val="0"/>
        <w:spacing w:before="120"/>
        <w:rPr>
          <w:b/>
          <w:sz w:val="28"/>
        </w:rPr>
      </w:pPr>
      <w:r>
        <w:rPr>
          <w:b/>
          <w:sz w:val="28"/>
        </w:rPr>
        <w:t>The resolution in this document depends on resolutions provided by</w:t>
      </w:r>
      <w:r>
        <w:rPr>
          <w:b/>
          <w:sz w:val="28"/>
        </w:rPr>
        <w:br/>
      </w:r>
      <w:r w:rsidRPr="00AD182E">
        <w:rPr>
          <w:b/>
          <w:sz w:val="28"/>
        </w:rPr>
        <w:t>15-19-0262-01-004z-further-hrp-comment-resolutions.docx</w:t>
      </w:r>
      <w:r>
        <w:rPr>
          <w:b/>
          <w:sz w:val="28"/>
        </w:rPr>
        <w:t>.</w:t>
      </w:r>
    </w:p>
    <w:p w:rsidR="009B5206" w:rsidRDefault="009B5206" w:rsidP="009B5206">
      <w:pPr>
        <w:autoSpaceDE w:val="0"/>
        <w:autoSpaceDN w:val="0"/>
        <w:adjustRightInd w:val="0"/>
        <w:rPr>
          <w:rFonts w:eastAsia="TimesNewRoman"/>
          <w:sz w:val="20"/>
        </w:rPr>
      </w:pPr>
    </w:p>
    <w:p w:rsidR="009B5206" w:rsidRDefault="009B5206" w:rsidP="009B5206">
      <w:pPr>
        <w:autoSpaceDE w:val="0"/>
        <w:autoSpaceDN w:val="0"/>
        <w:adjustRightInd w:val="0"/>
        <w:rPr>
          <w:rFonts w:eastAsia="TimesNewRoman"/>
          <w:sz w:val="20"/>
        </w:rPr>
      </w:pPr>
    </w:p>
    <w:p w:rsidR="009B5206" w:rsidRPr="00DD76C2" w:rsidRDefault="009B5206" w:rsidP="009B5206">
      <w:pPr>
        <w:autoSpaceDE w:val="0"/>
        <w:autoSpaceDN w:val="0"/>
        <w:adjustRightInd w:val="0"/>
        <w:rPr>
          <w:rFonts w:eastAsia="TimesNewRoman"/>
          <w:sz w:val="20"/>
        </w:rPr>
      </w:pPr>
      <w:r>
        <w:rPr>
          <w:rFonts w:eastAsia="TimesNewRoman"/>
          <w:b/>
          <w:i/>
          <w:color w:val="FF0000"/>
          <w:sz w:val="20"/>
        </w:rPr>
        <w:t>Modify rows in Table 11-2 “PHY PIB attributes” as follows</w:t>
      </w:r>
      <w:r w:rsidRPr="00AC6FAA">
        <w:rPr>
          <w:rFonts w:eastAsia="TimesNewRoman"/>
          <w:b/>
          <w:i/>
          <w:color w:val="FF0000"/>
          <w:sz w:val="20"/>
        </w:rPr>
        <w:t>:</w:t>
      </w:r>
    </w:p>
    <w:p w:rsidR="009B5206" w:rsidRDefault="009B5206" w:rsidP="009B5206">
      <w:pPr>
        <w:autoSpaceDE w:val="0"/>
        <w:autoSpaceDN w:val="0"/>
        <w:adjustRightInd w:val="0"/>
        <w:rPr>
          <w:rFonts w:eastAsia="TimesNewRoman"/>
          <w:sz w:val="20"/>
        </w:rPr>
      </w:pPr>
      <w:r w:rsidRPr="00DD76C2">
        <w:rPr>
          <w:rFonts w:eastAsia="TimesNewRoman"/>
          <w:sz w:val="20"/>
        </w:rPr>
        <w:t xml:space="preserve"> </w:t>
      </w:r>
    </w:p>
    <w:p w:rsidR="009B5206" w:rsidRDefault="009B5206" w:rsidP="009B5206">
      <w:pPr>
        <w:autoSpaceDE w:val="0"/>
        <w:autoSpaceDN w:val="0"/>
        <w:adjustRightInd w:val="0"/>
        <w:rPr>
          <w:rFonts w:eastAsia="TimesNewRoman"/>
          <w:sz w:val="20"/>
        </w:rPr>
      </w:pPr>
      <w:r>
        <w:rPr>
          <w:rFonts w:ascii="TimesNewRoman,Bold" w:hAnsi="TimesNewRoman,Bold" w:cs="TimesNewRoman,Bold"/>
          <w:b/>
          <w:bCs/>
          <w:szCs w:val="24"/>
        </w:rPr>
        <w:t>Table 11-2 — PHY PIB attribute</w:t>
      </w: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0"/>
        <w:gridCol w:w="1559"/>
        <w:gridCol w:w="1843"/>
        <w:gridCol w:w="3089"/>
      </w:tblGrid>
      <w:tr w:rsidR="009B5206" w:rsidRPr="00FD6801" w:rsidTr="000160B4">
        <w:tc>
          <w:tcPr>
            <w:tcW w:w="2410"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Pr>
                <w:rFonts w:eastAsia="TimesNewRoman"/>
                <w:b/>
                <w:sz w:val="20"/>
                <w:szCs w:val="22"/>
              </w:rPr>
              <w:t>A</w:t>
            </w:r>
            <w:r w:rsidRPr="00FD4EFF">
              <w:rPr>
                <w:rFonts w:eastAsia="TimesNewRoman"/>
                <w:b/>
                <w:sz w:val="20"/>
                <w:szCs w:val="22"/>
              </w:rPr>
              <w:t>ttribute</w:t>
            </w:r>
          </w:p>
        </w:tc>
        <w:tc>
          <w:tcPr>
            <w:tcW w:w="1559"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Pr>
                <w:rFonts w:eastAsia="TimesNewRoman"/>
                <w:b/>
                <w:sz w:val="20"/>
                <w:szCs w:val="22"/>
              </w:rPr>
              <w:t>Type</w:t>
            </w:r>
          </w:p>
        </w:tc>
        <w:tc>
          <w:tcPr>
            <w:tcW w:w="1843"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Pr>
                <w:rFonts w:eastAsia="TimesNewRoman"/>
                <w:b/>
                <w:sz w:val="20"/>
                <w:szCs w:val="22"/>
              </w:rPr>
              <w:t>Range</w:t>
            </w:r>
          </w:p>
        </w:tc>
        <w:tc>
          <w:tcPr>
            <w:tcW w:w="3089" w:type="dxa"/>
            <w:tcBorders>
              <w:bottom w:val="single" w:sz="12" w:space="0" w:color="auto"/>
            </w:tcBorders>
            <w:vAlign w:val="center"/>
          </w:tcPr>
          <w:p w:rsidR="009B5206" w:rsidRPr="00FD4EFF" w:rsidRDefault="009B5206" w:rsidP="000160B4">
            <w:pPr>
              <w:autoSpaceDE w:val="0"/>
              <w:autoSpaceDN w:val="0"/>
              <w:adjustRightInd w:val="0"/>
              <w:jc w:val="center"/>
              <w:rPr>
                <w:rFonts w:eastAsia="TimesNewRoman"/>
                <w:b/>
                <w:sz w:val="20"/>
                <w:szCs w:val="22"/>
              </w:rPr>
            </w:pPr>
            <w:r>
              <w:rPr>
                <w:rFonts w:eastAsia="TimesNewRoman"/>
                <w:b/>
                <w:sz w:val="20"/>
                <w:szCs w:val="22"/>
              </w:rPr>
              <w:t>Description</w:t>
            </w:r>
          </w:p>
        </w:tc>
      </w:tr>
      <w:tr w:rsidR="009B5206" w:rsidRPr="00FD6801" w:rsidTr="000160B4">
        <w:tc>
          <w:tcPr>
            <w:tcW w:w="2410" w:type="dxa"/>
            <w:tcBorders>
              <w:bottom w:val="single" w:sz="4" w:space="0" w:color="auto"/>
              <w:right w:val="single" w:sz="4" w:space="0" w:color="auto"/>
            </w:tcBorders>
            <w:shd w:val="clear" w:color="auto" w:fill="auto"/>
          </w:tcPr>
          <w:p w:rsidR="009B5206" w:rsidRPr="00822974" w:rsidRDefault="009B5206" w:rsidP="000160B4">
            <w:pPr>
              <w:autoSpaceDE w:val="0"/>
              <w:autoSpaceDN w:val="0"/>
              <w:adjustRightInd w:val="0"/>
              <w:rPr>
                <w:rFonts w:eastAsia="TimesNewRoman"/>
                <w:i/>
                <w:sz w:val="20"/>
                <w:szCs w:val="22"/>
              </w:rPr>
            </w:pPr>
            <w:r w:rsidRPr="00822974">
              <w:rPr>
                <w:rFonts w:eastAsia="TimesNewRoman"/>
                <w:i/>
                <w:sz w:val="20"/>
                <w:szCs w:val="22"/>
              </w:rPr>
              <w:t>phyHrpUwbPhrDataRate</w:t>
            </w:r>
          </w:p>
        </w:tc>
        <w:tc>
          <w:tcPr>
            <w:tcW w:w="1559" w:type="dxa"/>
            <w:tcBorders>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rPr>
                <w:rFonts w:eastAsia="TimesNewRoman"/>
                <w:sz w:val="20"/>
                <w:szCs w:val="22"/>
              </w:rPr>
            </w:pPr>
            <w:r>
              <w:rPr>
                <w:rFonts w:eastAsia="TimesNewRoman"/>
                <w:sz w:val="20"/>
                <w:szCs w:val="22"/>
              </w:rPr>
              <w:t>Enumeration</w:t>
            </w:r>
          </w:p>
        </w:tc>
        <w:tc>
          <w:tcPr>
            <w:tcW w:w="1843" w:type="dxa"/>
            <w:tcBorders>
              <w:left w:val="single" w:sz="4" w:space="0" w:color="auto"/>
              <w:bottom w:val="single" w:sz="4" w:space="0" w:color="auto"/>
              <w:right w:val="single" w:sz="4" w:space="0" w:color="auto"/>
            </w:tcBorders>
            <w:shd w:val="clear" w:color="auto" w:fill="auto"/>
          </w:tcPr>
          <w:p w:rsidR="009B5206" w:rsidRDefault="009B5206" w:rsidP="000160B4">
            <w:pPr>
              <w:autoSpaceDE w:val="0"/>
              <w:autoSpaceDN w:val="0"/>
              <w:adjustRightInd w:val="0"/>
              <w:rPr>
                <w:rFonts w:eastAsia="TimesNewRoman"/>
                <w:sz w:val="20"/>
                <w:szCs w:val="22"/>
              </w:rPr>
            </w:pPr>
            <w:r>
              <w:rPr>
                <w:rFonts w:eastAsia="TimesNewRoman"/>
                <w:sz w:val="20"/>
                <w:szCs w:val="22"/>
              </w:rPr>
              <w:t>DRMDR</w:t>
            </w:r>
            <w:r w:rsidRPr="00822974">
              <w:rPr>
                <w:rFonts w:eastAsia="TimesNewRoman"/>
                <w:sz w:val="20"/>
                <w:szCs w:val="22"/>
              </w:rPr>
              <w:t xml:space="preserve">, </w:t>
            </w:r>
          </w:p>
          <w:p w:rsidR="009B5206" w:rsidRDefault="009B5206" w:rsidP="000160B4">
            <w:pPr>
              <w:autoSpaceDE w:val="0"/>
              <w:autoSpaceDN w:val="0"/>
              <w:adjustRightInd w:val="0"/>
              <w:rPr>
                <w:rFonts w:eastAsia="TimesNewRoman"/>
                <w:sz w:val="20"/>
                <w:szCs w:val="22"/>
              </w:rPr>
            </w:pPr>
            <w:r>
              <w:rPr>
                <w:rFonts w:eastAsia="TimesNewRoman"/>
                <w:sz w:val="20"/>
                <w:szCs w:val="22"/>
              </w:rPr>
              <w:t>DRBM_LP,</w:t>
            </w:r>
          </w:p>
          <w:p w:rsidR="009B5206" w:rsidRPr="000160B4" w:rsidRDefault="009B5206" w:rsidP="000160B4">
            <w:pPr>
              <w:autoSpaceDE w:val="0"/>
              <w:autoSpaceDN w:val="0"/>
              <w:adjustRightInd w:val="0"/>
              <w:rPr>
                <w:rFonts w:eastAsia="TimesNewRoman"/>
                <w:sz w:val="20"/>
                <w:szCs w:val="22"/>
              </w:rPr>
            </w:pPr>
            <w:r w:rsidRPr="000160B4">
              <w:rPr>
                <w:rFonts w:eastAsia="TimesNewRoman"/>
                <w:sz w:val="20"/>
                <w:szCs w:val="22"/>
              </w:rPr>
              <w:t>DR</w:t>
            </w:r>
            <w:r>
              <w:rPr>
                <w:rFonts w:eastAsia="TimesNewRoman"/>
                <w:sz w:val="20"/>
                <w:szCs w:val="22"/>
              </w:rPr>
              <w:t>BM_HP</w:t>
            </w:r>
            <w:r w:rsidRPr="000160B4">
              <w:rPr>
                <w:rFonts w:eastAsia="TimesNewRoman"/>
                <w:sz w:val="20"/>
                <w:szCs w:val="22"/>
              </w:rPr>
              <w:t>,</w:t>
            </w:r>
          </w:p>
          <w:p w:rsidR="009B5206" w:rsidRDefault="009B5206" w:rsidP="000160B4">
            <w:pPr>
              <w:autoSpaceDE w:val="0"/>
              <w:autoSpaceDN w:val="0"/>
              <w:adjustRightInd w:val="0"/>
              <w:rPr>
                <w:rFonts w:eastAsia="TimesNewRoman"/>
                <w:sz w:val="20"/>
                <w:szCs w:val="22"/>
              </w:rPr>
            </w:pPr>
            <w:r w:rsidRPr="00822974">
              <w:rPr>
                <w:rFonts w:eastAsia="TimesNewRoman"/>
                <w:sz w:val="20"/>
                <w:szCs w:val="22"/>
              </w:rPr>
              <w:t>DR</w:t>
            </w:r>
            <w:r>
              <w:rPr>
                <w:rFonts w:eastAsia="TimesNewRoman"/>
                <w:sz w:val="20"/>
                <w:szCs w:val="22"/>
              </w:rPr>
              <w:t>HM_LR,</w:t>
            </w:r>
            <w:r w:rsidRPr="00822974">
              <w:rPr>
                <w:rFonts w:eastAsia="TimesNewRoman"/>
                <w:sz w:val="20"/>
                <w:szCs w:val="22"/>
              </w:rPr>
              <w:t xml:space="preserve"> </w:t>
            </w:r>
          </w:p>
          <w:p w:rsidR="009B5206" w:rsidRPr="00FD6801" w:rsidRDefault="009B5206" w:rsidP="000160B4">
            <w:pPr>
              <w:autoSpaceDE w:val="0"/>
              <w:autoSpaceDN w:val="0"/>
              <w:adjustRightInd w:val="0"/>
              <w:rPr>
                <w:rFonts w:eastAsia="TimesNewRoman"/>
                <w:sz w:val="20"/>
                <w:szCs w:val="22"/>
              </w:rPr>
            </w:pPr>
            <w:r w:rsidRPr="00822974">
              <w:rPr>
                <w:rFonts w:eastAsia="TimesNewRoman"/>
                <w:sz w:val="20"/>
                <w:szCs w:val="22"/>
              </w:rPr>
              <w:t>DR</w:t>
            </w:r>
            <w:r>
              <w:rPr>
                <w:rFonts w:eastAsia="TimesNewRoman"/>
                <w:sz w:val="20"/>
                <w:szCs w:val="22"/>
              </w:rPr>
              <w:t>HM_HR</w:t>
            </w:r>
          </w:p>
        </w:tc>
        <w:tc>
          <w:tcPr>
            <w:tcW w:w="3089" w:type="dxa"/>
            <w:tcBorders>
              <w:left w:val="single" w:sz="4" w:space="0" w:color="auto"/>
              <w:bottom w:val="single" w:sz="4" w:space="0" w:color="auto"/>
            </w:tcBorders>
          </w:tcPr>
          <w:p w:rsidR="009B5206" w:rsidRDefault="009B5206" w:rsidP="000160B4">
            <w:pPr>
              <w:autoSpaceDE w:val="0"/>
              <w:autoSpaceDN w:val="0"/>
              <w:adjustRightInd w:val="0"/>
              <w:rPr>
                <w:rFonts w:eastAsia="TimesNewRoman"/>
                <w:sz w:val="20"/>
                <w:szCs w:val="22"/>
              </w:rPr>
            </w:pPr>
            <w:r>
              <w:rPr>
                <w:rFonts w:eastAsia="TimesNewRoman"/>
                <w:sz w:val="20"/>
                <w:szCs w:val="22"/>
              </w:rPr>
              <w:t xml:space="preserve">When equal to DRMDR, the data rate is specified by the </w:t>
            </w:r>
            <w:r w:rsidRPr="00C45819">
              <w:rPr>
                <w:rFonts w:eastAsia="TimesNewRoman"/>
                <w:sz w:val="20"/>
                <w:szCs w:val="22"/>
              </w:rPr>
              <w:t>DataRate parameter of the MCPS-DATA.request</w:t>
            </w:r>
            <w:r>
              <w:rPr>
                <w:rFonts w:eastAsia="TimesNewRoman"/>
                <w:sz w:val="20"/>
                <w:szCs w:val="22"/>
              </w:rPr>
              <w:t xml:space="preserve"> primitive.</w:t>
            </w:r>
          </w:p>
          <w:p w:rsidR="009B5206" w:rsidRPr="00FD6801" w:rsidRDefault="009B5206" w:rsidP="000160B4">
            <w:pPr>
              <w:autoSpaceDE w:val="0"/>
              <w:autoSpaceDN w:val="0"/>
              <w:adjustRightInd w:val="0"/>
              <w:rPr>
                <w:rFonts w:eastAsia="TimesNewRoman"/>
                <w:sz w:val="20"/>
                <w:szCs w:val="22"/>
              </w:rPr>
            </w:pPr>
            <w:r>
              <w:rPr>
                <w:rFonts w:eastAsia="TimesNewRoman"/>
                <w:sz w:val="20"/>
                <w:szCs w:val="22"/>
              </w:rPr>
              <w:t>Otherwise the transmit and receive data rates are selected by this attribute as specified in Table AD1 and Table AD2.</w:t>
            </w:r>
          </w:p>
        </w:tc>
      </w:tr>
    </w:tbl>
    <w:p w:rsidR="009B5206" w:rsidRDefault="009B5206" w:rsidP="009B5206">
      <w:pPr>
        <w:autoSpaceDE w:val="0"/>
        <w:autoSpaceDN w:val="0"/>
        <w:adjustRightInd w:val="0"/>
        <w:rPr>
          <w:rFonts w:eastAsia="TimesNewRoman"/>
          <w:sz w:val="20"/>
        </w:rPr>
      </w:pPr>
    </w:p>
    <w:p w:rsidR="009B5206" w:rsidRPr="00DD76C2" w:rsidRDefault="009B5206" w:rsidP="009B5206">
      <w:pPr>
        <w:autoSpaceDE w:val="0"/>
        <w:autoSpaceDN w:val="0"/>
        <w:adjustRightInd w:val="0"/>
        <w:rPr>
          <w:rFonts w:eastAsia="TimesNewRoman"/>
          <w:sz w:val="20"/>
        </w:rPr>
      </w:pPr>
    </w:p>
    <w:p w:rsidR="009B5206" w:rsidRDefault="009B5206" w:rsidP="009B5206">
      <w:pPr>
        <w:autoSpaceDE w:val="0"/>
        <w:autoSpaceDN w:val="0"/>
        <w:adjustRightInd w:val="0"/>
        <w:rPr>
          <w:rFonts w:eastAsia="TimesNewRoman"/>
          <w:sz w:val="20"/>
        </w:rPr>
      </w:pPr>
      <w:r w:rsidRPr="00DD76C2">
        <w:rPr>
          <w:rFonts w:eastAsia="TimesNewRoman"/>
          <w:sz w:val="20"/>
        </w:rPr>
        <w:t xml:space="preserve"> </w:t>
      </w:r>
    </w:p>
    <w:p w:rsidR="009B5206" w:rsidRDefault="009B5206" w:rsidP="009B5206">
      <w:pPr>
        <w:autoSpaceDE w:val="0"/>
        <w:autoSpaceDN w:val="0"/>
        <w:adjustRightInd w:val="0"/>
        <w:rPr>
          <w:rFonts w:eastAsia="TimesNewRoman"/>
          <w:sz w:val="20"/>
        </w:rPr>
      </w:pPr>
      <w:r>
        <w:rPr>
          <w:rFonts w:eastAsia="TimesNewRoman"/>
          <w:b/>
          <w:i/>
          <w:color w:val="FF0000"/>
          <w:sz w:val="20"/>
        </w:rPr>
        <w:t>Modify 16.2.6 as follows</w:t>
      </w:r>
      <w:r w:rsidRPr="00AC6FAA">
        <w:rPr>
          <w:rFonts w:eastAsia="TimesNewRoman"/>
          <w:b/>
          <w:i/>
          <w:color w:val="FF0000"/>
          <w:sz w:val="20"/>
        </w:rPr>
        <w:t>:</w:t>
      </w:r>
    </w:p>
    <w:p w:rsidR="009B5206" w:rsidRPr="00DD76C2" w:rsidRDefault="009B5206" w:rsidP="009B5206">
      <w:pPr>
        <w:autoSpaceDE w:val="0"/>
        <w:autoSpaceDN w:val="0"/>
        <w:adjustRightInd w:val="0"/>
        <w:rPr>
          <w:rFonts w:eastAsia="TimesNewRoman"/>
          <w:sz w:val="20"/>
        </w:rPr>
      </w:pPr>
    </w:p>
    <w:p w:rsidR="009B5206" w:rsidRDefault="009B5206" w:rsidP="009B5206">
      <w:pPr>
        <w:autoSpaceDE w:val="0"/>
        <w:autoSpaceDN w:val="0"/>
        <w:adjustRightInd w:val="0"/>
        <w:rPr>
          <w:rFonts w:eastAsia="TimesNewRoman"/>
          <w:sz w:val="20"/>
          <w:u w:val="single"/>
        </w:rPr>
      </w:pPr>
      <w:r w:rsidRPr="00DD76C2">
        <w:rPr>
          <w:rFonts w:eastAsia="TimesNewRoman"/>
          <w:sz w:val="20"/>
        </w:rPr>
        <w:t>In the BPRF mode, the HRP-</w:t>
      </w:r>
      <w:r w:rsidRPr="00AD182E">
        <w:rPr>
          <w:rFonts w:eastAsia="TimesNewRoman"/>
          <w:strike/>
          <w:sz w:val="20"/>
        </w:rPr>
        <w:t>S</w:t>
      </w:r>
      <w:r w:rsidRPr="00AD182E">
        <w:rPr>
          <w:rFonts w:eastAsia="TimesNewRoman"/>
          <w:sz w:val="20"/>
          <w:u w:val="single"/>
        </w:rPr>
        <w:t>E</w:t>
      </w:r>
      <w:r w:rsidRPr="00DD76C2">
        <w:rPr>
          <w:rFonts w:eastAsia="TimesNewRoman"/>
          <w:sz w:val="20"/>
        </w:rPr>
        <w:t>RDEV shall use the PHR as specified above</w:t>
      </w:r>
      <w:r w:rsidRPr="00AD182E">
        <w:rPr>
          <w:rFonts w:eastAsia="TimesNewRoman"/>
          <w:sz w:val="20"/>
          <w:vertAlign w:val="superscript"/>
        </w:rPr>
        <w:t>3</w:t>
      </w:r>
      <w:r w:rsidRPr="00DD76C2">
        <w:rPr>
          <w:rFonts w:eastAsia="TimesNewRoman"/>
          <w:sz w:val="20"/>
        </w:rPr>
        <w:t>. Optionally, this PHR may be sent and received at the same symbol rate as the data</w:t>
      </w:r>
      <w:r w:rsidRPr="00AD182E">
        <w:rPr>
          <w:rFonts w:eastAsia="TimesNewRoman"/>
          <w:strike/>
          <w:sz w:val="20"/>
        </w:rPr>
        <w:t>.</w:t>
      </w:r>
      <w:r>
        <w:rPr>
          <w:rFonts w:eastAsia="TimesNewRoman"/>
          <w:strike/>
          <w:sz w:val="20"/>
        </w:rPr>
        <w:t xml:space="preserve"> </w:t>
      </w:r>
      <w:r w:rsidRPr="00AD182E">
        <w:rPr>
          <w:rFonts w:eastAsia="TimesNewRoman"/>
          <w:sz w:val="20"/>
          <w:u w:val="single"/>
        </w:rPr>
        <w:t xml:space="preserve">, </w:t>
      </w:r>
      <w:r>
        <w:rPr>
          <w:rFonts w:eastAsia="TimesNewRoman"/>
          <w:sz w:val="20"/>
          <w:u w:val="single"/>
        </w:rPr>
        <w:t xml:space="preserve">This is controlled by the </w:t>
      </w:r>
      <w:r w:rsidRPr="00AD182E">
        <w:rPr>
          <w:rFonts w:eastAsia="TimesNewRoman"/>
          <w:sz w:val="20"/>
          <w:u w:val="single"/>
        </w:rPr>
        <w:t>phyHrpUwbPhrDataRate attribute</w:t>
      </w:r>
      <w:r>
        <w:rPr>
          <w:rFonts w:eastAsia="TimesNewRoman"/>
          <w:sz w:val="20"/>
          <w:u w:val="single"/>
        </w:rPr>
        <w:t xml:space="preserve">, as per table </w:t>
      </w:r>
      <w:r w:rsidRPr="009B5206">
        <w:rPr>
          <w:rFonts w:eastAsia="TimesNewRoman"/>
          <w:color w:val="FF0000"/>
          <w:sz w:val="20"/>
          <w:u w:val="single"/>
        </w:rPr>
        <w:t>AD1</w:t>
      </w:r>
      <w:r w:rsidRPr="00AD182E">
        <w:rPr>
          <w:rFonts w:eastAsia="TimesNewRoman"/>
          <w:sz w:val="20"/>
          <w:u w:val="single"/>
        </w:rPr>
        <w:t>.</w:t>
      </w:r>
    </w:p>
    <w:p w:rsidR="009B5206" w:rsidRDefault="009B5206" w:rsidP="009B5206">
      <w:pPr>
        <w:autoSpaceDE w:val="0"/>
        <w:autoSpaceDN w:val="0"/>
        <w:adjustRightInd w:val="0"/>
        <w:rPr>
          <w:rFonts w:eastAsia="TimesNewRoman"/>
          <w:sz w:val="20"/>
          <w:u w:val="single"/>
        </w:rPr>
      </w:pPr>
    </w:p>
    <w:p w:rsidR="009B5206" w:rsidRDefault="009B5206" w:rsidP="009B5206">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1</w:t>
      </w:r>
      <w:r>
        <w:rPr>
          <w:rFonts w:ascii="TimesNewRoman,Bold" w:hAnsi="TimesNewRoman,Bold" w:cs="TimesNewRoman,Bold"/>
          <w:b/>
          <w:bCs/>
          <w:szCs w:val="24"/>
        </w:rPr>
        <w:t xml:space="preserve"> — PHR and PSDU data rates for the HRP-ERDEV in BPRF mode</w:t>
      </w:r>
    </w:p>
    <w:tbl>
      <w:tblPr>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2631"/>
        <w:gridCol w:w="2409"/>
      </w:tblGrid>
      <w:tr w:rsidR="009B5206" w:rsidRPr="00FD6801" w:rsidTr="000160B4">
        <w:tc>
          <w:tcPr>
            <w:tcW w:w="2331"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 xml:space="preserve">Value of the </w:t>
            </w:r>
            <w:r w:rsidRPr="00FD4EFF">
              <w:rPr>
                <w:rFonts w:eastAsia="TimesNewRoman"/>
                <w:b/>
                <w:i/>
                <w:sz w:val="20"/>
                <w:szCs w:val="22"/>
              </w:rPr>
              <w:t>phyHrpUwbPhrDataRate</w:t>
            </w:r>
            <w:r w:rsidRPr="00FD4EFF">
              <w:rPr>
                <w:rFonts w:eastAsia="TimesNewRoman"/>
                <w:b/>
                <w:sz w:val="20"/>
                <w:szCs w:val="22"/>
              </w:rPr>
              <w:t xml:space="preserve"> attribute</w:t>
            </w:r>
          </w:p>
        </w:tc>
        <w:tc>
          <w:tcPr>
            <w:tcW w:w="2631"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PHR data rate</w:t>
            </w:r>
          </w:p>
        </w:tc>
        <w:tc>
          <w:tcPr>
            <w:tcW w:w="2409" w:type="dxa"/>
            <w:tcBorders>
              <w:bottom w:val="single" w:sz="12" w:space="0" w:color="auto"/>
            </w:tcBorders>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 xml:space="preserve">PSDU data rate </w:t>
            </w:r>
          </w:p>
        </w:tc>
      </w:tr>
      <w:tr w:rsidR="009B5206" w:rsidRPr="00FD6801" w:rsidTr="000160B4">
        <w:tc>
          <w:tcPr>
            <w:tcW w:w="2331" w:type="dxa"/>
            <w:tcBorders>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DRBM_LP</w:t>
            </w:r>
          </w:p>
        </w:tc>
        <w:tc>
          <w:tcPr>
            <w:tcW w:w="2631" w:type="dxa"/>
            <w:tcBorders>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975 kb/s (850 kb/s nominal)</w:t>
            </w:r>
          </w:p>
        </w:tc>
        <w:tc>
          <w:tcPr>
            <w:tcW w:w="2409" w:type="dxa"/>
            <w:tcBorders>
              <w:left w:val="single" w:sz="4" w:space="0" w:color="auto"/>
              <w:bottom w:val="single" w:sz="4" w:space="0" w:color="auto"/>
            </w:tcBorders>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6.8 Mb/s</w:t>
            </w:r>
          </w:p>
        </w:tc>
      </w:tr>
      <w:tr w:rsidR="009B5206" w:rsidRPr="00FD6801" w:rsidTr="000160B4">
        <w:tc>
          <w:tcPr>
            <w:tcW w:w="2331" w:type="dxa"/>
            <w:tcBorders>
              <w:top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sidRPr="00AB6B48">
              <w:rPr>
                <w:rFonts w:eastAsia="TimesNewRoman"/>
                <w:sz w:val="20"/>
                <w:szCs w:val="22"/>
              </w:rPr>
              <w:t>DR</w:t>
            </w:r>
            <w:r>
              <w:rPr>
                <w:rFonts w:eastAsia="TimesNewRoman"/>
                <w:sz w:val="20"/>
                <w:szCs w:val="22"/>
              </w:rPr>
              <w:t>BM_HP</w:t>
            </w:r>
          </w:p>
        </w:tc>
        <w:tc>
          <w:tcPr>
            <w:tcW w:w="2631" w:type="dxa"/>
            <w:tcBorders>
              <w:top w:val="single" w:sz="4" w:space="0" w:color="auto"/>
              <w:left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7.8 Mb/s (6.8 Mb/s nominal)</w:t>
            </w:r>
          </w:p>
        </w:tc>
        <w:tc>
          <w:tcPr>
            <w:tcW w:w="2409" w:type="dxa"/>
            <w:tcBorders>
              <w:top w:val="single" w:sz="4" w:space="0" w:color="auto"/>
              <w:left w:val="single" w:sz="4" w:space="0" w:color="auto"/>
            </w:tcBorders>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6.8 Mb/s</w:t>
            </w:r>
          </w:p>
        </w:tc>
      </w:tr>
    </w:tbl>
    <w:p w:rsidR="009B5206" w:rsidRDefault="009B5206" w:rsidP="009B5206">
      <w:pPr>
        <w:autoSpaceDE w:val="0"/>
        <w:autoSpaceDN w:val="0"/>
        <w:adjustRightInd w:val="0"/>
        <w:rPr>
          <w:rFonts w:eastAsia="TimesNewRoman"/>
          <w:sz w:val="20"/>
        </w:rPr>
      </w:pPr>
    </w:p>
    <w:p w:rsidR="009B5206" w:rsidRPr="00DD76C2" w:rsidRDefault="009B5206" w:rsidP="009B5206">
      <w:pPr>
        <w:autoSpaceDE w:val="0"/>
        <w:autoSpaceDN w:val="0"/>
        <w:adjustRightInd w:val="0"/>
        <w:rPr>
          <w:rFonts w:eastAsia="TimesNewRoman"/>
          <w:sz w:val="20"/>
        </w:rPr>
      </w:pPr>
    </w:p>
    <w:p w:rsidR="009B5206" w:rsidRPr="00DD76C2" w:rsidRDefault="009B5206" w:rsidP="009B5206">
      <w:pPr>
        <w:autoSpaceDE w:val="0"/>
        <w:autoSpaceDN w:val="0"/>
        <w:adjustRightInd w:val="0"/>
        <w:rPr>
          <w:rFonts w:eastAsia="TimesNewRoman"/>
          <w:sz w:val="20"/>
        </w:rPr>
      </w:pPr>
      <w:r w:rsidRPr="00DD76C2">
        <w:rPr>
          <w:rFonts w:eastAsia="TimesNewRoman"/>
          <w:sz w:val="20"/>
        </w:rPr>
        <w:t xml:space="preserve"> </w:t>
      </w:r>
    </w:p>
    <w:p w:rsidR="009B5206" w:rsidRPr="00DD76C2" w:rsidRDefault="009B5206" w:rsidP="009B5206">
      <w:pPr>
        <w:autoSpaceDE w:val="0"/>
        <w:autoSpaceDN w:val="0"/>
        <w:adjustRightInd w:val="0"/>
        <w:rPr>
          <w:rFonts w:eastAsia="TimesNewRoman"/>
          <w:sz w:val="20"/>
        </w:rPr>
      </w:pPr>
      <w:r w:rsidRPr="00DD76C2">
        <w:rPr>
          <w:rFonts w:eastAsia="TimesNewRoman"/>
          <w:sz w:val="20"/>
        </w:rPr>
        <w:t>In the HPRF mode, the HRP-</w:t>
      </w:r>
      <w:r w:rsidRPr="00AD182E">
        <w:rPr>
          <w:rFonts w:eastAsia="TimesNewRoman"/>
          <w:strike/>
          <w:sz w:val="20"/>
        </w:rPr>
        <w:t>S</w:t>
      </w:r>
      <w:r w:rsidRPr="00AD182E">
        <w:rPr>
          <w:rFonts w:eastAsia="TimesNewRoman"/>
          <w:sz w:val="20"/>
          <w:u w:val="single"/>
        </w:rPr>
        <w:t>E</w:t>
      </w:r>
      <w:r w:rsidRPr="00DD76C2">
        <w:rPr>
          <w:rFonts w:eastAsia="TimesNewRoman"/>
          <w:sz w:val="20"/>
        </w:rPr>
        <w:t>RDEV shall use the PHR as specified in 16.2.6.1.</w:t>
      </w:r>
      <w:r w:rsidRPr="00AD182E">
        <w:rPr>
          <w:rFonts w:eastAsia="TimesNewRoman"/>
          <w:sz w:val="20"/>
          <w:u w:val="single"/>
        </w:rPr>
        <w:t xml:space="preserve"> where the data rates of PHR and PSDU are set using the PHY PIB attribute</w:t>
      </w:r>
      <w:r>
        <w:rPr>
          <w:rFonts w:eastAsia="TimesNewRoman"/>
          <w:sz w:val="20"/>
          <w:u w:val="single"/>
        </w:rPr>
        <w:t>s</w:t>
      </w:r>
      <w:r w:rsidRPr="00AD182E">
        <w:rPr>
          <w:rFonts w:eastAsia="TimesNewRoman"/>
          <w:sz w:val="20"/>
          <w:u w:val="single"/>
        </w:rPr>
        <w:t xml:space="preserve"> </w:t>
      </w:r>
      <w:r w:rsidRPr="009E0DEE">
        <w:rPr>
          <w:rFonts w:eastAsia="TimesNewRoman"/>
          <w:i/>
          <w:sz w:val="20"/>
          <w:u w:val="single"/>
        </w:rPr>
        <w:t>phyHrpUwbPhrDataRate</w:t>
      </w:r>
      <w:r>
        <w:rPr>
          <w:rFonts w:eastAsia="TimesNewRoman"/>
          <w:sz w:val="20"/>
          <w:u w:val="single"/>
        </w:rPr>
        <w:t xml:space="preserve"> and </w:t>
      </w:r>
      <w:r w:rsidRPr="009E0DEE">
        <w:rPr>
          <w:rFonts w:eastAsia="TimesNewRoman"/>
          <w:i/>
          <w:sz w:val="20"/>
          <w:u w:val="single"/>
        </w:rPr>
        <w:t>phyHrpUwbCcConstraintLength</w:t>
      </w:r>
      <w:r w:rsidRPr="00AD182E">
        <w:rPr>
          <w:rFonts w:eastAsia="TimesNewRoman"/>
          <w:sz w:val="20"/>
          <w:u w:val="single"/>
        </w:rPr>
        <w:t xml:space="preserve">, as specified in Table </w:t>
      </w:r>
      <w:r w:rsidRPr="00AD182E">
        <w:rPr>
          <w:rFonts w:eastAsia="TimesNewRoman"/>
          <w:color w:val="FF0000"/>
          <w:sz w:val="20"/>
          <w:u w:val="single"/>
        </w:rPr>
        <w:t>AD</w:t>
      </w:r>
      <w:r>
        <w:rPr>
          <w:rFonts w:eastAsia="TimesNewRoman"/>
          <w:color w:val="FF0000"/>
          <w:sz w:val="20"/>
          <w:u w:val="single"/>
        </w:rPr>
        <w:t>2</w:t>
      </w:r>
      <w:r w:rsidRPr="00AD182E">
        <w:rPr>
          <w:rFonts w:eastAsia="TimesNewRoman"/>
          <w:sz w:val="20"/>
          <w:u w:val="single"/>
        </w:rPr>
        <w:t>.</w:t>
      </w:r>
    </w:p>
    <w:p w:rsidR="009B5206" w:rsidRPr="00DD76C2" w:rsidRDefault="009B5206" w:rsidP="009B5206">
      <w:pPr>
        <w:autoSpaceDE w:val="0"/>
        <w:autoSpaceDN w:val="0"/>
        <w:adjustRightInd w:val="0"/>
        <w:rPr>
          <w:rFonts w:eastAsia="TimesNewRoman"/>
          <w:sz w:val="20"/>
        </w:rPr>
      </w:pPr>
      <w:r w:rsidRPr="00DD76C2">
        <w:rPr>
          <w:rFonts w:eastAsia="TimesNewRoman"/>
          <w:sz w:val="20"/>
        </w:rPr>
        <w:t xml:space="preserve"> </w:t>
      </w:r>
    </w:p>
    <w:p w:rsidR="009B5206" w:rsidRDefault="009B5206" w:rsidP="009B5206">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2</w:t>
      </w:r>
      <w:r>
        <w:rPr>
          <w:rFonts w:ascii="TimesNewRoman,Bold" w:hAnsi="TimesNewRoman,Bold" w:cs="TimesNewRoman,Bold"/>
          <w:b/>
          <w:bCs/>
          <w:szCs w:val="24"/>
        </w:rPr>
        <w:t xml:space="preserve"> — PHR and PSDU data rates for the HRP-ERDEV in HPRF mode</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2909"/>
        <w:gridCol w:w="1848"/>
        <w:gridCol w:w="1984"/>
      </w:tblGrid>
      <w:tr w:rsidR="009B5206" w:rsidRPr="00FD6801" w:rsidTr="000160B4">
        <w:trPr>
          <w:jc w:val="center"/>
        </w:trPr>
        <w:tc>
          <w:tcPr>
            <w:tcW w:w="2331"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 xml:space="preserve">Value of the </w:t>
            </w:r>
            <w:r w:rsidRPr="00FD4EFF">
              <w:rPr>
                <w:rFonts w:eastAsia="TimesNewRoman"/>
                <w:b/>
                <w:i/>
                <w:sz w:val="20"/>
                <w:szCs w:val="22"/>
              </w:rPr>
              <w:t>phyHrpUwbPhrDataRate</w:t>
            </w:r>
            <w:r w:rsidRPr="00FD4EFF">
              <w:rPr>
                <w:rFonts w:eastAsia="TimesNewRoman"/>
                <w:b/>
                <w:sz w:val="20"/>
                <w:szCs w:val="22"/>
              </w:rPr>
              <w:t xml:space="preserve"> attribute</w:t>
            </w:r>
          </w:p>
        </w:tc>
        <w:tc>
          <w:tcPr>
            <w:tcW w:w="2909"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 xml:space="preserve">Value of the </w:t>
            </w:r>
            <w:r w:rsidRPr="00FD4EFF">
              <w:rPr>
                <w:rFonts w:eastAsia="TimesNewRoman"/>
                <w:b/>
                <w:i/>
                <w:sz w:val="20"/>
                <w:szCs w:val="22"/>
              </w:rPr>
              <w:t>phyHrpUwbCcConstraintLength</w:t>
            </w:r>
            <w:r w:rsidRPr="00FD4EFF">
              <w:rPr>
                <w:rFonts w:eastAsia="TimesNewRoman"/>
                <w:b/>
                <w:sz w:val="20"/>
                <w:szCs w:val="22"/>
              </w:rPr>
              <w:t xml:space="preserve"> attribute</w:t>
            </w:r>
          </w:p>
        </w:tc>
        <w:tc>
          <w:tcPr>
            <w:tcW w:w="1848" w:type="dxa"/>
            <w:tcBorders>
              <w:bottom w:val="single" w:sz="12" w:space="0" w:color="auto"/>
            </w:tcBorders>
            <w:shd w:val="clear" w:color="auto" w:fill="auto"/>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 xml:space="preserve">PHR data rate </w:t>
            </w:r>
            <w:r>
              <w:rPr>
                <w:rFonts w:eastAsia="TimesNewRoman"/>
                <w:b/>
                <w:sz w:val="20"/>
                <w:szCs w:val="22"/>
              </w:rPr>
              <w:t>(</w:t>
            </w:r>
            <w:r w:rsidRPr="00FD4EFF">
              <w:rPr>
                <w:rFonts w:eastAsia="TimesNewRoman"/>
                <w:b/>
                <w:sz w:val="20"/>
                <w:szCs w:val="22"/>
              </w:rPr>
              <w:t>Mbit/s</w:t>
            </w:r>
            <w:r>
              <w:rPr>
                <w:rFonts w:eastAsia="TimesNewRoman"/>
                <w:b/>
                <w:sz w:val="20"/>
                <w:szCs w:val="22"/>
              </w:rPr>
              <w:t>)</w:t>
            </w:r>
          </w:p>
        </w:tc>
        <w:tc>
          <w:tcPr>
            <w:tcW w:w="1984" w:type="dxa"/>
            <w:tcBorders>
              <w:bottom w:val="single" w:sz="12" w:space="0" w:color="auto"/>
            </w:tcBorders>
            <w:vAlign w:val="center"/>
          </w:tcPr>
          <w:p w:rsidR="009B5206" w:rsidRPr="00FD4EFF" w:rsidRDefault="009B5206" w:rsidP="000160B4">
            <w:pPr>
              <w:autoSpaceDE w:val="0"/>
              <w:autoSpaceDN w:val="0"/>
              <w:adjustRightInd w:val="0"/>
              <w:jc w:val="center"/>
              <w:rPr>
                <w:rFonts w:eastAsia="TimesNewRoman"/>
                <w:b/>
                <w:sz w:val="20"/>
                <w:szCs w:val="22"/>
              </w:rPr>
            </w:pPr>
            <w:r w:rsidRPr="00FD4EFF">
              <w:rPr>
                <w:rFonts w:eastAsia="TimesNewRoman"/>
                <w:b/>
                <w:sz w:val="20"/>
                <w:szCs w:val="22"/>
              </w:rPr>
              <w:t xml:space="preserve">PSDU data rate </w:t>
            </w:r>
            <w:r>
              <w:rPr>
                <w:rFonts w:eastAsia="TimesNewRoman"/>
                <w:b/>
                <w:sz w:val="20"/>
                <w:szCs w:val="22"/>
              </w:rPr>
              <w:t>(</w:t>
            </w:r>
            <w:r w:rsidRPr="00FD4EFF">
              <w:rPr>
                <w:rFonts w:eastAsia="TimesNewRoman"/>
                <w:b/>
                <w:sz w:val="20"/>
                <w:szCs w:val="22"/>
              </w:rPr>
              <w:t>Mbit/s</w:t>
            </w:r>
            <w:r>
              <w:rPr>
                <w:rFonts w:eastAsia="TimesNewRoman"/>
                <w:b/>
                <w:sz w:val="20"/>
                <w:szCs w:val="22"/>
              </w:rPr>
              <w:t>)</w:t>
            </w:r>
          </w:p>
        </w:tc>
      </w:tr>
      <w:tr w:rsidR="009B5206" w:rsidRPr="00FD6801" w:rsidTr="000160B4">
        <w:trPr>
          <w:jc w:val="center"/>
        </w:trPr>
        <w:tc>
          <w:tcPr>
            <w:tcW w:w="2331" w:type="dxa"/>
            <w:tcBorders>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DRHM_LR</w:t>
            </w:r>
          </w:p>
        </w:tc>
        <w:tc>
          <w:tcPr>
            <w:tcW w:w="2909" w:type="dxa"/>
            <w:tcBorders>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CL3</w:t>
            </w:r>
          </w:p>
        </w:tc>
        <w:tc>
          <w:tcPr>
            <w:tcW w:w="1848" w:type="dxa"/>
            <w:tcBorders>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3.9</w:t>
            </w:r>
          </w:p>
        </w:tc>
        <w:tc>
          <w:tcPr>
            <w:tcW w:w="1984" w:type="dxa"/>
            <w:tcBorders>
              <w:left w:val="single" w:sz="4" w:space="0" w:color="auto"/>
              <w:bottom w:val="single" w:sz="4" w:space="0" w:color="auto"/>
            </w:tcBorders>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6.8</w:t>
            </w:r>
          </w:p>
        </w:tc>
      </w:tr>
      <w:tr w:rsidR="009B5206" w:rsidRPr="00FD6801" w:rsidTr="000160B4">
        <w:trPr>
          <w:jc w:val="center"/>
        </w:trPr>
        <w:tc>
          <w:tcPr>
            <w:tcW w:w="2331" w:type="dxa"/>
            <w:tcBorders>
              <w:top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sidRPr="005D6C3E">
              <w:rPr>
                <w:rFonts w:eastAsia="TimesNewRoman"/>
                <w:sz w:val="20"/>
                <w:szCs w:val="22"/>
              </w:rPr>
              <w:t>DRHM_LR</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CL7</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7.8</w:t>
            </w:r>
          </w:p>
        </w:tc>
        <w:tc>
          <w:tcPr>
            <w:tcW w:w="1984" w:type="dxa"/>
            <w:tcBorders>
              <w:top w:val="single" w:sz="4" w:space="0" w:color="auto"/>
              <w:left w:val="single" w:sz="4" w:space="0" w:color="auto"/>
              <w:bottom w:val="single" w:sz="4" w:space="0" w:color="auto"/>
            </w:tcBorders>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7.8</w:t>
            </w:r>
          </w:p>
        </w:tc>
      </w:tr>
      <w:tr w:rsidR="009B5206" w:rsidRPr="00FD6801" w:rsidTr="000160B4">
        <w:trPr>
          <w:jc w:val="center"/>
        </w:trPr>
        <w:tc>
          <w:tcPr>
            <w:tcW w:w="2331" w:type="dxa"/>
            <w:tcBorders>
              <w:top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sidRPr="005D6C3E">
              <w:rPr>
                <w:rFonts w:eastAsia="TimesNewRoman"/>
                <w:sz w:val="20"/>
                <w:szCs w:val="22"/>
              </w:rPr>
              <w:t>DRHM_HR</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CL3</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15.6</w:t>
            </w:r>
          </w:p>
        </w:tc>
        <w:tc>
          <w:tcPr>
            <w:tcW w:w="1984" w:type="dxa"/>
            <w:tcBorders>
              <w:top w:val="single" w:sz="4" w:space="0" w:color="auto"/>
              <w:left w:val="single" w:sz="4" w:space="0" w:color="auto"/>
              <w:bottom w:val="single" w:sz="4" w:space="0" w:color="auto"/>
            </w:tcBorders>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27.2</w:t>
            </w:r>
          </w:p>
        </w:tc>
      </w:tr>
      <w:tr w:rsidR="009B5206" w:rsidRPr="00FD6801" w:rsidTr="000160B4">
        <w:trPr>
          <w:jc w:val="center"/>
        </w:trPr>
        <w:tc>
          <w:tcPr>
            <w:tcW w:w="2331" w:type="dxa"/>
            <w:tcBorders>
              <w:top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sidRPr="005D6C3E">
              <w:rPr>
                <w:rFonts w:eastAsia="TimesNewRoman"/>
                <w:sz w:val="20"/>
                <w:szCs w:val="22"/>
              </w:rPr>
              <w:t>DRHM_HR</w:t>
            </w:r>
          </w:p>
        </w:tc>
        <w:tc>
          <w:tcPr>
            <w:tcW w:w="2909" w:type="dxa"/>
            <w:tcBorders>
              <w:top w:val="single" w:sz="4" w:space="0" w:color="auto"/>
              <w:left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CL7</w:t>
            </w:r>
          </w:p>
        </w:tc>
        <w:tc>
          <w:tcPr>
            <w:tcW w:w="1848" w:type="dxa"/>
            <w:tcBorders>
              <w:top w:val="single" w:sz="4" w:space="0" w:color="auto"/>
              <w:left w:val="single" w:sz="4" w:space="0" w:color="auto"/>
              <w:right w:val="single" w:sz="4" w:space="0" w:color="auto"/>
            </w:tcBorders>
            <w:shd w:val="clear" w:color="auto" w:fill="auto"/>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31.2</w:t>
            </w:r>
          </w:p>
        </w:tc>
        <w:tc>
          <w:tcPr>
            <w:tcW w:w="1984" w:type="dxa"/>
            <w:tcBorders>
              <w:top w:val="single" w:sz="4" w:space="0" w:color="auto"/>
              <w:left w:val="single" w:sz="4" w:space="0" w:color="auto"/>
            </w:tcBorders>
          </w:tcPr>
          <w:p w:rsidR="009B5206" w:rsidRPr="00FD6801" w:rsidRDefault="009B5206" w:rsidP="000160B4">
            <w:pPr>
              <w:autoSpaceDE w:val="0"/>
              <w:autoSpaceDN w:val="0"/>
              <w:adjustRightInd w:val="0"/>
              <w:jc w:val="center"/>
              <w:rPr>
                <w:rFonts w:eastAsia="TimesNewRoman"/>
                <w:sz w:val="20"/>
                <w:szCs w:val="22"/>
              </w:rPr>
            </w:pPr>
            <w:r>
              <w:rPr>
                <w:rFonts w:eastAsia="TimesNewRoman"/>
                <w:sz w:val="20"/>
                <w:szCs w:val="22"/>
              </w:rPr>
              <w:t>31.2</w:t>
            </w:r>
          </w:p>
        </w:tc>
      </w:tr>
    </w:tbl>
    <w:p w:rsidR="009B5206" w:rsidRDefault="009B5206" w:rsidP="009B5206">
      <w:pPr>
        <w:autoSpaceDE w:val="0"/>
        <w:autoSpaceDN w:val="0"/>
        <w:adjustRightInd w:val="0"/>
        <w:rPr>
          <w:rFonts w:eastAsia="TimesNewRoman"/>
          <w:sz w:val="20"/>
        </w:rPr>
      </w:pPr>
    </w:p>
    <w:p w:rsidR="009B5206" w:rsidRDefault="009B5206" w:rsidP="009B5206">
      <w:pPr>
        <w:autoSpaceDE w:val="0"/>
        <w:autoSpaceDN w:val="0"/>
        <w:adjustRightInd w:val="0"/>
        <w:rPr>
          <w:rFonts w:eastAsia="TimesNewRoman"/>
          <w:sz w:val="20"/>
        </w:rPr>
      </w:pPr>
      <w:r w:rsidRPr="00DD76C2">
        <w:rPr>
          <w:rFonts w:eastAsia="TimesNewRoman"/>
          <w:sz w:val="20"/>
        </w:rPr>
        <w:t xml:space="preserve"> </w:t>
      </w:r>
    </w:p>
    <w:p w:rsidR="009B5206" w:rsidRDefault="009B5206" w:rsidP="009B5206">
      <w:pPr>
        <w:autoSpaceDE w:val="0"/>
        <w:autoSpaceDN w:val="0"/>
        <w:adjustRightInd w:val="0"/>
        <w:rPr>
          <w:rFonts w:eastAsia="TimesNewRoman"/>
          <w:sz w:val="20"/>
        </w:rPr>
      </w:pPr>
    </w:p>
    <w:p w:rsidR="009B5206" w:rsidRDefault="009B5206" w:rsidP="009B5206">
      <w:pPr>
        <w:autoSpaceDE w:val="0"/>
        <w:autoSpaceDN w:val="0"/>
        <w:adjustRightInd w:val="0"/>
        <w:rPr>
          <w:rFonts w:eastAsia="TimesNewRoman"/>
          <w:sz w:val="20"/>
        </w:rPr>
      </w:pPr>
      <w:r>
        <w:rPr>
          <w:rFonts w:eastAsia="TimesNewRoman"/>
          <w:b/>
          <w:i/>
          <w:color w:val="FF0000"/>
          <w:sz w:val="20"/>
        </w:rPr>
        <w:t>Insert at the end of 16.3.4 (after Table 33)</w:t>
      </w:r>
      <w:r w:rsidRPr="00AC6FAA">
        <w:rPr>
          <w:rFonts w:eastAsia="TimesNewRoman"/>
          <w:b/>
          <w:i/>
          <w:color w:val="FF0000"/>
          <w:sz w:val="20"/>
        </w:rPr>
        <w:t>:</w:t>
      </w:r>
    </w:p>
    <w:p w:rsidR="009B5206" w:rsidRPr="00DD76C2" w:rsidRDefault="009B5206" w:rsidP="009B5206">
      <w:pPr>
        <w:autoSpaceDE w:val="0"/>
        <w:autoSpaceDN w:val="0"/>
        <w:adjustRightInd w:val="0"/>
        <w:rPr>
          <w:rFonts w:eastAsia="TimesNewRoman"/>
          <w:sz w:val="20"/>
        </w:rPr>
      </w:pPr>
    </w:p>
    <w:p w:rsidR="003175EC" w:rsidRDefault="009B5206" w:rsidP="009B5206">
      <w:pPr>
        <w:autoSpaceDE w:val="0"/>
        <w:autoSpaceDN w:val="0"/>
        <w:adjustRightInd w:val="0"/>
        <w:rPr>
          <w:rFonts w:eastAsia="TimesNewRoman"/>
          <w:sz w:val="20"/>
        </w:rPr>
      </w:pPr>
      <w:r w:rsidRPr="00DD76C2">
        <w:rPr>
          <w:rFonts w:eastAsia="TimesNewRoman"/>
          <w:sz w:val="20"/>
        </w:rPr>
        <w:t xml:space="preserve">The choice of Data (Symbol) Rate is determined by the </w:t>
      </w:r>
      <w:r w:rsidRPr="003175EC">
        <w:rPr>
          <w:rFonts w:eastAsia="TimesNewRoman"/>
          <w:i/>
          <w:sz w:val="20"/>
        </w:rPr>
        <w:t>phyHrpUwbPhrDataRate</w:t>
      </w:r>
      <w:r w:rsidRPr="00DD76C2">
        <w:rPr>
          <w:rFonts w:eastAsia="TimesNewRoman"/>
          <w:sz w:val="20"/>
        </w:rPr>
        <w:t xml:space="preserve"> attribute</w:t>
      </w:r>
      <w:r w:rsidRPr="005D6C3E">
        <w:rPr>
          <w:rFonts w:eastAsia="TimesNewRoman"/>
          <w:sz w:val="20"/>
          <w:u w:val="single"/>
        </w:rPr>
        <w:t xml:space="preserve"> </w:t>
      </w:r>
      <w:r w:rsidRPr="00AD182E">
        <w:rPr>
          <w:rFonts w:eastAsia="TimesNewRoman"/>
          <w:sz w:val="20"/>
          <w:u w:val="single"/>
        </w:rPr>
        <w:t xml:space="preserve">as specified in Table </w:t>
      </w:r>
      <w:r w:rsidRPr="00AD182E">
        <w:rPr>
          <w:rFonts w:eastAsia="TimesNewRoman"/>
          <w:color w:val="FF0000"/>
          <w:sz w:val="20"/>
          <w:u w:val="single"/>
        </w:rPr>
        <w:t>AD</w:t>
      </w:r>
      <w:r>
        <w:rPr>
          <w:rFonts w:eastAsia="TimesNewRoman"/>
          <w:color w:val="FF0000"/>
          <w:sz w:val="20"/>
          <w:u w:val="single"/>
        </w:rPr>
        <w:t>2</w:t>
      </w:r>
      <w:r w:rsidRPr="00AD182E">
        <w:rPr>
          <w:rFonts w:eastAsia="TimesNewRoman"/>
          <w:sz w:val="20"/>
          <w:u w:val="single"/>
        </w:rPr>
        <w:t>.</w:t>
      </w:r>
    </w:p>
    <w:p w:rsidR="009B5206" w:rsidRPr="007E3C44" w:rsidRDefault="009B5206" w:rsidP="009B5206">
      <w:pPr>
        <w:autoSpaceDE w:val="0"/>
        <w:autoSpaceDN w:val="0"/>
        <w:adjustRightInd w:val="0"/>
        <w:rPr>
          <w:rFonts w:eastAsia="TimesNewRoman"/>
          <w:sz w:val="20"/>
        </w:rPr>
      </w:pPr>
    </w:p>
    <w:sectPr w:rsidR="009B5206" w:rsidRPr="007E3C4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7D" w:rsidRDefault="00582B7D">
      <w:r>
        <w:separator/>
      </w:r>
    </w:p>
  </w:endnote>
  <w:endnote w:type="continuationSeparator" w:id="0">
    <w:p w:rsidR="00582B7D" w:rsidRDefault="0058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Default="00C8496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NXP, Decawave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Pr="00D26D6A" w:rsidRDefault="00C8496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D26D6A">
      <w:rPr>
        <w:lang w:val="fr-FR"/>
      </w:rPr>
      <w:t>Submission</w:t>
    </w:r>
    <w:r w:rsidRPr="00D26D6A">
      <w:rPr>
        <w:lang w:val="fr-FR"/>
      </w:rPr>
      <w:tab/>
      <w:t xml:space="preserve">Page </w:t>
    </w:r>
    <w:r>
      <w:pgNum/>
    </w:r>
    <w:r w:rsidRPr="00D26D6A">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7D" w:rsidRDefault="00582B7D">
      <w:r>
        <w:separator/>
      </w:r>
    </w:p>
  </w:footnote>
  <w:footnote w:type="continuationSeparator" w:id="0">
    <w:p w:rsidR="00582B7D" w:rsidRDefault="0058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Default="00C8496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91FBF">
      <w:rPr>
        <w:b/>
        <w:noProof/>
        <w:sz w:val="28"/>
      </w:rPr>
      <w:t>August, 2019</w:t>
    </w:r>
    <w:r>
      <w:rPr>
        <w:b/>
        <w:sz w:val="28"/>
      </w:rPr>
      <w:fldChar w:fldCharType="end"/>
    </w:r>
    <w:r>
      <w:rPr>
        <w:b/>
        <w:sz w:val="28"/>
      </w:rPr>
      <w:tab/>
      <w:t xml:space="preserve"> IEEE P802.15-</w:t>
    </w:r>
    <w:r w:rsidR="004F6A5F" w:rsidRPr="004F6A5F">
      <w:rPr>
        <w:b/>
        <w:sz w:val="28"/>
      </w:rPr>
      <w:t>19-0378-00-004z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65" w:rsidRDefault="00C8496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B7DA9"/>
    <w:multiLevelType w:val="multilevel"/>
    <w:tmpl w:val="1F9C282E"/>
    <w:numStyleLink w:val="Headings"/>
  </w:abstractNum>
  <w:abstractNum w:abstractNumId="5" w15:restartNumberingAfterBreak="0">
    <w:nsid w:val="783613A9"/>
    <w:multiLevelType w:val="multilevel"/>
    <w:tmpl w:val="1F9C282E"/>
    <w:numStyleLink w:val="Headings"/>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3B7"/>
    <w:rsid w:val="000671A9"/>
    <w:rsid w:val="000674E5"/>
    <w:rsid w:val="000F1707"/>
    <w:rsid w:val="001513B7"/>
    <w:rsid w:val="00154A55"/>
    <w:rsid w:val="0017058D"/>
    <w:rsid w:val="00187BD4"/>
    <w:rsid w:val="00246EB2"/>
    <w:rsid w:val="002835A0"/>
    <w:rsid w:val="002C440D"/>
    <w:rsid w:val="00315260"/>
    <w:rsid w:val="003175EC"/>
    <w:rsid w:val="00324811"/>
    <w:rsid w:val="003A4305"/>
    <w:rsid w:val="004F3DC3"/>
    <w:rsid w:val="004F6A5F"/>
    <w:rsid w:val="00521B6D"/>
    <w:rsid w:val="00544E69"/>
    <w:rsid w:val="00575701"/>
    <w:rsid w:val="00582B7D"/>
    <w:rsid w:val="005B0DB9"/>
    <w:rsid w:val="005E5E73"/>
    <w:rsid w:val="006124C3"/>
    <w:rsid w:val="00620D88"/>
    <w:rsid w:val="00685571"/>
    <w:rsid w:val="006A535C"/>
    <w:rsid w:val="006D3AF6"/>
    <w:rsid w:val="006E78A2"/>
    <w:rsid w:val="00717D89"/>
    <w:rsid w:val="00736C3C"/>
    <w:rsid w:val="00775E49"/>
    <w:rsid w:val="0079297D"/>
    <w:rsid w:val="007B7567"/>
    <w:rsid w:val="007D2621"/>
    <w:rsid w:val="00815989"/>
    <w:rsid w:val="00822974"/>
    <w:rsid w:val="008240D2"/>
    <w:rsid w:val="00891FBF"/>
    <w:rsid w:val="008B7DC8"/>
    <w:rsid w:val="008E73CD"/>
    <w:rsid w:val="009046EB"/>
    <w:rsid w:val="009934C6"/>
    <w:rsid w:val="009B06A7"/>
    <w:rsid w:val="009B5206"/>
    <w:rsid w:val="009C3571"/>
    <w:rsid w:val="009C4A82"/>
    <w:rsid w:val="009E0DEE"/>
    <w:rsid w:val="00A22970"/>
    <w:rsid w:val="00A91FA7"/>
    <w:rsid w:val="00AD182E"/>
    <w:rsid w:val="00B4744D"/>
    <w:rsid w:val="00B61F1C"/>
    <w:rsid w:val="00B75EAA"/>
    <w:rsid w:val="00BF41F7"/>
    <w:rsid w:val="00C33E78"/>
    <w:rsid w:val="00C84965"/>
    <w:rsid w:val="00C87094"/>
    <w:rsid w:val="00CF0C6E"/>
    <w:rsid w:val="00D26D6A"/>
    <w:rsid w:val="00DD4C41"/>
    <w:rsid w:val="00DD76C2"/>
    <w:rsid w:val="00E220B0"/>
    <w:rsid w:val="00E54D63"/>
    <w:rsid w:val="00EE1529"/>
    <w:rsid w:val="00EE4A79"/>
    <w:rsid w:val="00EE7637"/>
    <w:rsid w:val="00F505A5"/>
    <w:rsid w:val="00F74412"/>
    <w:rsid w:val="00FD4EFF"/>
    <w:rsid w:val="00FD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lang w:eastAsia="en-US"/>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lang w:eastAsia="en-US"/>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674E5"/>
    <w:pPr>
      <w:ind w:left="8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2019-08-12T14:18:00Z</dcterms:created>
  <dcterms:modified xsi:type="dcterms:W3CDTF">2019-08-12T14:18:00Z</dcterms:modified>
  <cp:category/>
</cp:coreProperties>
</file>