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embeddings/oleObject2.xlsx" ContentType="application/vnd.openxmlformats-officedocument.spreadsheetml.sheet"/>
  <Override PartName="/word/embeddings/oleObject1.xlsx" ContentType="application/vnd.openxmlformats-officedocument.spreadsheetml.sheet"/>
  <Override PartName="/word/media/image2.emf" ContentType="image/x-emf"/>
  <Override PartName="/word/media/image1.emf" ContentType="image/x-emf"/>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6"/>
        <w:gridCol w:w="4050"/>
        <w:gridCol w:w="4145"/>
      </w:tblGrid>
      <w:tr>
        <w:trPr/>
        <w:tc>
          <w:tcPr>
            <w:tcW w:w="1256" w:type="dxa"/>
            <w:tcBorders>
              <w:top w:val="single" w:sz="4" w:space="0" w:color="000001"/>
            </w:tcBorders>
            <w:shd w:fill="FFFFFF" w:val="clear"/>
          </w:tcPr>
          <w:p>
            <w:pPr>
              <w:pStyle w:val="Covertext"/>
              <w:spacing w:before="120" w:after="120"/>
              <w:rPr/>
            </w:pPr>
            <w:r>
              <w:rPr/>
              <w:t>Project</w:t>
            </w:r>
          </w:p>
        </w:tc>
        <w:tc>
          <w:tcPr>
            <w:tcW w:w="8195" w:type="dxa"/>
            <w:gridSpan w:val="2"/>
            <w:tcBorders>
              <w:top w:val="single" w:sz="4" w:space="0" w:color="000001"/>
            </w:tcBorders>
            <w:shd w:fill="FFFFFF" w:val="clear"/>
          </w:tcPr>
          <w:p>
            <w:pPr>
              <w:pStyle w:val="Covertext"/>
              <w:spacing w:before="120" w:after="120"/>
              <w:rPr/>
            </w:pPr>
            <w:r>
              <w:rPr/>
              <w:t>IEEE P802.15 Working Group for Wireless Personal Area Networks (WPANs)</w:t>
            </w:r>
          </w:p>
        </w:tc>
      </w:tr>
      <w:tr>
        <w:trPr/>
        <w:tc>
          <w:tcPr>
            <w:tcW w:w="1256" w:type="dxa"/>
            <w:tcBorders>
              <w:top w:val="single" w:sz="4" w:space="0" w:color="000001"/>
            </w:tcBorders>
            <w:shd w:fill="FFFFFF" w:val="clear"/>
          </w:tcPr>
          <w:p>
            <w:pPr>
              <w:pStyle w:val="Covertext"/>
              <w:spacing w:before="120" w:after="120"/>
              <w:rPr/>
            </w:pPr>
            <w:r>
              <w:rPr/>
              <w:t>Title</w:t>
            </w:r>
          </w:p>
        </w:tc>
        <w:tc>
          <w:tcPr>
            <w:tcW w:w="8195" w:type="dxa"/>
            <w:gridSpan w:val="2"/>
            <w:tcBorders>
              <w:top w:val="single" w:sz="4" w:space="0" w:color="000001"/>
            </w:tcBorders>
            <w:shd w:fill="FFFFFF" w:val="clear"/>
          </w:tcPr>
          <w:p>
            <w:pPr>
              <w:pStyle w:val="Covertext"/>
              <w:spacing w:before="120" w:after="120"/>
              <w:rPr/>
            </w:pPr>
            <w:r>
              <w:rPr/>
              <w:t xml:space="preserve">Resolution to </w:t>
            </w:r>
            <w:r>
              <w:rPr/>
              <w:t>CID-1119</w:t>
            </w:r>
          </w:p>
        </w:tc>
      </w:tr>
      <w:tr>
        <w:trPr/>
        <w:tc>
          <w:tcPr>
            <w:tcW w:w="1256" w:type="dxa"/>
            <w:tcBorders>
              <w:top w:val="single" w:sz="4" w:space="0" w:color="000001"/>
            </w:tcBorders>
            <w:shd w:fill="FFFFFF" w:val="clear"/>
          </w:tcPr>
          <w:p>
            <w:pPr>
              <w:pStyle w:val="Covertext"/>
              <w:spacing w:before="120" w:after="120"/>
              <w:rPr/>
            </w:pPr>
            <w:r>
              <w:rPr/>
              <w:t>Date Submitted</w:t>
            </w:r>
          </w:p>
        </w:tc>
        <w:tc>
          <w:tcPr>
            <w:tcW w:w="8195" w:type="dxa"/>
            <w:gridSpan w:val="2"/>
            <w:tcBorders>
              <w:top w:val="single" w:sz="4" w:space="0" w:color="000001"/>
            </w:tcBorders>
            <w:shd w:fill="FFFFFF" w:val="clear"/>
          </w:tcPr>
          <w:p>
            <w:pPr>
              <w:pStyle w:val="Covertext"/>
              <w:tabs>
                <w:tab w:val="clear" w:pos="720"/>
                <w:tab w:val="left" w:pos="4809" w:leader="none"/>
              </w:tabs>
              <w:spacing w:before="120" w:after="120"/>
              <w:rPr/>
            </w:pPr>
            <w:r>
              <w:rPr/>
              <w:t xml:space="preserve"> </w:t>
            </w:r>
            <w:r>
              <w:rPr/>
              <w:t>July, 1</w:t>
            </w:r>
            <w:r>
              <w:rPr/>
              <w:t>7</w:t>
            </w:r>
            <w:r>
              <w:rPr/>
              <w:t xml:space="preserve"> 2019</w:t>
              <w:tab/>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fill="FFFFFF" w:val="clear"/>
          </w:tcPr>
          <w:p>
            <w:pPr>
              <w:pStyle w:val="Covertext"/>
              <w:spacing w:before="0" w:after="0"/>
              <w:rPr/>
            </w:pPr>
            <w:r>
              <w:rPr/>
              <w:t>[Tero Kivinen]</w:t>
              <w:br/>
              <w:t>[]</w:t>
              <w:br/>
            </w:r>
          </w:p>
        </w:tc>
        <w:tc>
          <w:tcPr>
            <w:tcW w:w="4145" w:type="dxa"/>
            <w:tcBorders>
              <w:top w:val="single" w:sz="4" w:space="0" w:color="000001"/>
              <w:bottom w:val="single" w:sz="4" w:space="0" w:color="000001"/>
              <w:insideH w:val="single" w:sz="4" w:space="0" w:color="000001"/>
            </w:tcBorders>
            <w:shd w:fill="FFFFFF" w:val="clear"/>
          </w:tcPr>
          <w:p>
            <w:pPr>
              <w:pStyle w:val="Covertext"/>
              <w:tabs>
                <w:tab w:val="clear" w:pos="720"/>
                <w:tab w:val="left" w:pos="1152" w:leader="none"/>
              </w:tabs>
              <w:spacing w:before="0" w:after="0"/>
              <w:rPr/>
            </w:pPr>
            <w:r>
              <w:rPr>
                <w:lang w:val="fr-FR"/>
              </w:rPr>
              <w:t>Voice:</w:t>
              <w:tab/>
              <w:t>[]</w:t>
              <w:br/>
              <w:t>Fax:</w:t>
              <w:tab/>
              <w:t>[]</w:t>
              <w:br/>
              <w:t>E-mail:</w:t>
              <w:tab/>
              <w:t>[kivinen@iki.fi]</w:t>
            </w:r>
          </w:p>
        </w:tc>
      </w:tr>
      <w:tr>
        <w:trPr/>
        <w:tc>
          <w:tcPr>
            <w:tcW w:w="1256" w:type="dxa"/>
            <w:tcBorders>
              <w:top w:val="single" w:sz="4" w:space="0" w:color="000001"/>
            </w:tcBorders>
            <w:shd w:fill="FFFFFF" w:val="clear"/>
          </w:tcPr>
          <w:p>
            <w:pPr>
              <w:pStyle w:val="Covertext"/>
              <w:spacing w:before="120" w:after="120"/>
              <w:rPr/>
            </w:pPr>
            <w:r>
              <w:rPr/>
              <w:t>Re:</w:t>
            </w:r>
          </w:p>
        </w:tc>
        <w:tc>
          <w:tcPr>
            <w:tcW w:w="8195" w:type="dxa"/>
            <w:gridSpan w:val="2"/>
            <w:tcBorders>
              <w:top w:val="single" w:sz="4" w:space="0" w:color="000001"/>
            </w:tcBorders>
            <w:shd w:fill="FFFFFF" w:val="clear"/>
          </w:tcPr>
          <w:p>
            <w:pPr>
              <w:pStyle w:val="Covertext"/>
              <w:spacing w:before="120" w:after="120"/>
              <w:rPr/>
            </w:pPr>
            <w:r>
              <w:rPr/>
              <w:t>LB156</w:t>
            </w:r>
          </w:p>
        </w:tc>
      </w:tr>
      <w:tr>
        <w:trPr/>
        <w:tc>
          <w:tcPr>
            <w:tcW w:w="1256" w:type="dxa"/>
            <w:tcBorders>
              <w:top w:val="single" w:sz="4" w:space="0" w:color="000001"/>
            </w:tcBorders>
            <w:shd w:fill="FFFFFF" w:val="clear"/>
          </w:tcPr>
          <w:p>
            <w:pPr>
              <w:pStyle w:val="Covertext"/>
              <w:spacing w:before="120" w:after="120"/>
              <w:rPr/>
            </w:pPr>
            <w:r>
              <w:rPr/>
              <w:t>Abstract</w:t>
            </w:r>
          </w:p>
        </w:tc>
        <w:tc>
          <w:tcPr>
            <w:tcW w:w="8195" w:type="dxa"/>
            <w:gridSpan w:val="2"/>
            <w:tcBorders>
              <w:top w:val="single" w:sz="4" w:space="0" w:color="000001"/>
            </w:tcBorders>
            <w:shd w:fill="FFFFFF" w:val="clear"/>
          </w:tcPr>
          <w:p>
            <w:pPr>
              <w:pStyle w:val="Covertext"/>
              <w:spacing w:before="120" w:after="120"/>
              <w:rPr/>
            </w:pPr>
            <w:r>
              <w:rPr/>
              <w:t xml:space="preserve">Proposed resolution </w:t>
            </w:r>
            <w:r>
              <w:rPr/>
              <w:t>how to transport secure element data over 802.15.4</w:t>
            </w:r>
            <w:r>
              <w:rPr/>
              <w:t>.</w:t>
            </w:r>
          </w:p>
        </w:tc>
      </w:tr>
      <w:tr>
        <w:trPr/>
        <w:tc>
          <w:tcPr>
            <w:tcW w:w="1256" w:type="dxa"/>
            <w:tcBorders>
              <w:top w:val="single" w:sz="4" w:space="0" w:color="000001"/>
            </w:tcBorders>
            <w:shd w:fill="FFFFFF" w:val="clear"/>
          </w:tcPr>
          <w:p>
            <w:pPr>
              <w:pStyle w:val="Covertext"/>
              <w:spacing w:before="120" w:after="120"/>
              <w:rPr/>
            </w:pPr>
            <w:r>
              <w:rPr/>
              <w:t>Purpose</w:t>
            </w:r>
          </w:p>
        </w:tc>
        <w:tc>
          <w:tcPr>
            <w:tcW w:w="8195" w:type="dxa"/>
            <w:gridSpan w:val="2"/>
            <w:tcBorders>
              <w:top w:val="single" w:sz="4" w:space="0" w:color="000001"/>
            </w:tcBorders>
            <w:shd w:fill="FFFFFF" w:val="clear"/>
          </w:tcPr>
          <w:p>
            <w:pPr>
              <w:pStyle w:val="Covertext"/>
              <w:spacing w:before="120" w:after="120"/>
              <w:rPr/>
            </w:pPr>
            <w:r>
              <w:rPr/>
              <w:t xml:space="preserve">Solve the issue. </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Notice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Release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pPr>
      <w:r>
        <w:rPr/>
      </w:r>
      <w:r>
        <w:br w:type="page"/>
      </w:r>
    </w:p>
    <w:p>
      <w:pPr>
        <w:pStyle w:val="Heading1"/>
        <w:rPr/>
      </w:pPr>
      <w:r>
        <w:rPr/>
        <w:t>Description of Problem</w:t>
      </w:r>
    </w:p>
    <w:p>
      <w:pPr>
        <w:pStyle w:val="Normal"/>
        <w:rPr/>
      </w:pPr>
      <w:r>
        <w:rPr/>
      </w:r>
    </w:p>
    <w:p>
      <w:pPr>
        <w:pStyle w:val="Normal"/>
        <w:rPr/>
      </w:pPr>
      <w:r>
        <w:rPr/>
        <w:t>The section 7.4.4.56 describes new Secure Service IE to transport upper layer transaction data. This is not needed for the Ranging, even when it might be used with ranging. Better way is to specify how same thing can be achieved by using normal IEEE Std 802.15.4 methods.</w:t>
      </w:r>
    </w:p>
    <w:p>
      <w:pPr>
        <w:pStyle w:val="Heading1"/>
        <w:rPr/>
      </w:pPr>
      <w:r>
        <w:rPr/>
        <w:t>Solution</w:t>
      </w:r>
    </w:p>
    <w:p>
      <w:pPr>
        <w:pStyle w:val="Normal"/>
        <w:rPr/>
      </w:pPr>
      <w:r>
        <w:rPr/>
        <w:object>
          <v:shape id="ole_rId2" style="width:490.15pt;height:23.9pt" o:ole="">
            <v:imagedata r:id="rId3" o:title=""/>
          </v:shape>
          <o:OLEObject Type="Embed" ProgID="Excel.Sheet.12" ShapeID="ole_rId2" DrawAspect="Content" ObjectID="_1131433902" r:id="rId2"/>
        </w:object>
      </w:r>
    </w:p>
    <w:p>
      <w:pPr>
        <w:pStyle w:val="Normal"/>
        <w:rPr/>
      </w:pPr>
      <w:r>
        <w:rPr/>
        <w:t xml:space="preserve">Remove section 7.4.4.56 and references to it. </w:t>
      </w:r>
    </w:p>
    <w:p>
      <w:pPr>
        <w:pStyle w:val="Normal"/>
        <w:rPr/>
      </w:pPr>
      <w:r>
        <w:rPr/>
      </w:r>
    </w:p>
    <w:p>
      <w:pPr>
        <w:pStyle w:val="Normal"/>
        <w:rPr/>
      </w:pPr>
      <w:r>
        <w:rPr/>
        <w:t>Modify section 6.9.7.9 as follows (I took latest version of 15-19-0253-08 as base of this text, and modified it):</w:t>
      </w:r>
    </w:p>
    <w:p>
      <w:pPr>
        <w:pStyle w:val="Normal"/>
        <w:rPr/>
      </w:pPr>
      <w:r>
        <w:rPr/>
      </w:r>
    </w:p>
    <w:p>
      <w:pPr>
        <w:pStyle w:val="Quotations"/>
        <w:rPr/>
      </w:pPr>
      <w:r>
        <w:rPr/>
        <w:t>The enhanced ranging capabilities of the ERDEV can be used to protect by using ranging to check that the distance between the communicating devices is as expected. In such secure service transaction scenarios, the higher layer is often interfacing between the radio and a secure element used in validating the transaction. </w:t>
      </w:r>
      <w:r>
        <w:rPr/>
        <w:t xml:space="preserve">There are multiple methods of exchange data between secure element in conjunction with range measures. In most environments there is dispatch code inside the data payload part of the data frame, and this can be used to distinguish the data going to secure element. Other option is to use MPX IE with dispatch code allocated for this purpose (TBD allocation number / name). When any of this methods is used the higher layer can identify this, and can route </w:t>
      </w:r>
      <w:r>
        <w:rPr/>
        <w:t xml:space="preserve">associated ranging measurement, </w:t>
      </w:r>
      <w:r>
        <w:rPr/>
        <w:t xml:space="preserve">and the </w:t>
      </w:r>
      <w:r>
        <w:rPr/>
        <w:t xml:space="preserve">payload to different device components. </w:t>
      </w:r>
    </w:p>
    <w:p>
      <w:pPr>
        <w:pStyle w:val="Normal"/>
        <w:rPr/>
      </w:pPr>
      <w:r>
        <w:rPr/>
      </w:r>
    </w:p>
    <w:p>
      <w:pPr>
        <w:pStyle w:val="Normal"/>
        <w:rPr/>
      </w:pPr>
      <w:r>
        <w:rPr/>
        <w:object>
          <v:shape id="ole_rId4" style="width:347.75pt;height:102.45pt" o:ole="">
            <v:imagedata r:id="rId5" o:title=""/>
          </v:shape>
          <o:OLEObject Type="Embed" ProgID="Excel.Sheet.12" ShapeID="ole_rId4" DrawAspect="Content" ObjectID="_956934815" r:id="rId4"/>
        </w:object>
      </w:r>
    </w:p>
    <w:sectPr>
      <w:headerReference w:type="default" r:id="rId6"/>
      <w:footerReference w:type="default" r:id="rId7"/>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July, 2019</w:t>
      <w:tab/>
      <w:t xml:space="preserve"> </w:t>
      <w:tab/>
    </w:r>
    <w:r>
      <w:rPr>
        <w:rStyle w:val="Highlight1"/>
        <w:rFonts w:ascii="Times" w:hAnsi="Times"/>
        <w:color w:val="000000"/>
        <w:sz w:val="28"/>
        <w:szCs w:val="28"/>
      </w:rPr>
      <w:t>15-19-03</w:t>
    </w:r>
    <w:r>
      <w:rPr>
        <w:rStyle w:val="Highlight1"/>
        <w:rFonts w:ascii="Times" w:hAnsi="Times"/>
        <w:color w:val="000000"/>
        <w:sz w:val="28"/>
        <w:szCs w:val="28"/>
      </w:rPr>
      <w:t>36</w:t>
    </w:r>
    <w:r>
      <w:rPr>
        <w:rStyle w:val="Highlight1"/>
        <w:rFonts w:ascii="Times" w:hAnsi="Times"/>
        <w:color w:val="000000"/>
        <w:sz w:val="28"/>
        <w:szCs w:val="28"/>
      </w:rPr>
      <w:t>-0</w:t>
    </w:r>
    <w:r>
      <w:rPr>
        <w:rStyle w:val="Highlight1"/>
        <w:rFonts w:ascii="Times" w:hAnsi="Times"/>
        <w:color w:val="000000"/>
        <w:sz w:val="28"/>
        <w:szCs w:val="28"/>
      </w:rPr>
      <w:t>1</w:t>
    </w:r>
  </w:p>
</w:hdr>
</file>

<file path=word/settings.xml><?xml version="1.0" encoding="utf-8"?>
<w:settings xmlns:w="http://schemas.openxmlformats.org/wordprocessingml/2006/main">
  <w:zoom w:percent="180"/>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be4"/>
    <w:pPr>
      <w:widowControl w:val="false"/>
      <w:suppressAutoHyphens w:val="true"/>
      <w:bidi w:val="0"/>
      <w:jc w:val="left"/>
    </w:pPr>
    <w:rPr>
      <w:rFonts w:ascii="Times New Roman" w:hAnsi="Times New Roman" w:eastAsia="Times New Roman" w:cs="New York"/>
      <w:color w:val="00000A"/>
      <w:kern w:val="0"/>
      <w:sz w:val="24"/>
      <w:szCs w:val="20"/>
      <w:lang w:val="en-US" w:eastAsia="hi-IN" w:bidi="hi-IN"/>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sz w:val="28"/>
      <w:u w:val="wave"/>
    </w:rPr>
  </w:style>
  <w:style w:type="paragraph" w:styleId="Heading3">
    <w:name w:val="Heading 3"/>
    <w:basedOn w:val="Normal"/>
    <w:next w:val="Normal"/>
    <w:qFormat/>
    <w:rsid w:val="00f02be4"/>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right="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c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name w:val="ListLabel 1"/>
    <w:qFormat/>
    <w:rPr>
      <w:rFonts w:cs="Courier New"/>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720"/>
        <w:tab w:val="center" w:pos="4320" w:leader="none"/>
        <w:tab w:val="right" w:pos="8640" w:leader="none"/>
      </w:tabs>
    </w:pPr>
    <w:rPr/>
  </w:style>
  <w:style w:type="paragraph" w:styleId="Header">
    <w:name w:val="Header"/>
    <w:basedOn w:val="Normal"/>
    <w:rsid w:val="00f02be4"/>
    <w:pPr>
      <w:tabs>
        <w:tab w:val="clear" w:pos="720"/>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left="0" w:right="-720" w:hanging="0"/>
      <w:jc w:val="both"/>
    </w:pPr>
    <w:rPr>
      <w:rFonts w:ascii="New Century Schlbk" w:hAnsi="New Century Schlbk"/>
      <w:sz w:val="20"/>
    </w:rPr>
  </w:style>
  <w:style w:type="paragraph" w:styleId="DocumentMap">
    <w:name w:val="Document Map"/>
    <w:basedOn w:val="Normal"/>
    <w:qFormat/>
    <w:rsid w:val="00f02be4"/>
    <w:pPr>
      <w:shd w:val="clear"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c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package" Target="embeddings/oleObject2.xlsx"/><Relationship Id="rId5" Type="http://schemas.openxmlformats.org/officeDocument/2006/relationships/image" Target="media/image2.em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Application>LibreOffice/6.1.5.2$Linux_X86_64 LibreOffice_project/10$Build-2</Application>
  <Pages>2</Pages>
  <Words>358</Words>
  <Characters>1900</Characters>
  <CharactersWithSpaces>2239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2019-05-15T10:27:02Z</dcterms:created>
  <dc:creator>Tero Kivinen</dc:creator>
  <dc:description/>
  <dc:language>en-US</dc:language>
  <cp:lastModifiedBy>Tero Kivinen</cp:lastModifiedBy>
  <dcterms:modified xsi:type="dcterms:W3CDTF">2019-07-17T17:53:51Z</dcterms:modified>
  <cp:revision>12</cp:revision>
  <dc:subject/>
  <dc:title>Resolution Resolution to SecurityMinimum and AllowedSecurityLevels</dc:title>
</cp:coreProperties>
</file>