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9743D5">
            <w:pPr>
              <w:pStyle w:val="covertext"/>
            </w:pPr>
            <w:r>
              <w:rPr>
                <w:b/>
                <w:sz w:val="28"/>
              </w:rPr>
              <w:fldChar w:fldCharType="begin"/>
            </w:r>
            <w:r>
              <w:rPr>
                <w:b/>
                <w:sz w:val="28"/>
              </w:rPr>
              <w:instrText xml:space="preserve"> TITLE  "Further HRP Comment Resolutions Vol2"  \* MERGEFORMAT </w:instrText>
            </w:r>
            <w:r>
              <w:rPr>
                <w:b/>
                <w:sz w:val="28"/>
              </w:rPr>
              <w:fldChar w:fldCharType="separate"/>
            </w:r>
            <w:r>
              <w:rPr>
                <w:b/>
                <w:sz w:val="28"/>
              </w:rPr>
              <w:t>Further HRP Comment Resolutions Vol2</w:t>
            </w:r>
            <w:r>
              <w:rPr>
                <w:b/>
                <w:sz w:val="28"/>
              </w:rPr>
              <w:fldChar w:fldCharType="end"/>
            </w:r>
            <w:bookmarkStart w:id="0" w:name="_GoBack"/>
            <w:bookmarkEnd w:id="0"/>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6311C9">
            <w:pPr>
              <w:pStyle w:val="covertext"/>
            </w:pPr>
            <w:r w:rsidRPr="00521B6D">
              <w:t>[</w:t>
            </w:r>
            <w:r w:rsidR="00E272F1">
              <w:t>1</w:t>
            </w:r>
            <w:r w:rsidR="006311C9">
              <w:t>6</w:t>
            </w:r>
            <w:r w:rsidRPr="00521B6D">
              <w:t xml:space="preserve"> Ju</w:t>
            </w:r>
            <w:r w:rsidR="006311C9">
              <w:t>ly</w:t>
            </w:r>
            <w:r w:rsidRPr="00521B6D">
              <w:t>, 201</w:t>
            </w:r>
            <w:r>
              <w:t>9</w:t>
            </w:r>
            <w:r w:rsidRPr="00521B6D">
              <w:t>]</w:t>
            </w:r>
          </w:p>
        </w:tc>
      </w:tr>
      <w:tr w:rsidR="006D3AF6" w:rsidTr="0053776C">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Default="006D3AF6" w:rsidP="006D3AF6">
            <w:pPr>
              <w:pStyle w:val="covertext"/>
              <w:tabs>
                <w:tab w:val="left" w:pos="1152"/>
              </w:tabs>
              <w:spacing w:before="0" w:after="0"/>
            </w:pPr>
            <w:r>
              <w:t>Brima Ibrahim (NXP Semiconductors)</w:t>
            </w:r>
          </w:p>
          <w:p w:rsidR="006D3AF6" w:rsidRDefault="006D3AF6" w:rsidP="006D3AF6">
            <w:pPr>
              <w:pStyle w:val="covertext"/>
              <w:tabs>
                <w:tab w:val="left" w:pos="1152"/>
              </w:tabs>
              <w:spacing w:before="0" w:after="0"/>
              <w:rPr>
                <w:sz w:val="18"/>
              </w:rPr>
            </w:pPr>
            <w:r>
              <w:t>Benjamin A. Rolfe (Blind Creek Associates / NXP / UWB Alliance)</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6D3AF6">
              <w:t xml:space="preserve">Further </w:t>
            </w:r>
            <w:r w:rsidR="001513B7" w:rsidRPr="001513B7">
              <w:t>802.15.4</w:t>
            </w:r>
            <w:r w:rsidR="006D3AF6">
              <w:t>z HRP UWB comment resolutions</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6D3AF6">
            <w:pPr>
              <w:pStyle w:val="covertext"/>
            </w:pPr>
            <w:r>
              <w:t>[</w:t>
            </w:r>
            <w:r w:rsidR="006D3AF6">
              <w:t>Resolve 802.15.4z HRP UWB comments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87094" w:rsidRDefault="0079297D" w:rsidP="006D3AF6">
      <w:pPr>
        <w:widowControl w:val="0"/>
        <w:spacing w:before="120"/>
        <w:rPr>
          <w:b/>
          <w:sz w:val="28"/>
        </w:rPr>
      </w:pPr>
      <w:r>
        <w:rPr>
          <w:b/>
          <w:sz w:val="28"/>
        </w:rPr>
        <w:br w:type="page"/>
      </w:r>
      <w:r w:rsidR="00C87094">
        <w:rPr>
          <w:b/>
          <w:sz w:val="28"/>
        </w:rPr>
        <w:lastRenderedPageBreak/>
        <w:t xml:space="preserve">This document provides resolutions to comments </w:t>
      </w:r>
      <w:r w:rsidR="002C440D">
        <w:rPr>
          <w:b/>
          <w:sz w:val="28"/>
        </w:rPr>
        <w:t>i-0</w:t>
      </w:r>
      <w:r w:rsidR="006311C9">
        <w:rPr>
          <w:b/>
          <w:sz w:val="28"/>
        </w:rPr>
        <w:t>2</w:t>
      </w:r>
      <w:r w:rsidR="002C440D">
        <w:rPr>
          <w:b/>
          <w:sz w:val="28"/>
        </w:rPr>
        <w:t>7</w:t>
      </w:r>
      <w:r w:rsidR="006311C9">
        <w:rPr>
          <w:b/>
          <w:sz w:val="28"/>
        </w:rPr>
        <w:t>1</w:t>
      </w:r>
      <w:r w:rsidR="002C440D">
        <w:rPr>
          <w:b/>
          <w:sz w:val="28"/>
        </w:rPr>
        <w:t>, i-0</w:t>
      </w:r>
      <w:r w:rsidR="006311C9">
        <w:rPr>
          <w:b/>
          <w:sz w:val="28"/>
        </w:rPr>
        <w:t>527,</w:t>
      </w:r>
      <w:r w:rsidR="006311C9" w:rsidRPr="006311C9">
        <w:rPr>
          <w:b/>
          <w:sz w:val="28"/>
        </w:rPr>
        <w:t xml:space="preserve"> </w:t>
      </w:r>
      <w:r w:rsidR="006311C9">
        <w:rPr>
          <w:b/>
          <w:sz w:val="28"/>
        </w:rPr>
        <w:t>i-0908, i-1545, i-2243,</w:t>
      </w:r>
      <w:r w:rsidR="00C87094">
        <w:rPr>
          <w:b/>
          <w:sz w:val="28"/>
        </w:rPr>
        <w:t xml:space="preserve"> </w:t>
      </w:r>
      <w:r w:rsidR="006311C9">
        <w:rPr>
          <w:b/>
          <w:sz w:val="28"/>
        </w:rPr>
        <w:t>i-1163, i-1800, i-2863, i-1169, i-1806, and i-2233</w:t>
      </w:r>
      <w:r w:rsidR="00C87094">
        <w:rPr>
          <w:b/>
          <w:sz w:val="28"/>
        </w:rPr>
        <w:t>.</w:t>
      </w:r>
    </w:p>
    <w:p w:rsidR="00C87094" w:rsidRDefault="00C87094" w:rsidP="006D3AF6">
      <w:pPr>
        <w:widowControl w:val="0"/>
        <w:spacing w:before="120"/>
        <w:rPr>
          <w:b/>
          <w:sz w:val="28"/>
        </w:rPr>
      </w:pPr>
    </w:p>
    <w:p w:rsidR="006311C9" w:rsidRDefault="006311C9" w:rsidP="006D3AF6">
      <w:pPr>
        <w:widowControl w:val="0"/>
        <w:spacing w:before="120"/>
        <w:rPr>
          <w:b/>
          <w:sz w:val="28"/>
        </w:rPr>
      </w:pPr>
    </w:p>
    <w:p w:rsidR="006311C9" w:rsidRDefault="006311C9" w:rsidP="006D3AF6">
      <w:pPr>
        <w:widowControl w:val="0"/>
        <w:spacing w:before="120"/>
        <w:rPr>
          <w:b/>
          <w:sz w:val="28"/>
        </w:rPr>
      </w:pPr>
    </w:p>
    <w:p w:rsidR="006D3AF6" w:rsidRDefault="006D3AF6" w:rsidP="006D3AF6">
      <w:pPr>
        <w:widowControl w:val="0"/>
        <w:spacing w:before="120"/>
        <w:rPr>
          <w:b/>
          <w:sz w:val="28"/>
        </w:rPr>
      </w:pPr>
      <w:r>
        <w:rPr>
          <w:b/>
          <w:sz w:val="28"/>
        </w:rPr>
        <w:t xml:space="preserve">The following resolution applies to </w:t>
      </w:r>
      <w:r w:rsidR="002C440D">
        <w:rPr>
          <w:b/>
          <w:sz w:val="28"/>
        </w:rPr>
        <w:t>i-0</w:t>
      </w:r>
      <w:r w:rsidR="006311C9">
        <w:rPr>
          <w:b/>
          <w:sz w:val="28"/>
        </w:rPr>
        <w:t>2</w:t>
      </w:r>
      <w:r w:rsidR="002C440D">
        <w:rPr>
          <w:b/>
          <w:sz w:val="28"/>
        </w:rPr>
        <w:t>7</w:t>
      </w:r>
      <w:r w:rsidR="006311C9">
        <w:rPr>
          <w:b/>
          <w:sz w:val="28"/>
        </w:rPr>
        <w:t>1</w:t>
      </w:r>
      <w:r>
        <w:rPr>
          <w:b/>
          <w:sz w:val="28"/>
        </w:rPr>
        <w:t>.</w:t>
      </w:r>
    </w:p>
    <w:p w:rsidR="002C440D" w:rsidRDefault="002C440D" w:rsidP="006D3AF6">
      <w:pPr>
        <w:widowControl w:val="0"/>
        <w:spacing w:before="120"/>
        <w:rPr>
          <w:b/>
          <w:sz w:val="28"/>
        </w:rPr>
      </w:pPr>
    </w:p>
    <w:p w:rsidR="006311C9" w:rsidRDefault="006311C9" w:rsidP="006311C9">
      <w:pPr>
        <w:autoSpaceDE w:val="0"/>
        <w:autoSpaceDN w:val="0"/>
        <w:adjustRightInd w:val="0"/>
        <w:rPr>
          <w:rFonts w:eastAsia="TimesNewRoman"/>
          <w:b/>
          <w:i/>
          <w:color w:val="FF0000"/>
          <w:sz w:val="20"/>
        </w:rPr>
      </w:pPr>
    </w:p>
    <w:p w:rsidR="006311C9" w:rsidRDefault="006311C9" w:rsidP="006311C9">
      <w:pPr>
        <w:autoSpaceDE w:val="0"/>
        <w:autoSpaceDN w:val="0"/>
        <w:adjustRightInd w:val="0"/>
        <w:rPr>
          <w:rFonts w:eastAsia="TimesNewRoman"/>
          <w:b/>
          <w:i/>
          <w:color w:val="FF0000"/>
          <w:sz w:val="20"/>
        </w:rPr>
      </w:pPr>
      <w:r w:rsidRPr="0090329B">
        <w:rPr>
          <w:rFonts w:eastAsia="TimesNewRoman"/>
          <w:b/>
          <w:i/>
          <w:color w:val="FF0000"/>
          <w:sz w:val="20"/>
        </w:rPr>
        <w:t>Add the following new rows into Table 7-</w:t>
      </w:r>
      <w:r>
        <w:rPr>
          <w:rFonts w:eastAsia="TimesNewRoman"/>
          <w:b/>
          <w:i/>
          <w:color w:val="FF0000"/>
          <w:sz w:val="20"/>
        </w:rPr>
        <w:t>7</w:t>
      </w:r>
      <w:r w:rsidRPr="0090329B">
        <w:rPr>
          <w:rFonts w:eastAsia="TimesNewRoman"/>
          <w:b/>
          <w:i/>
          <w:color w:val="FF0000"/>
          <w:sz w:val="20"/>
        </w:rPr>
        <w:t>:</w:t>
      </w:r>
    </w:p>
    <w:p w:rsidR="006311C9" w:rsidRDefault="006311C9" w:rsidP="006311C9">
      <w:pPr>
        <w:autoSpaceDE w:val="0"/>
        <w:autoSpaceDN w:val="0"/>
        <w:adjustRightInd w:val="0"/>
        <w:rPr>
          <w:rFonts w:eastAsia="TimesNewRoman"/>
          <w:sz w:val="20"/>
        </w:rPr>
      </w:pPr>
    </w:p>
    <w:p w:rsidR="006311C9" w:rsidRPr="006E40F2" w:rsidRDefault="006311C9" w:rsidP="006311C9">
      <w:pPr>
        <w:rPr>
          <w:rFonts w:eastAsia="TimesNewRoman"/>
          <w:sz w:val="20"/>
        </w:rPr>
      </w:pPr>
      <w:r>
        <w:rPr>
          <w:rFonts w:ascii="TimesNewRoman,Bold" w:hAnsi="TimesNewRoman,Bold" w:cs="TimesNewRoman,Bold"/>
          <w:b/>
          <w:bCs/>
          <w:szCs w:val="24"/>
        </w:rPr>
        <w:t xml:space="preserve">Table </w:t>
      </w:r>
      <w:r w:rsidRPr="00E823D2">
        <w:rPr>
          <w:rFonts w:ascii="TimesNewRoman,Bold" w:hAnsi="TimesNewRoman,Bold" w:cs="TimesNewRoman,Bold"/>
          <w:b/>
          <w:bCs/>
          <w:color w:val="FF0000"/>
          <w:szCs w:val="24"/>
        </w:rPr>
        <w:t>AD</w:t>
      </w:r>
      <w:r>
        <w:rPr>
          <w:rFonts w:ascii="TimesNewRoman,Bold" w:hAnsi="TimesNewRoman,Bold" w:cs="TimesNewRoman,Bold"/>
          <w:b/>
          <w:bCs/>
          <w:color w:val="FF0000"/>
          <w:szCs w:val="24"/>
        </w:rPr>
        <w:t>1</w:t>
      </w:r>
      <w:r>
        <w:rPr>
          <w:rFonts w:ascii="TimesNewRoman,Bold" w:hAnsi="TimesNewRoman,Bold" w:cs="TimesNewRoman,Bold"/>
          <w:b/>
          <w:bCs/>
          <w:szCs w:val="24"/>
        </w:rPr>
        <w:t xml:space="preserve"> — Element IDs for Header</w:t>
      </w:r>
      <w:r w:rsidRPr="004F6FD9">
        <w:rPr>
          <w:rFonts w:ascii="TimesNewRoman,Bold" w:hAnsi="TimesNewRoman,Bold" w:cs="TimesNewRoman,Bold"/>
          <w:b/>
          <w:bCs/>
          <w:szCs w:val="24"/>
        </w:rPr>
        <w:t xml:space="preserve"> IE</w:t>
      </w:r>
      <w:r>
        <w:rPr>
          <w:rFonts w:ascii="TimesNewRoman,Bold" w:hAnsi="TimesNewRoman,Bold" w:cs="TimesNewRoman,Bold"/>
          <w:b/>
          <w:bC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89"/>
        <w:gridCol w:w="473"/>
        <w:gridCol w:w="473"/>
        <w:gridCol w:w="473"/>
        <w:gridCol w:w="473"/>
        <w:gridCol w:w="473"/>
        <w:gridCol w:w="1257"/>
        <w:gridCol w:w="1214"/>
        <w:gridCol w:w="1094"/>
        <w:gridCol w:w="1094"/>
      </w:tblGrid>
      <w:tr w:rsidR="005C4445" w:rsidTr="005C4445">
        <w:trPr>
          <w:cantSplit/>
          <w:trHeight w:val="2290"/>
        </w:trPr>
        <w:tc>
          <w:tcPr>
            <w:tcW w:w="1407" w:type="dxa"/>
            <w:shd w:val="clear" w:color="auto" w:fill="auto"/>
            <w:vAlign w:val="center"/>
          </w:tcPr>
          <w:p w:rsidR="006311C9" w:rsidRPr="005C4445" w:rsidRDefault="006311C9" w:rsidP="005C4445">
            <w:pPr>
              <w:autoSpaceDE w:val="0"/>
              <w:autoSpaceDN w:val="0"/>
              <w:adjustRightInd w:val="0"/>
              <w:jc w:val="center"/>
              <w:rPr>
                <w:rFonts w:eastAsia="Calibri"/>
                <w:b/>
                <w:bCs/>
                <w:sz w:val="22"/>
                <w:szCs w:val="24"/>
              </w:rPr>
            </w:pPr>
            <w:r w:rsidRPr="005C4445">
              <w:rPr>
                <w:rFonts w:eastAsia="Calibri"/>
                <w:b/>
                <w:bCs/>
                <w:sz w:val="22"/>
                <w:szCs w:val="24"/>
              </w:rPr>
              <w:t>Element ID</w:t>
            </w:r>
          </w:p>
        </w:tc>
        <w:tc>
          <w:tcPr>
            <w:tcW w:w="1408" w:type="dxa"/>
            <w:shd w:val="clear" w:color="auto" w:fill="auto"/>
            <w:vAlign w:val="center"/>
          </w:tcPr>
          <w:p w:rsidR="006311C9" w:rsidRPr="005C4445" w:rsidRDefault="006311C9" w:rsidP="005C4445">
            <w:pPr>
              <w:autoSpaceDE w:val="0"/>
              <w:autoSpaceDN w:val="0"/>
              <w:adjustRightInd w:val="0"/>
              <w:jc w:val="center"/>
              <w:rPr>
                <w:rFonts w:eastAsia="Calibri"/>
                <w:b/>
                <w:bCs/>
                <w:sz w:val="22"/>
                <w:szCs w:val="24"/>
              </w:rPr>
            </w:pPr>
            <w:r w:rsidRPr="005C4445">
              <w:rPr>
                <w:rFonts w:eastAsia="Calibri"/>
                <w:b/>
                <w:bCs/>
                <w:sz w:val="22"/>
                <w:szCs w:val="24"/>
              </w:rPr>
              <w:t>Name</w:t>
            </w:r>
          </w:p>
        </w:tc>
        <w:tc>
          <w:tcPr>
            <w:tcW w:w="281"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Enhanced Beacon</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Enhanced ACK</w:t>
            </w:r>
          </w:p>
        </w:tc>
        <w:tc>
          <w:tcPr>
            <w:tcW w:w="281"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Data</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Multipurpose</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MAC command</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Format subclause</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Use description</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Used by</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Created by</w:t>
            </w:r>
          </w:p>
        </w:tc>
      </w:tr>
      <w:tr w:rsidR="005C4445" w:rsidTr="005C4445">
        <w:trPr>
          <w:trHeight w:val="1842"/>
        </w:trPr>
        <w:tc>
          <w:tcPr>
            <w:tcW w:w="1407"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&lt;ANA&gt;</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Ranging STS Key and IV IE</w:t>
            </w:r>
          </w:p>
        </w:tc>
        <w:tc>
          <w:tcPr>
            <w:tcW w:w="281" w:type="dxa"/>
            <w:shd w:val="clear" w:color="auto" w:fill="auto"/>
          </w:tcPr>
          <w:p w:rsidR="006311C9" w:rsidRPr="005C4445" w:rsidRDefault="006311C9" w:rsidP="005C4445">
            <w:pPr>
              <w:autoSpaceDE w:val="0"/>
              <w:autoSpaceDN w:val="0"/>
              <w:adjustRightInd w:val="0"/>
              <w:rPr>
                <w:rFonts w:eastAsia="Calibri"/>
                <w:b/>
                <w:bCs/>
                <w:szCs w:val="24"/>
              </w:rPr>
            </w:pP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281"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X</w:t>
            </w: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7.4.2.19</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6.9.7.8</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UL</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UL</w:t>
            </w:r>
          </w:p>
        </w:tc>
      </w:tr>
    </w:tbl>
    <w:p w:rsidR="006311C9" w:rsidRDefault="006311C9" w:rsidP="006311C9">
      <w:pPr>
        <w:autoSpaceDE w:val="0"/>
        <w:autoSpaceDN w:val="0"/>
        <w:adjustRightInd w:val="0"/>
        <w:rPr>
          <w:b/>
          <w:bCs/>
          <w:szCs w:val="24"/>
        </w:rPr>
      </w:pPr>
    </w:p>
    <w:p w:rsidR="006311C9" w:rsidRDefault="006311C9" w:rsidP="006311C9">
      <w:pPr>
        <w:autoSpaceDE w:val="0"/>
        <w:autoSpaceDN w:val="0"/>
        <w:adjustRightInd w:val="0"/>
        <w:rPr>
          <w:b/>
          <w:bCs/>
          <w:szCs w:val="24"/>
        </w:rPr>
      </w:pPr>
    </w:p>
    <w:p w:rsidR="006311C9" w:rsidRPr="00AC6FAA" w:rsidRDefault="006311C9" w:rsidP="006311C9">
      <w:pPr>
        <w:autoSpaceDE w:val="0"/>
        <w:autoSpaceDN w:val="0"/>
        <w:adjustRightInd w:val="0"/>
        <w:rPr>
          <w:b/>
          <w:bCs/>
          <w:color w:val="FF0000"/>
          <w:szCs w:val="24"/>
        </w:rPr>
      </w:pPr>
      <w:r w:rsidRPr="00AC6FAA">
        <w:rPr>
          <w:rFonts w:eastAsia="TimesNewRoman"/>
          <w:b/>
          <w:i/>
          <w:color w:val="FF0000"/>
          <w:sz w:val="20"/>
        </w:rPr>
        <w:t xml:space="preserve">Add </w:t>
      </w:r>
      <w:r>
        <w:rPr>
          <w:rFonts w:eastAsia="TimesNewRoman"/>
          <w:b/>
          <w:i/>
          <w:color w:val="FF0000"/>
          <w:sz w:val="20"/>
        </w:rPr>
        <w:t>7</w:t>
      </w:r>
      <w:r w:rsidRPr="00AC6FAA">
        <w:rPr>
          <w:rFonts w:eastAsia="TimesNewRoman"/>
          <w:b/>
          <w:i/>
          <w:color w:val="FF0000"/>
          <w:sz w:val="20"/>
        </w:rPr>
        <w:t>.</w:t>
      </w:r>
      <w:r>
        <w:rPr>
          <w:rFonts w:eastAsia="TimesNewRoman"/>
          <w:b/>
          <w:i/>
          <w:color w:val="FF0000"/>
          <w:sz w:val="20"/>
        </w:rPr>
        <w:t>4.</w:t>
      </w:r>
      <w:r w:rsidRPr="00AC6FAA">
        <w:rPr>
          <w:rFonts w:eastAsia="TimesNewRoman"/>
          <w:b/>
          <w:i/>
          <w:color w:val="FF0000"/>
          <w:sz w:val="20"/>
        </w:rPr>
        <w:t>2.</w:t>
      </w:r>
      <w:r>
        <w:rPr>
          <w:rFonts w:eastAsia="TimesNewRoman"/>
          <w:b/>
          <w:i/>
          <w:color w:val="FF0000"/>
          <w:sz w:val="20"/>
        </w:rPr>
        <w:t>19</w:t>
      </w:r>
      <w:r w:rsidRPr="00AC6FAA">
        <w:rPr>
          <w:rFonts w:eastAsia="TimesNewRoman"/>
          <w:b/>
          <w:i/>
          <w:color w:val="FF0000"/>
          <w:sz w:val="20"/>
        </w:rPr>
        <w:t xml:space="preserve"> as follows:</w:t>
      </w:r>
    </w:p>
    <w:p w:rsidR="006311C9" w:rsidRDefault="006311C9" w:rsidP="006311C9">
      <w:pPr>
        <w:autoSpaceDE w:val="0"/>
        <w:autoSpaceDN w:val="0"/>
        <w:adjustRightInd w:val="0"/>
        <w:rPr>
          <w:b/>
          <w:bCs/>
          <w:szCs w:val="24"/>
        </w:rPr>
      </w:pPr>
    </w:p>
    <w:p w:rsidR="006311C9" w:rsidRPr="004F6FD9" w:rsidRDefault="006311C9" w:rsidP="006311C9">
      <w:pPr>
        <w:autoSpaceDE w:val="0"/>
        <w:autoSpaceDN w:val="0"/>
        <w:adjustRightInd w:val="0"/>
        <w:rPr>
          <w:b/>
          <w:bCs/>
          <w:szCs w:val="24"/>
        </w:rPr>
      </w:pPr>
      <w:r>
        <w:rPr>
          <w:b/>
          <w:bCs/>
          <w:szCs w:val="24"/>
        </w:rPr>
        <w:t>7.4.2</w:t>
      </w:r>
      <w:r w:rsidRPr="004F6FD9">
        <w:rPr>
          <w:b/>
          <w:bCs/>
          <w:szCs w:val="24"/>
        </w:rPr>
        <w:t>.</w:t>
      </w:r>
      <w:r>
        <w:rPr>
          <w:b/>
          <w:bCs/>
          <w:szCs w:val="24"/>
        </w:rPr>
        <w:t>19 Ranging STS Key and IV IE</w:t>
      </w:r>
    </w:p>
    <w:p w:rsidR="006311C9" w:rsidRDefault="006311C9" w:rsidP="006311C9">
      <w:pPr>
        <w:autoSpaceDE w:val="0"/>
        <w:autoSpaceDN w:val="0"/>
        <w:adjustRightInd w:val="0"/>
        <w:rPr>
          <w:rFonts w:eastAsia="TimesNewRoman"/>
          <w:sz w:val="20"/>
        </w:rPr>
      </w:pPr>
      <w:r w:rsidRPr="004F6FD9">
        <w:rPr>
          <w:rFonts w:eastAsia="TimesNewRoman"/>
          <w:sz w:val="20"/>
        </w:rPr>
        <w:t xml:space="preserve">The Ranging STS Key and IV IE (RSKI IE) may be used to convey and align the seed, (i.e., key and data IV), used for STS generation. The content field of the RSKI IE shall be formatted as shown in Figure </w:t>
      </w:r>
      <w:r w:rsidRPr="00E823D2">
        <w:rPr>
          <w:rFonts w:eastAsia="TimesNewRoman"/>
          <w:color w:val="FF0000"/>
          <w:sz w:val="20"/>
        </w:rPr>
        <w:t>AD</w:t>
      </w:r>
      <w:r>
        <w:rPr>
          <w:rFonts w:eastAsia="TimesNewRoman"/>
          <w:color w:val="FF0000"/>
          <w:sz w:val="20"/>
        </w:rPr>
        <w:t>2</w:t>
      </w:r>
      <w:r w:rsidRPr="004F6FD9">
        <w:rPr>
          <w:rFonts w:eastAsia="TimesNewRoman"/>
          <w:sz w:val="20"/>
        </w:rPr>
        <w:t>.</w:t>
      </w:r>
    </w:p>
    <w:p w:rsidR="006311C9" w:rsidRDefault="006311C9" w:rsidP="006311C9">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253"/>
        <w:gridCol w:w="1253"/>
        <w:gridCol w:w="1240"/>
        <w:gridCol w:w="1297"/>
        <w:gridCol w:w="1253"/>
        <w:gridCol w:w="1306"/>
      </w:tblGrid>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Bits: 4</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2</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Octets: 4/8/12/16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0/4/8/16</w:t>
            </w:r>
          </w:p>
        </w:tc>
      </w:tr>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IVC</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SKP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CSP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IV Counter</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Key</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Checksum</w:t>
            </w:r>
          </w:p>
        </w:tc>
      </w:tr>
    </w:tbl>
    <w:p w:rsidR="006311C9" w:rsidRDefault="006311C9" w:rsidP="006311C9">
      <w:pPr>
        <w:pStyle w:val="ListParagraph"/>
        <w:rPr>
          <w:sz w:val="20"/>
          <w:szCs w:val="20"/>
        </w:rPr>
      </w:pPr>
    </w:p>
    <w:p w:rsidR="006311C9" w:rsidRPr="00317638" w:rsidRDefault="006311C9" w:rsidP="006311C9">
      <w:pPr>
        <w:pStyle w:val="ListParagraph"/>
        <w:jc w:val="center"/>
        <w:rPr>
          <w:b/>
          <w:sz w:val="20"/>
          <w:szCs w:val="20"/>
        </w:rPr>
      </w:pPr>
      <w:r>
        <w:rPr>
          <w:b/>
          <w:sz w:val="20"/>
          <w:szCs w:val="20"/>
        </w:rPr>
        <w:t xml:space="preserve">Figure </w:t>
      </w:r>
      <w:r w:rsidRPr="00E823D2">
        <w:rPr>
          <w:b/>
          <w:color w:val="FF0000"/>
          <w:sz w:val="20"/>
          <w:szCs w:val="20"/>
        </w:rPr>
        <w:t>AD</w:t>
      </w:r>
      <w:r>
        <w:rPr>
          <w:b/>
          <w:color w:val="FF0000"/>
          <w:sz w:val="20"/>
          <w:szCs w:val="20"/>
        </w:rPr>
        <w:t>2</w:t>
      </w:r>
      <w:r>
        <w:rPr>
          <w:b/>
          <w:sz w:val="20"/>
          <w:szCs w:val="20"/>
        </w:rPr>
        <w:t xml:space="preserve"> </w:t>
      </w:r>
      <w:r w:rsidRPr="00317638">
        <w:rPr>
          <w:b/>
          <w:sz w:val="20"/>
          <w:szCs w:val="20"/>
        </w:rPr>
        <w:t>-</w:t>
      </w:r>
      <w:r>
        <w:rPr>
          <w:b/>
          <w:sz w:val="20"/>
          <w:szCs w:val="20"/>
        </w:rPr>
        <w:t xml:space="preserve"> Ranging STS Key IE Content field format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lastRenderedPageBreak/>
        <w:t>The IVC field indicates the content of the STS IV Counter field as follows: if the value of i-th bit in IVC is 1, updated bits [32(i-1):32i-1] of the IV are included, otherwise they are not.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SKP field indicates the presence of the STS Key field as follows: an SK</w:t>
      </w:r>
      <w:r>
        <w:rPr>
          <w:rFonts w:eastAsia="TimesNewRoman"/>
          <w:sz w:val="20"/>
        </w:rPr>
        <w:t>P field value of 0 means that</w:t>
      </w:r>
      <w:r w:rsidRPr="004F6FD9">
        <w:rPr>
          <w:rFonts w:eastAsia="TimesNewRoman"/>
          <w:sz w:val="20"/>
        </w:rPr>
        <w:t xml:space="preserve"> the STS Key field is not present, (is zero octets), while an SKP field value of </w:t>
      </w:r>
      <w:r>
        <w:rPr>
          <w:rFonts w:eastAsia="TimesNewRoman"/>
          <w:sz w:val="20"/>
        </w:rPr>
        <w:t>1 means that the 16-octet STS</w:t>
      </w:r>
      <w:r w:rsidRPr="004F6FD9">
        <w:rPr>
          <w:rFonts w:eastAsia="TimesNewRoman"/>
          <w:sz w:val="20"/>
        </w:rPr>
        <w:t xml:space="preserve"> Key field is present.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Pr>
          <w:rFonts w:eastAsia="TimesNewRoman"/>
          <w:sz w:val="20"/>
        </w:rPr>
        <w:t>The CS</w:t>
      </w:r>
      <w:r w:rsidRPr="004F6FD9">
        <w:rPr>
          <w:rFonts w:eastAsia="TimesNewRoman"/>
          <w:sz w:val="20"/>
        </w:rPr>
        <w:t xml:space="preserve">P field indicates the presence of the </w:t>
      </w:r>
      <w:r>
        <w:rPr>
          <w:rFonts w:eastAsia="TimesNewRoman"/>
          <w:sz w:val="20"/>
        </w:rPr>
        <w:t xml:space="preserve">Checksum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 xml:space="preserve">The CP field is used when the RSKI IE is only conveying the 4-octet Counter </w:t>
      </w:r>
      <w:r>
        <w:rPr>
          <w:rFonts w:eastAsia="TimesNewRoman"/>
          <w:sz w:val="20"/>
        </w:rPr>
        <w:t xml:space="preserve">portion of the IV, where a CP </w:t>
      </w:r>
      <w:r w:rsidRPr="004F6FD9">
        <w:rPr>
          <w:rFonts w:eastAsia="TimesNewRoman"/>
          <w:sz w:val="20"/>
        </w:rPr>
        <w:t>field value of 1 means the counter value applies to the current packet. A CP fi</w:t>
      </w:r>
      <w:r>
        <w:rPr>
          <w:rFonts w:eastAsia="TimesNewRoman"/>
          <w:sz w:val="20"/>
        </w:rPr>
        <w:t xml:space="preserve">eld value of 0 means that the </w:t>
      </w:r>
      <w:r w:rsidRPr="004F6FD9">
        <w:rPr>
          <w:rFonts w:eastAsia="TimesNewRoman"/>
          <w:sz w:val="20"/>
        </w:rPr>
        <w:t>RSKI IE applie</w:t>
      </w:r>
      <w:r>
        <w:rPr>
          <w:rFonts w:eastAsia="TimesNewRoman"/>
          <w:sz w:val="20"/>
        </w:rPr>
        <w:t>s to a future packet exchange. When unused, the CP field is set to 0.</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The STS IV Counter field contains a string intended to set full or portion of the IV. The size of this field equals</w:t>
      </w:r>
      <w:r>
        <w:rPr>
          <w:rFonts w:eastAsia="TimesNewRoman"/>
          <w:sz w:val="20"/>
        </w:rPr>
        <w:t xml:space="preserve"> the</w:t>
      </w:r>
      <w:r w:rsidRPr="003C3E8C">
        <w:rPr>
          <w:rFonts w:eastAsia="TimesNewRoman"/>
          <w:sz w:val="20"/>
        </w:rPr>
        <w:t xml:space="preserve"> number of ones in the </w:t>
      </w:r>
      <w:r>
        <w:rPr>
          <w:rFonts w:eastAsia="TimesNewRoman"/>
          <w:sz w:val="20"/>
        </w:rPr>
        <w:t>IVC field multiplied</w:t>
      </w:r>
      <w:r w:rsidRPr="003C3E8C">
        <w:rPr>
          <w:rFonts w:eastAsia="TimesNewRoman"/>
          <w:sz w:val="20"/>
        </w:rPr>
        <w:t xml:space="preserve"> by four. The string is formed by concatenation of multiple 4-octet strings, each of which is used to update </w:t>
      </w:r>
      <w:r>
        <w:rPr>
          <w:rFonts w:eastAsia="TimesNewRoman"/>
          <w:sz w:val="20"/>
        </w:rPr>
        <w:t xml:space="preserve">the </w:t>
      </w:r>
      <w:r w:rsidRPr="003C3E8C">
        <w:rPr>
          <w:rFonts w:eastAsia="TimesNewRoman"/>
          <w:sz w:val="20"/>
        </w:rPr>
        <w:t>corresponding portion of IV indicated by IVC. For example, if IVC field value is “1001”, size of STS IV Counter field is 8 octets, where first 4-octet is used to update bits [0:31] of IV, and later 4-octet is used to update bits [96:127] of IV.</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field if present, as determined</w:t>
      </w:r>
      <w:r>
        <w:rPr>
          <w:rFonts w:eastAsia="TimesNewRoman"/>
          <w:sz w:val="20"/>
        </w:rPr>
        <w:t xml:space="preserve"> by the SKP field, contains a 16-octet string intended to </w:t>
      </w:r>
      <w:r w:rsidRPr="004F6FD9">
        <w:rPr>
          <w:rFonts w:eastAsia="TimesNewRoman"/>
          <w:sz w:val="20"/>
        </w:rPr>
        <w:t>initialize the STS key</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 xml:space="preserve">The </w:t>
      </w:r>
      <w:r>
        <w:rPr>
          <w:rFonts w:eastAsia="TimesNewRoman"/>
          <w:sz w:val="20"/>
        </w:rPr>
        <w:t>Checksum</w:t>
      </w:r>
      <w:r w:rsidRPr="004F6FD9">
        <w:rPr>
          <w:rFonts w:eastAsia="TimesNewRoman"/>
          <w:sz w:val="20"/>
        </w:rPr>
        <w:t xml:space="preserve"> field if</w:t>
      </w:r>
      <w:r>
        <w:rPr>
          <w:rFonts w:eastAsia="TimesNewRoman"/>
          <w:sz w:val="20"/>
        </w:rPr>
        <w:t xml:space="preserve"> present, as determined by the </w:t>
      </w:r>
      <w:r w:rsidRPr="004F6FD9">
        <w:rPr>
          <w:rFonts w:eastAsia="TimesNewRoman"/>
          <w:sz w:val="20"/>
        </w:rPr>
        <w:t>C</w:t>
      </w:r>
      <w:r>
        <w:rPr>
          <w:rFonts w:eastAsia="TimesNewRoman"/>
          <w:sz w:val="20"/>
        </w:rPr>
        <w:t>S</w:t>
      </w:r>
      <w:r w:rsidRPr="004F6FD9">
        <w:rPr>
          <w:rFonts w:eastAsia="TimesNewRoman"/>
          <w:sz w:val="20"/>
        </w:rPr>
        <w:t xml:space="preserve">P field, contains a </w:t>
      </w:r>
      <w:r>
        <w:rPr>
          <w:rFonts w:eastAsia="TimesNewRoman"/>
          <w:sz w:val="20"/>
        </w:rPr>
        <w:t>code intended to allowing the next higher</w:t>
      </w:r>
      <w:r w:rsidRPr="004F6FD9">
        <w:rPr>
          <w:rFonts w:eastAsia="TimesNewRoman"/>
          <w:sz w:val="20"/>
        </w:rPr>
        <w:t xml:space="preserve"> layer to validate the supplied STS Key and STS IV Counter fields. T</w:t>
      </w:r>
      <w:r>
        <w:rPr>
          <w:rFonts w:eastAsia="TimesNewRoman"/>
          <w:sz w:val="20"/>
        </w:rPr>
        <w:t>he presence and length of the</w:t>
      </w:r>
      <w:r w:rsidRPr="004F6FD9">
        <w:rPr>
          <w:rFonts w:eastAsia="TimesNewRoman"/>
          <w:sz w:val="20"/>
        </w:rPr>
        <w:t xml:space="preserve"> </w:t>
      </w:r>
      <w:r>
        <w:rPr>
          <w:rFonts w:eastAsia="TimesNewRoman"/>
          <w:sz w:val="20"/>
        </w:rPr>
        <w:t>Checksum</w:t>
      </w:r>
      <w:r w:rsidRPr="004F6FD9">
        <w:rPr>
          <w:rFonts w:eastAsia="TimesNewRoman"/>
          <w:sz w:val="20"/>
        </w:rPr>
        <w:t xml:space="preserve"> field is determined by t</w:t>
      </w:r>
      <w:r>
        <w:rPr>
          <w:rFonts w:eastAsia="TimesNewRoman"/>
          <w:sz w:val="20"/>
        </w:rPr>
        <w:t xml:space="preserve">he CSP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STS IV Counter and Integrity Code fields of the RSKI IE ar</w:t>
      </w:r>
      <w:r>
        <w:rPr>
          <w:rFonts w:eastAsia="TimesNewRoman"/>
          <w:sz w:val="20"/>
        </w:rPr>
        <w:t xml:space="preserve">e determined and consumed by </w:t>
      </w:r>
      <w:r w:rsidRPr="004F6FD9">
        <w:rPr>
          <w:rFonts w:eastAsia="TimesNewRoman"/>
          <w:sz w:val="20"/>
        </w:rPr>
        <w:t xml:space="preserve">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w:t>
      </w:r>
      <w:r>
        <w:rPr>
          <w:rFonts w:eastAsia="TimesNewRoman"/>
          <w:sz w:val="20"/>
        </w:rPr>
        <w:t>are</w:t>
      </w:r>
      <w:r w:rsidRPr="004F6FD9">
        <w:rPr>
          <w:rFonts w:eastAsia="TimesNewRoman"/>
          <w:sz w:val="20"/>
        </w:rPr>
        <w:t xml:space="preserve"> responsible for validating these as n</w:t>
      </w:r>
      <w:r>
        <w:rPr>
          <w:rFonts w:eastAsia="TimesNewRoman"/>
          <w:sz w:val="20"/>
        </w:rPr>
        <w:t xml:space="preserve">ecessary and programming the </w:t>
      </w:r>
      <w:r w:rsidRPr="003C3E8C">
        <w:rPr>
          <w:rFonts w:eastAsia="TimesNewRoman"/>
          <w:i/>
          <w:sz w:val="20"/>
        </w:rPr>
        <w:t>phyHrpUwbStsKey</w:t>
      </w:r>
      <w:r w:rsidRPr="004F6FD9">
        <w:rPr>
          <w:rFonts w:eastAsia="TimesNewRoman"/>
          <w:sz w:val="20"/>
        </w:rPr>
        <w:t xml:space="preserve">, </w:t>
      </w:r>
      <w:r w:rsidRPr="003C3E8C">
        <w:rPr>
          <w:rFonts w:eastAsia="TimesNewRoman"/>
          <w:i/>
          <w:sz w:val="20"/>
        </w:rPr>
        <w:t>phyHrpUwbStsVUpper96</w:t>
      </w:r>
      <w:r w:rsidRPr="004F6FD9">
        <w:rPr>
          <w:rFonts w:eastAsia="TimesNewRoman"/>
          <w:sz w:val="20"/>
        </w:rPr>
        <w:t xml:space="preserve"> and </w:t>
      </w:r>
      <w:r w:rsidRPr="003C3E8C">
        <w:rPr>
          <w:rFonts w:eastAsia="TimesNewRoman"/>
          <w:i/>
          <w:sz w:val="20"/>
        </w:rPr>
        <w:t>phyHrpUwbStsVCounter</w:t>
      </w:r>
      <w:r w:rsidRPr="004F6FD9">
        <w:rPr>
          <w:rFonts w:eastAsia="TimesNewRoman"/>
          <w:sz w:val="20"/>
        </w:rPr>
        <w:t xml:space="preserve"> PIB attributes accordingly.</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It is assumed that the RSKI IE is sent</w:t>
      </w:r>
      <w:r>
        <w:rPr>
          <w:rFonts w:eastAsia="TimesNewRoman"/>
          <w:sz w:val="20"/>
        </w:rPr>
        <w:t xml:space="preserve"> (broadcast)</w:t>
      </w:r>
      <w:r w:rsidRPr="003C3E8C">
        <w:rPr>
          <w:rFonts w:eastAsia="TimesNewRoman"/>
          <w:sz w:val="20"/>
        </w:rPr>
        <w:t xml:space="preserve"> </w:t>
      </w:r>
      <w:r>
        <w:rPr>
          <w:rFonts w:eastAsia="TimesNewRoman"/>
          <w:sz w:val="20"/>
        </w:rPr>
        <w:t>in plaintext</w:t>
      </w:r>
      <w:r w:rsidRPr="003C3E8C">
        <w:rPr>
          <w:rFonts w:eastAsia="TimesNewRoman"/>
          <w:sz w:val="20"/>
        </w:rPr>
        <w:t xml:space="preserve">, </w:t>
      </w:r>
      <w:r>
        <w:rPr>
          <w:rFonts w:eastAsia="TimesNewRoman"/>
          <w:sz w:val="20"/>
        </w:rPr>
        <w:t>but the higher layers can include encryption as part of the mapping onto the associated PIBs</w:t>
      </w:r>
      <w:r w:rsidRPr="003C3E8C">
        <w:rPr>
          <w:rFonts w:eastAsia="TimesNewRoman"/>
          <w:sz w:val="20"/>
        </w:rPr>
        <w: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Pr="006E40F2" w:rsidRDefault="006311C9" w:rsidP="006311C9">
      <w:pPr>
        <w:rPr>
          <w:rFonts w:eastAsia="TimesNewRoman"/>
          <w:sz w:val="20"/>
        </w:rPr>
      </w:pPr>
      <w:r>
        <w:rPr>
          <w:rFonts w:ascii="TimesNewRoman,Bold" w:hAnsi="TimesNewRoman,Bold" w:cs="TimesNewRoman,Bold"/>
          <w:b/>
          <w:bCs/>
          <w:szCs w:val="24"/>
        </w:rPr>
        <w:t xml:space="preserve">Table </w:t>
      </w:r>
      <w:r w:rsidRPr="00E823D2">
        <w:rPr>
          <w:rFonts w:ascii="TimesNewRoman,Bold" w:hAnsi="TimesNewRoman,Bold" w:cs="TimesNewRoman,Bold"/>
          <w:b/>
          <w:bCs/>
          <w:color w:val="FF0000"/>
          <w:szCs w:val="24"/>
        </w:rPr>
        <w:t>AD</w:t>
      </w:r>
      <w:r>
        <w:rPr>
          <w:rFonts w:ascii="TimesNewRoman,Bold" w:hAnsi="TimesNewRoman,Bold" w:cs="TimesNewRoman,Bold"/>
          <w:b/>
          <w:bCs/>
          <w:color w:val="FF0000"/>
          <w:szCs w:val="24"/>
        </w:rPr>
        <w:t>3</w:t>
      </w:r>
      <w:r>
        <w:rPr>
          <w:rFonts w:ascii="TimesNewRoman,Bold" w:hAnsi="TimesNewRoman,Bold" w:cs="TimesNewRoman,Bold"/>
          <w:b/>
          <w:bCs/>
          <w:szCs w:val="24"/>
        </w:rPr>
        <w:t xml:space="preserve"> — Values of the </w:t>
      </w:r>
      <w:r w:rsidRPr="004F6FD9">
        <w:rPr>
          <w:rFonts w:ascii="TimesNewRoman,Bold" w:hAnsi="TimesNewRoman,Bold" w:cs="TimesNewRoman,Bold"/>
          <w:b/>
          <w:bCs/>
          <w:szCs w:val="24"/>
        </w:rPr>
        <w:t>C</w:t>
      </w:r>
      <w:r>
        <w:rPr>
          <w:rFonts w:ascii="TimesNewRoman,Bold" w:hAnsi="TimesNewRoman,Bold" w:cs="TimesNewRoman,Bold"/>
          <w:b/>
          <w:bCs/>
          <w:szCs w:val="24"/>
        </w:rPr>
        <w:t>S</w:t>
      </w:r>
      <w:r w:rsidRPr="004F6FD9">
        <w:rPr>
          <w:rFonts w:ascii="TimesNewRoman,Bold" w:hAnsi="TimesNewRoman,Bold" w:cs="TimesNewRoman,Bold"/>
          <w:b/>
          <w:bCs/>
          <w:szCs w:val="24"/>
        </w:rPr>
        <w:t>P field in the RSKI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834"/>
      </w:tblGrid>
      <w:tr w:rsidR="005C4445" w:rsidTr="005C4445">
        <w:tc>
          <w:tcPr>
            <w:tcW w:w="0" w:type="auto"/>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CSP field value</w:t>
            </w:r>
          </w:p>
        </w:tc>
        <w:tc>
          <w:tcPr>
            <w:tcW w:w="7834" w:type="dxa"/>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Meaning</w:t>
            </w:r>
          </w:p>
        </w:tc>
      </w:tr>
      <w:tr w:rsidR="005C4445" w:rsidTr="005C4445">
        <w:tc>
          <w:tcPr>
            <w:tcW w:w="0" w:type="auto"/>
            <w:shd w:val="clear" w:color="auto" w:fill="auto"/>
          </w:tcPr>
          <w:p w:rsidR="006311C9" w:rsidRPr="005C4445" w:rsidRDefault="006311C9" w:rsidP="005C4445">
            <w:pPr>
              <w:autoSpaceDE w:val="0"/>
              <w:autoSpaceDN w:val="0"/>
              <w:adjustRightInd w:val="0"/>
              <w:jc w:val="center"/>
              <w:rPr>
                <w:rFonts w:eastAsia="TimesNewRoman"/>
                <w:sz w:val="20"/>
              </w:rPr>
            </w:pPr>
            <w:r w:rsidRPr="005C4445">
              <w:rPr>
                <w:rFonts w:eastAsia="TimesNewRoman"/>
                <w:sz w:val="20"/>
              </w:rPr>
              <w:t>0</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The Checksum field is not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1</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4-octet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2</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An 8-octet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3</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16-octet Checksum field is present in the RSKI IE.</w:t>
            </w:r>
          </w:p>
        </w:tc>
      </w:tr>
    </w:tbl>
    <w:p w:rsidR="006311C9" w:rsidRPr="007E3C44" w:rsidRDefault="006311C9" w:rsidP="006311C9"/>
    <w:p w:rsidR="006311C9" w:rsidRDefault="006311C9" w:rsidP="006311C9">
      <w:pPr>
        <w:autoSpaceDE w:val="0"/>
        <w:autoSpaceDN w:val="0"/>
        <w:adjustRightInd w:val="0"/>
        <w:rPr>
          <w:rFonts w:eastAsia="TimesNewRoman"/>
          <w:sz w:val="20"/>
        </w:rPr>
      </w:pPr>
    </w:p>
    <w:p w:rsidR="006311C9" w:rsidRDefault="006311C9" w:rsidP="006311C9"/>
    <w:p w:rsidR="006311C9" w:rsidRDefault="006311C9" w:rsidP="006311C9"/>
    <w:p w:rsidR="006311C9" w:rsidRDefault="006311C9" w:rsidP="006311C9"/>
    <w:p w:rsidR="006311C9" w:rsidRDefault="006311C9" w:rsidP="006311C9"/>
    <w:p w:rsidR="006311C9" w:rsidRDefault="006311C9" w:rsidP="006311C9"/>
    <w:p w:rsidR="006311C9" w:rsidRPr="007E3C44" w:rsidRDefault="006311C9" w:rsidP="006311C9"/>
    <w:p w:rsidR="006311C9" w:rsidRDefault="006311C9" w:rsidP="006311C9">
      <w:pPr>
        <w:widowControl w:val="0"/>
        <w:spacing w:before="120"/>
        <w:rPr>
          <w:b/>
          <w:sz w:val="28"/>
        </w:rPr>
      </w:pPr>
      <w:r>
        <w:rPr>
          <w:b/>
          <w:sz w:val="28"/>
        </w:rPr>
        <w:lastRenderedPageBreak/>
        <w:t>The following resolution applies to i-0527.</w:t>
      </w:r>
    </w:p>
    <w:p w:rsidR="006311C9" w:rsidRDefault="006311C9" w:rsidP="006311C9">
      <w:pPr>
        <w:autoSpaceDE w:val="0"/>
        <w:autoSpaceDN w:val="0"/>
        <w:adjustRightInd w:val="0"/>
        <w:rPr>
          <w:b/>
          <w:sz w:val="28"/>
        </w:rPr>
      </w:pPr>
    </w:p>
    <w:p w:rsidR="006311C9" w:rsidRPr="007E3C44" w:rsidRDefault="006311C9" w:rsidP="006311C9"/>
    <w:p w:rsidR="006311C9" w:rsidRDefault="006311C9" w:rsidP="006311C9">
      <w:pPr>
        <w:rPr>
          <w:noProof/>
        </w:rPr>
      </w:pPr>
    </w:p>
    <w:p w:rsidR="006311C9" w:rsidRDefault="006311C9" w:rsidP="006311C9">
      <w:pPr>
        <w:rPr>
          <w:rFonts w:eastAsia="TimesNewRoman"/>
          <w:b/>
          <w:i/>
          <w:color w:val="FF0000"/>
          <w:sz w:val="20"/>
        </w:rPr>
      </w:pPr>
      <w:r>
        <w:rPr>
          <w:rFonts w:eastAsia="TimesNewRoman"/>
          <w:b/>
          <w:i/>
          <w:color w:val="FF0000"/>
          <w:sz w:val="20"/>
        </w:rPr>
        <w:t>Modify</w:t>
      </w:r>
      <w:r w:rsidRPr="00AC6FAA">
        <w:rPr>
          <w:rFonts w:eastAsia="TimesNewRoman"/>
          <w:b/>
          <w:i/>
          <w:color w:val="FF0000"/>
          <w:sz w:val="20"/>
        </w:rPr>
        <w:t xml:space="preserve"> </w:t>
      </w:r>
      <w:r>
        <w:rPr>
          <w:rFonts w:eastAsia="TimesNewRoman"/>
          <w:b/>
          <w:i/>
          <w:color w:val="FF0000"/>
          <w:sz w:val="20"/>
        </w:rPr>
        <w:t>Figure 76 on Page 102</w:t>
      </w:r>
      <w:r w:rsidRPr="00AC6FAA">
        <w:rPr>
          <w:rFonts w:eastAsia="TimesNewRoman"/>
          <w:b/>
          <w:i/>
          <w:color w:val="FF0000"/>
          <w:sz w:val="20"/>
        </w:rPr>
        <w:t xml:space="preserve"> as follows:</w:t>
      </w:r>
    </w:p>
    <w:p w:rsidR="006311C9" w:rsidRDefault="006311C9" w:rsidP="006311C9">
      <w:pPr>
        <w:rPr>
          <w:rFonts w:eastAsia="TimesNewRoman"/>
          <w:b/>
          <w:i/>
          <w:color w:val="FF0000"/>
          <w:sz w:val="20"/>
        </w:rPr>
      </w:pPr>
    </w:p>
    <w:p w:rsidR="006311C9" w:rsidRDefault="0071713B" w:rsidP="006311C9">
      <w:pPr>
        <w:rPr>
          <w:noProof/>
        </w:rPr>
      </w:pPr>
      <w:r>
        <w:rPr>
          <w:rFonts w:eastAsia="TimesNewRoman"/>
          <w:b/>
          <w: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1.45pt;height:277.35pt;visibility:visible;mso-wrap-style:square">
            <v:imagedata r:id="rId8" o:title=""/>
          </v:shape>
        </w:pict>
      </w:r>
    </w:p>
    <w:p w:rsidR="006311C9" w:rsidRPr="00317638" w:rsidRDefault="006311C9" w:rsidP="006311C9">
      <w:pPr>
        <w:pStyle w:val="ListParagraph"/>
        <w:jc w:val="center"/>
        <w:rPr>
          <w:b/>
          <w:sz w:val="20"/>
          <w:szCs w:val="20"/>
        </w:rPr>
      </w:pPr>
      <w:r>
        <w:rPr>
          <w:b/>
          <w:sz w:val="20"/>
          <w:szCs w:val="20"/>
        </w:rPr>
        <w:t>Figure 76 – DRBG for STS</w:t>
      </w:r>
    </w:p>
    <w:p w:rsidR="006311C9" w:rsidRDefault="006311C9" w:rsidP="006311C9">
      <w:pPr>
        <w:rPr>
          <w:noProof/>
        </w:rPr>
      </w:pPr>
    </w:p>
    <w:p w:rsidR="006311C9" w:rsidRDefault="006311C9" w:rsidP="006311C9">
      <w:pPr>
        <w:rPr>
          <w:noProof/>
        </w:rPr>
      </w:pPr>
      <w:r>
        <w:rPr>
          <w:noProof/>
        </w:rPr>
        <w:br w:type="page"/>
      </w:r>
    </w:p>
    <w:p w:rsidR="006311C9" w:rsidRPr="00A66B6B" w:rsidRDefault="006311C9" w:rsidP="006311C9">
      <w:pPr>
        <w:autoSpaceDE w:val="0"/>
        <w:autoSpaceDN w:val="0"/>
        <w:adjustRightInd w:val="0"/>
        <w:rPr>
          <w:b/>
          <w:bCs/>
          <w:color w:val="FF0000"/>
          <w:szCs w:val="24"/>
        </w:rPr>
      </w:pPr>
      <w:r w:rsidRPr="00AC6FAA">
        <w:rPr>
          <w:rFonts w:eastAsia="TimesNewRoman"/>
          <w:b/>
          <w:i/>
          <w:color w:val="FF0000"/>
          <w:sz w:val="20"/>
        </w:rPr>
        <w:t xml:space="preserve">Add </w:t>
      </w:r>
      <w:r>
        <w:rPr>
          <w:rFonts w:eastAsia="TimesNewRoman"/>
          <w:b/>
          <w:i/>
          <w:color w:val="FF0000"/>
          <w:sz w:val="20"/>
        </w:rPr>
        <w:t>Annex</w:t>
      </w:r>
      <w:r w:rsidRPr="00AC6FAA">
        <w:rPr>
          <w:rFonts w:eastAsia="TimesNewRoman"/>
          <w:b/>
          <w:i/>
          <w:color w:val="FF0000"/>
          <w:sz w:val="20"/>
        </w:rPr>
        <w:t xml:space="preserve"> as follows:</w:t>
      </w:r>
    </w:p>
    <w:p w:rsidR="006311C9" w:rsidRDefault="006311C9" w:rsidP="006311C9">
      <w:pPr>
        <w:pStyle w:val="Heading3"/>
        <w:numPr>
          <w:ilvl w:val="0"/>
          <w:numId w:val="0"/>
        </w:numPr>
        <w:ind w:left="357" w:hanging="357"/>
      </w:pPr>
      <w:r>
        <w:t>Annex XX</w:t>
      </w:r>
    </w:p>
    <w:p w:rsidR="006311C9" w:rsidRDefault="006311C9" w:rsidP="006311C9">
      <w:pPr>
        <w:pStyle w:val="Heading3"/>
        <w:numPr>
          <w:ilvl w:val="0"/>
          <w:numId w:val="0"/>
        </w:numPr>
        <w:ind w:left="357" w:hanging="357"/>
      </w:pPr>
      <w:r>
        <w:t>XX.1 Test vectors for STS generation</w:t>
      </w:r>
    </w:p>
    <w:p w:rsidR="006311C9" w:rsidRDefault="006311C9" w:rsidP="006311C9">
      <w:pPr>
        <w:pStyle w:val="ReqTxt"/>
        <w:rPr>
          <w:rFonts w:ascii="Times New Roman" w:hAnsi="Times New Roman" w:cs="Times New Roman"/>
          <w:noProof/>
          <w:sz w:val="24"/>
        </w:rPr>
      </w:pPr>
      <w:r>
        <w:rPr>
          <w:rFonts w:ascii="Times New Roman" w:hAnsi="Times New Roman" w:cs="Times New Roman"/>
          <w:noProof/>
          <w:sz w:val="24"/>
        </w:rPr>
        <w:t>This example illustrates the first two blocks generated by the DRBG described in 16.2.8 using following initialization:</w:t>
      </w:r>
    </w:p>
    <w:p w:rsidR="006311C9" w:rsidRDefault="006311C9" w:rsidP="006311C9">
      <w:pPr>
        <w:rPr>
          <w:rFonts w:ascii="Courier New" w:hAnsi="Courier New" w:cs="Courier New"/>
          <w:noProof/>
        </w:rPr>
      </w:pPr>
      <w:r>
        <w:rPr>
          <w:rFonts w:ascii="Courier New" w:hAnsi="Courier New" w:cs="Courier New"/>
          <w:noProof/>
        </w:rPr>
        <w:t xml:space="preserve">key </w:t>
      </w:r>
      <w:r>
        <w:rPr>
          <w:rFonts w:ascii="Courier New" w:hAnsi="Courier New" w:cs="Courier New"/>
          <w:noProof/>
        </w:rPr>
        <w:tab/>
        <w:t>= 14 14 86 74 D1 D3 36 AA F8 60 50 A8 14 EB 22 0F</w:t>
      </w:r>
    </w:p>
    <w:p w:rsidR="006311C9" w:rsidRDefault="006311C9" w:rsidP="006311C9">
      <w:pPr>
        <w:rPr>
          <w:rFonts w:ascii="Courier New" w:hAnsi="Courier New" w:cs="Courier New"/>
          <w:noProof/>
        </w:rPr>
      </w:pPr>
      <w:r>
        <w:rPr>
          <w:rFonts w:ascii="Courier New" w:hAnsi="Courier New" w:cs="Courier New"/>
          <w:noProof/>
        </w:rPr>
        <w:t xml:space="preserve">data </w:t>
      </w:r>
      <w:r>
        <w:rPr>
          <w:rFonts w:ascii="Courier New" w:hAnsi="Courier New" w:cs="Courier New"/>
          <w:noProof/>
        </w:rPr>
        <w:tab/>
        <w:t>= 36 2E EB 34 C4 4F A8 FB D3 7E C3 CA 1F 9A 3D E4</w:t>
      </w:r>
    </w:p>
    <w:p w:rsidR="006311C9" w:rsidRDefault="006311C9" w:rsidP="006311C9">
      <w:pPr>
        <w:rPr>
          <w:noProof/>
        </w:rPr>
      </w:pPr>
      <w:r>
        <w:rPr>
          <w:noProof/>
        </w:rPr>
        <w:t xml:space="preserve">Here, </w:t>
      </w:r>
      <w:r>
        <w:rPr>
          <w:rFonts w:ascii="Courier New" w:hAnsi="Courier New" w:cs="Courier New"/>
          <w:noProof/>
        </w:rPr>
        <w:t>key</w:t>
      </w:r>
      <w:r>
        <w:rPr>
          <w:noProof/>
        </w:rPr>
        <w:t xml:space="preserve"> = </w:t>
      </w:r>
      <w:r>
        <w:rPr>
          <w:i/>
        </w:rPr>
        <w:t>phyHrpUwbStsKey</w:t>
      </w:r>
      <w:r>
        <w:rPr>
          <w:noProof/>
        </w:rPr>
        <w:t xml:space="preserve">, and </w:t>
      </w:r>
      <w:r>
        <w:rPr>
          <w:rFonts w:ascii="Courier New" w:hAnsi="Courier New" w:cs="Courier New"/>
          <w:noProof/>
        </w:rPr>
        <w:t>data</w:t>
      </w:r>
      <w:r>
        <w:rPr>
          <w:noProof/>
        </w:rPr>
        <w:t xml:space="preserve"> = </w:t>
      </w:r>
      <w:r>
        <w:rPr>
          <w:i/>
        </w:rPr>
        <w:t>phyHrpUwbStsVUpper96</w:t>
      </w:r>
      <w:r>
        <w:rPr>
          <w:noProof/>
        </w:rPr>
        <w:t xml:space="preserve"> || </w:t>
      </w:r>
      <w:r>
        <w:rPr>
          <w:i/>
        </w:rPr>
        <w:t>phyHrpUwbStsVCounter</w:t>
      </w:r>
      <w:r>
        <w:rPr>
          <w:noProof/>
        </w:rPr>
        <w:t xml:space="preserve">. The associated value of the RSKI IE (without additional Checksum, so IVC set to 3, SKP set to 1, CSP set to 0, and CP set to 0) is </w:t>
      </w:r>
      <w:r>
        <w:rPr>
          <w:rFonts w:ascii="Courier New" w:hAnsi="Courier New" w:cs="Courier New"/>
          <w:noProof/>
        </w:rPr>
        <w:t>F8 36 2E EB 34 C4 4F A8 FB D3 7E C3 CA 1F 9A 3D E4 14 14 86 74 D1 D3 36 AA F8 60 50 A8 14 EB 22 0F</w:t>
      </w:r>
      <w:r>
        <w:rPr>
          <w:noProof/>
        </w:rPr>
        <w:t xml:space="preserve"> and the associated value of </w:t>
      </w:r>
      <w:r>
        <w:rPr>
          <w:i/>
        </w:rPr>
        <w:t>phyHrpUwbStsVCounter</w:t>
      </w:r>
      <w:r>
        <w:rPr>
          <w:noProof/>
        </w:rPr>
        <w:t xml:space="preserve"> is </w:t>
      </w:r>
      <w:r>
        <w:rPr>
          <w:rFonts w:ascii="Courier New" w:hAnsi="Courier New" w:cs="Courier New"/>
          <w:noProof/>
        </w:rPr>
        <w:t>1F 9A 3D E4</w:t>
      </w:r>
      <w:r>
        <w:rPr>
          <w:noProof/>
        </w:rPr>
        <w:t>.</w:t>
      </w:r>
    </w:p>
    <w:p w:rsidR="006311C9" w:rsidRDefault="006311C9" w:rsidP="006311C9">
      <w:pPr>
        <w:rPr>
          <w:rFonts w:cs="Arial"/>
          <w:noProof/>
        </w:rPr>
      </w:pPr>
    </w:p>
    <w:p w:rsidR="006311C9" w:rsidRDefault="006311C9" w:rsidP="006311C9">
      <w:pPr>
        <w:rPr>
          <w:rFonts w:cs="Arial"/>
          <w:noProof/>
        </w:rPr>
      </w:pPr>
      <w:r>
        <w:rPr>
          <w:rFonts w:cs="Arial"/>
          <w:noProof/>
        </w:rPr>
        <w:t>DRBG Blocks:</w:t>
      </w:r>
    </w:p>
    <w:p w:rsidR="006311C9" w:rsidRDefault="006311C9" w:rsidP="006311C9">
      <w:pPr>
        <w:rPr>
          <w:rFonts w:ascii="Courier New" w:hAnsi="Courier New" w:cs="Courier New"/>
          <w:noProof/>
        </w:rPr>
      </w:pPr>
      <w:r>
        <w:rPr>
          <w:rFonts w:ascii="Courier New" w:hAnsi="Courier New" w:cs="Courier New"/>
          <w:noProof/>
        </w:rPr>
        <w:t xml:space="preserve">B(0) </w:t>
      </w:r>
      <w:r>
        <w:rPr>
          <w:rFonts w:ascii="Courier New" w:hAnsi="Courier New" w:cs="Courier New"/>
          <w:noProof/>
        </w:rPr>
        <w:tab/>
        <w:t xml:space="preserve">   = 7A A6 F6 3E F9 17 AE 47 11 5E B6 FE 3B 5A 57 91</w:t>
      </w:r>
    </w:p>
    <w:p w:rsidR="006311C9" w:rsidRDefault="006311C9" w:rsidP="006311C9">
      <w:pPr>
        <w:rPr>
          <w:rFonts w:ascii="Courier New" w:hAnsi="Courier New" w:cs="Courier New"/>
          <w:noProof/>
        </w:rPr>
      </w:pPr>
      <w:r>
        <w:rPr>
          <w:rFonts w:ascii="Courier New" w:hAnsi="Courier New" w:cs="Courier New"/>
          <w:noProof/>
        </w:rPr>
        <w:t xml:space="preserve">B(1) </w:t>
      </w:r>
      <w:r>
        <w:rPr>
          <w:rFonts w:ascii="Courier New" w:hAnsi="Courier New" w:cs="Courier New"/>
          <w:noProof/>
        </w:rPr>
        <w:tab/>
        <w:t xml:space="preserve">   = 41 DA 0C 75 03 56 63 57 EB F3 8B 2C 12 BB 3E 92</w:t>
      </w:r>
    </w:p>
    <w:p w:rsidR="006311C9" w:rsidRDefault="006311C9" w:rsidP="006311C9">
      <w:pPr>
        <w:rPr>
          <w:rFonts w:ascii="Courier New" w:hAnsi="Courier New" w:cs="Courier New"/>
          <w:noProof/>
        </w:rPr>
      </w:pPr>
      <w:r>
        <w:rPr>
          <w:rFonts w:ascii="Courier New" w:hAnsi="Courier New" w:cs="Courier New"/>
          <w:noProof/>
        </w:rPr>
        <w:t>C(0:255) = 0111101010100110111101100011111011111001000101111010111001000111</w:t>
      </w:r>
      <w:r>
        <w:rPr>
          <w:rFonts w:ascii="Courier New" w:hAnsi="Courier New" w:cs="Courier New"/>
          <w:noProof/>
        </w:rPr>
        <w:br/>
        <w:t>0001000101011110101101101111111000111011010110100101011110010001</w:t>
      </w:r>
      <w:r>
        <w:rPr>
          <w:rFonts w:ascii="Courier New" w:hAnsi="Courier New" w:cs="Courier New"/>
          <w:noProof/>
        </w:rPr>
        <w:br/>
        <w:t>0100000111011010000011000111010100000011010101100110001101010111</w:t>
      </w:r>
      <w:r>
        <w:rPr>
          <w:rFonts w:ascii="Courier New" w:hAnsi="Courier New" w:cs="Courier New"/>
          <w:noProof/>
        </w:rPr>
        <w:br/>
        <w:t>1110101111110011100010110010110000010010101110110011111010010010</w:t>
      </w:r>
    </w:p>
    <w:p w:rsidR="006311C9" w:rsidRDefault="006311C9" w:rsidP="006311C9">
      <w:pPr>
        <w:rPr>
          <w:noProof/>
        </w:rPr>
      </w:pPr>
    </w:p>
    <w:p w:rsidR="006311C9" w:rsidRDefault="006311C9" w:rsidP="006311C9">
      <w:pPr>
        <w:rPr>
          <w:noProof/>
        </w:rPr>
      </w:pPr>
      <w:r>
        <w:rPr>
          <w:noProof/>
        </w:rPr>
        <w:t xml:space="preserve">After transmission of 4096 STS pulses (a ~64 µs long BPRF STS or a ~32 µs long HPRF STS), the counter will have updated 16 times, resulting in a </w:t>
      </w:r>
      <w:r>
        <w:rPr>
          <w:i/>
        </w:rPr>
        <w:t>phyHrpUwbStsVCounter</w:t>
      </w:r>
      <w:r>
        <w:rPr>
          <w:noProof/>
        </w:rPr>
        <w:t xml:space="preserve"> value of </w:t>
      </w:r>
      <w:r>
        <w:rPr>
          <w:rFonts w:ascii="Courier New" w:hAnsi="Courier New" w:cs="Courier New"/>
          <w:noProof/>
        </w:rPr>
        <w:t>1F 9A 3D F4</w:t>
      </w:r>
      <w:r>
        <w:rPr>
          <w:noProof/>
        </w:rPr>
        <w:t xml:space="preserve">. The associated value of </w:t>
      </w:r>
      <w:r>
        <w:rPr>
          <w:rFonts w:ascii="Courier New" w:hAnsi="Courier New" w:cs="Courier New"/>
          <w:noProof/>
        </w:rPr>
        <w:t>data</w:t>
      </w:r>
      <w:r>
        <w:rPr>
          <w:noProof/>
        </w:rPr>
        <w:t xml:space="preserve"> = </w:t>
      </w:r>
      <w:r>
        <w:rPr>
          <w:i/>
        </w:rPr>
        <w:t>phyHrpUwbStsVUpper96</w:t>
      </w:r>
      <w:r>
        <w:rPr>
          <w:noProof/>
        </w:rPr>
        <w:t xml:space="preserve"> || </w:t>
      </w:r>
      <w:r>
        <w:rPr>
          <w:i/>
        </w:rPr>
        <w:t>phyHrpUwbStsVCounter</w:t>
      </w:r>
      <w:r>
        <w:rPr>
          <w:noProof/>
        </w:rPr>
        <w:t xml:space="preserve"> is </w:t>
      </w:r>
      <w:r>
        <w:rPr>
          <w:rFonts w:ascii="Courier New" w:hAnsi="Courier New" w:cs="Courier New"/>
          <w:noProof/>
        </w:rPr>
        <w:t>36 2E EB 34 C4 4F A8 FB D3 7E C3 CA 1F 9A 3D F4</w:t>
      </w:r>
      <w:r>
        <w:rPr>
          <w:noProof/>
        </w:rPr>
        <w:t>.</w:t>
      </w:r>
    </w:p>
    <w:p w:rsidR="006311C9" w:rsidRDefault="006311C9" w:rsidP="006311C9">
      <w:pPr>
        <w:rPr>
          <w:rFonts w:ascii="Courier New" w:hAnsi="Courier New" w:cs="Courier New"/>
          <w:noProof/>
        </w:rPr>
      </w:pPr>
    </w:p>
    <w:p w:rsidR="006311C9" w:rsidRDefault="006311C9" w:rsidP="006311C9">
      <w:pPr>
        <w:pStyle w:val="Heading3"/>
        <w:numPr>
          <w:ilvl w:val="0"/>
          <w:numId w:val="0"/>
        </w:numPr>
        <w:ind w:left="357" w:hanging="357"/>
      </w:pPr>
      <w:r>
        <w:t>XX.2 Resulting STS modulation</w:t>
      </w:r>
    </w:p>
    <w:p w:rsidR="006311C9" w:rsidRDefault="006311C9" w:rsidP="006311C9">
      <w:pPr>
        <w:pStyle w:val="ReqTxt"/>
        <w:rPr>
          <w:rFonts w:ascii="Times New Roman" w:hAnsi="Times New Roman" w:cs="Times New Roman"/>
          <w:noProof/>
          <w:sz w:val="24"/>
        </w:rPr>
      </w:pPr>
      <w:r>
        <w:rPr>
          <w:rFonts w:ascii="Times New Roman" w:hAnsi="Times New Roman" w:cs="Times New Roman"/>
          <w:noProof/>
          <w:sz w:val="24"/>
        </w:rPr>
        <w:t>This example illustrates how bits C(0:255) in XX.1 are mapped to BPSK modulation polarities of the first 256 pulses of the STS, as described in 16.2.8. Symbols A(i) are then spread by δ</w:t>
      </w:r>
      <w:r>
        <w:rPr>
          <w:rFonts w:ascii="Times New Roman" w:hAnsi="Times New Roman" w:cs="Times New Roman"/>
          <w:noProof/>
          <w:sz w:val="24"/>
          <w:vertAlign w:val="subscript"/>
        </w:rPr>
        <w:t>L</w:t>
      </w:r>
      <w:r>
        <w:rPr>
          <w:rFonts w:ascii="Times New Roman" w:hAnsi="Times New Roman" w:cs="Times New Roman"/>
          <w:noProof/>
          <w:sz w:val="24"/>
        </w:rPr>
        <w:t xml:space="preserve"> = 8 chips (BPRF) or δ</w:t>
      </w:r>
      <w:r>
        <w:rPr>
          <w:rFonts w:ascii="Times New Roman" w:hAnsi="Times New Roman" w:cs="Times New Roman"/>
          <w:noProof/>
          <w:sz w:val="24"/>
          <w:vertAlign w:val="subscript"/>
        </w:rPr>
        <w:t>L</w:t>
      </w:r>
      <w:r>
        <w:rPr>
          <w:rFonts w:ascii="Times New Roman" w:hAnsi="Times New Roman" w:cs="Times New Roman"/>
          <w:noProof/>
          <w:sz w:val="24"/>
        </w:rPr>
        <w:t xml:space="preserve"> = 4 chips (HPRF).</w:t>
      </w:r>
    </w:p>
    <w:p w:rsidR="006311C9" w:rsidRDefault="006311C9" w:rsidP="006311C9">
      <w:r>
        <w:rPr>
          <w:rFonts w:ascii="Courier New" w:hAnsi="Courier New" w:cs="Courier New"/>
          <w:noProof/>
        </w:rPr>
        <w:t>A(0:255) =</w:t>
      </w:r>
      <w:r>
        <w:rPr>
          <w:rFonts w:ascii="Courier New" w:hAnsi="Courier New" w:cs="Courier New"/>
          <w:noProof/>
        </w:rPr>
        <w:br/>
        <w:t>+----+-+-+-++--+----+--+++-----+-----++-+++-+----+-+---++-+++---</w:t>
      </w:r>
      <w:r>
        <w:rPr>
          <w:rFonts w:ascii="Courier New" w:hAnsi="Courier New" w:cs="Courier New"/>
          <w:noProof/>
        </w:rPr>
        <w:br/>
        <w:t>+++-+++-+-+----+-+--+--+-------+++---+--+-+--+-++-+-+----++-+++-</w:t>
      </w:r>
      <w:r>
        <w:rPr>
          <w:rFonts w:ascii="Courier New" w:hAnsi="Courier New" w:cs="Courier New"/>
          <w:noProof/>
        </w:rPr>
        <w:br/>
        <w:t>+-+++++---+--+-+++++--+++---+-+-++++++--+-+-+--++--+++--+-+-+---</w:t>
      </w:r>
      <w:r>
        <w:rPr>
          <w:rFonts w:ascii="Courier New" w:hAnsi="Courier New" w:cs="Courier New"/>
          <w:noProof/>
        </w:rPr>
        <w:br/>
        <w:t>---+-+------++---+++-+--++-+--+++++-++-+-+---+--++-----+-++-++-+</w:t>
      </w:r>
    </w:p>
    <w:p w:rsidR="006311C9" w:rsidRDefault="006311C9" w:rsidP="006311C9"/>
    <w:p w:rsidR="006311C9" w:rsidRDefault="006311C9" w:rsidP="006311C9"/>
    <w:p w:rsidR="006311C9" w:rsidRDefault="006311C9" w:rsidP="006311C9"/>
    <w:p w:rsidR="006311C9" w:rsidRDefault="006311C9" w:rsidP="006311C9">
      <w:pPr>
        <w:autoSpaceDE w:val="0"/>
        <w:autoSpaceDN w:val="0"/>
        <w:adjustRightInd w:val="0"/>
        <w:rPr>
          <w:b/>
          <w:sz w:val="28"/>
        </w:rPr>
      </w:pPr>
      <w:r>
        <w:rPr>
          <w:b/>
          <w:sz w:val="28"/>
        </w:rPr>
        <w:lastRenderedPageBreak/>
        <w:t>The following resolution applies to i-0908, i-1545, i-2243.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Default="006311C9" w:rsidP="006311C9">
      <w:pPr>
        <w:autoSpaceDE w:val="0"/>
        <w:autoSpaceDN w:val="0"/>
        <w:adjustRightInd w:val="0"/>
        <w:rPr>
          <w:rFonts w:eastAsia="TimesNewRoman"/>
          <w:sz w:val="20"/>
        </w:rPr>
      </w:pPr>
      <w:r w:rsidRPr="007E3C44">
        <w:rPr>
          <w:rFonts w:eastAsia="TimesNewRoman"/>
          <w:sz w:val="20"/>
        </w:rPr>
        <w:t>The</w:t>
      </w:r>
      <w:r>
        <w:rPr>
          <w:rFonts w:eastAsia="TimesNewRoman"/>
          <w:sz w:val="20"/>
        </w:rPr>
        <w:t xml:space="preserve"> procedure for DS-TWR with SP3 packets is very similar to SS-TWR with SP3 packets</w:t>
      </w:r>
      <w:r w:rsidRPr="007E3C44">
        <w:rPr>
          <w:rFonts w:eastAsia="TimesNewRoman"/>
          <w:sz w:val="20"/>
        </w:rPr>
        <w:t>.</w:t>
      </w:r>
      <w:r>
        <w:rPr>
          <w:rFonts w:eastAsia="TimesNewRoman"/>
          <w:sz w:val="20"/>
        </w:rPr>
        <w:t xml:space="preserve"> In both cases, the participants in the ranging exchange can prepare for SP3 packet transmission/reception by means of the </w:t>
      </w:r>
      <w:r w:rsidRPr="00AD77BC">
        <w:rPr>
          <w:rFonts w:eastAsia="TimesNewRoman"/>
          <w:sz w:val="20"/>
        </w:rPr>
        <w:t>MLME-STS.request</w:t>
      </w:r>
      <w:r>
        <w:rPr>
          <w:rFonts w:eastAsia="TimesNewRoman"/>
          <w:sz w:val="20"/>
        </w:rPr>
        <w:t xml:space="preserve"> primitive. As, according to the schemes shown in Figure 30 and Figure 31 respectively, SS-TWR requires </w:t>
      </w:r>
      <w:r w:rsidRPr="00AE69FC">
        <w:rPr>
          <w:rFonts w:eastAsia="TimesNewRoman"/>
          <w:i/>
          <w:sz w:val="20"/>
        </w:rPr>
        <w:t>i+1</w:t>
      </w:r>
      <w:r>
        <w:rPr>
          <w:rFonts w:eastAsia="TimesNewRoman"/>
          <w:sz w:val="20"/>
        </w:rPr>
        <w:t xml:space="preserve"> SP3 packets for </w:t>
      </w:r>
      <w:r w:rsidRPr="00AE69FC">
        <w:rPr>
          <w:rFonts w:eastAsia="TimesNewRoman"/>
          <w:i/>
          <w:sz w:val="20"/>
        </w:rPr>
        <w:t>i</w:t>
      </w:r>
      <w:r>
        <w:rPr>
          <w:rFonts w:eastAsia="TimesNewRoman"/>
          <w:sz w:val="20"/>
        </w:rPr>
        <w:t xml:space="preserve"> responders, and DS-TWR requires</w:t>
      </w:r>
      <w:r w:rsidRPr="00AE69FC">
        <w:rPr>
          <w:rFonts w:eastAsia="TimesNewRoman"/>
          <w:sz w:val="20"/>
        </w:rPr>
        <w:t xml:space="preserve"> </w:t>
      </w:r>
      <w:r w:rsidRPr="00AE69FC">
        <w:rPr>
          <w:rFonts w:eastAsia="TimesNewRoman"/>
          <w:i/>
          <w:sz w:val="20"/>
        </w:rPr>
        <w:t>i+2</w:t>
      </w:r>
      <w:r>
        <w:rPr>
          <w:rFonts w:eastAsia="TimesNewRoman"/>
          <w:sz w:val="20"/>
        </w:rPr>
        <w:t xml:space="preserve"> SP3 packets for </w:t>
      </w:r>
      <w:r w:rsidRPr="00AE69FC">
        <w:rPr>
          <w:rFonts w:eastAsia="TimesNewRoman"/>
          <w:i/>
          <w:sz w:val="20"/>
        </w:rPr>
        <w:t>i</w:t>
      </w:r>
      <w:r>
        <w:rPr>
          <w:rFonts w:eastAsia="TimesNewRoman"/>
          <w:sz w:val="20"/>
        </w:rPr>
        <w:t xml:space="preserve"> responders, SS-TWR requires one less (SP3) packet to be transmitted/received.</w:t>
      </w:r>
    </w:p>
    <w:p w:rsidR="006311C9" w:rsidRDefault="006311C9" w:rsidP="006311C9">
      <w:pPr>
        <w:autoSpaceDE w:val="0"/>
        <w:autoSpaceDN w:val="0"/>
        <w:adjustRightInd w:val="0"/>
        <w:rPr>
          <w:rFonts w:eastAsia="TimesNewRoman"/>
          <w:b/>
          <w:i/>
          <w:color w:val="FF0000"/>
          <w:sz w:val="20"/>
        </w:rPr>
      </w:pPr>
    </w:p>
    <w:p w:rsidR="006311C9" w:rsidRDefault="006311C9" w:rsidP="006311C9">
      <w:pPr>
        <w:autoSpaceDE w:val="0"/>
        <w:autoSpaceDN w:val="0"/>
        <w:adjustRightInd w:val="0"/>
        <w:rPr>
          <w:rFonts w:eastAsia="TimesNewRoman"/>
          <w:b/>
          <w:i/>
          <w:color w:val="FF0000"/>
          <w:sz w:val="20"/>
        </w:rPr>
      </w:pPr>
    </w:p>
    <w:p w:rsidR="006311C9" w:rsidRPr="00AC6FAA" w:rsidRDefault="006311C9" w:rsidP="006311C9">
      <w:pPr>
        <w:autoSpaceDE w:val="0"/>
        <w:autoSpaceDN w:val="0"/>
        <w:adjustRightInd w:val="0"/>
        <w:rPr>
          <w:b/>
          <w:bCs/>
          <w:color w:val="FF0000"/>
          <w:szCs w:val="24"/>
        </w:rPr>
      </w:pPr>
      <w:r>
        <w:rPr>
          <w:rFonts w:eastAsia="TimesNewRoman"/>
          <w:b/>
          <w:i/>
          <w:color w:val="FF0000"/>
          <w:sz w:val="20"/>
        </w:rPr>
        <w:t>In 6.9.8.8.1 on Page 38, a</w:t>
      </w:r>
      <w:r w:rsidRPr="00AC6FAA">
        <w:rPr>
          <w:rFonts w:eastAsia="TimesNewRoman"/>
          <w:b/>
          <w:i/>
          <w:color w:val="FF0000"/>
          <w:sz w:val="20"/>
        </w:rPr>
        <w:t xml:space="preserve">dd </w:t>
      </w:r>
      <w:r>
        <w:rPr>
          <w:rFonts w:eastAsia="TimesNewRoman"/>
          <w:b/>
          <w:i/>
          <w:color w:val="FF0000"/>
          <w:sz w:val="20"/>
        </w:rPr>
        <w:t>the following text after “A</w:t>
      </w:r>
      <w:r w:rsidRPr="00385520">
        <w:rPr>
          <w:rFonts w:eastAsia="TimesNewRoman"/>
          <w:b/>
          <w:i/>
          <w:color w:val="FF0000"/>
          <w:sz w:val="20"/>
        </w:rPr>
        <w:t>fter the RCM, the SP3 ranging starts.</w:t>
      </w:r>
      <w:r>
        <w:rPr>
          <w:rFonts w:eastAsia="TimesNewRoman"/>
          <w:b/>
          <w:i/>
          <w:color w:val="FF0000"/>
          <w:sz w:val="20"/>
        </w:rPr>
        <w:t>”</w:t>
      </w:r>
      <w:r w:rsidRPr="00AC6FAA">
        <w:rPr>
          <w:rFonts w:eastAsia="TimesNewRoman"/>
          <w:b/>
          <w:i/>
          <w:color w:val="FF0000"/>
          <w:sz w:val="20"/>
        </w:rPr>
        <w:t xml:space="preserve"> </w:t>
      </w:r>
      <w:r>
        <w:rPr>
          <w:rFonts w:eastAsia="TimesNewRoman"/>
          <w:b/>
          <w:i/>
          <w:color w:val="FF0000"/>
          <w:sz w:val="20"/>
        </w:rPr>
        <w:t xml:space="preserve">(Line 11) </w:t>
      </w:r>
      <w:r w:rsidRPr="00AC6FAA">
        <w:rPr>
          <w:rFonts w:eastAsia="TimesNewRoman"/>
          <w:b/>
          <w:i/>
          <w:color w:val="FF0000"/>
          <w:sz w:val="20"/>
        </w:rPr>
        <w:t>as follows:</w:t>
      </w:r>
    </w:p>
    <w:p w:rsidR="006311C9" w:rsidRDefault="006311C9" w:rsidP="006311C9">
      <w:pPr>
        <w:autoSpaceDE w:val="0"/>
        <w:autoSpaceDN w:val="0"/>
        <w:adjustRightInd w:val="0"/>
        <w:rPr>
          <w:b/>
          <w:bCs/>
          <w:szCs w:val="24"/>
        </w:rPr>
      </w:pPr>
    </w:p>
    <w:p w:rsidR="006311C9" w:rsidRDefault="006311C9" w:rsidP="006311C9">
      <w:pPr>
        <w:rPr>
          <w:sz w:val="20"/>
        </w:rPr>
      </w:pPr>
      <w:r w:rsidRPr="00AE69FC">
        <w:rPr>
          <w:sz w:val="20"/>
        </w:rPr>
        <w:t xml:space="preserve">The next higher layer is responsible for properly configuring the operation at both ends, which involves use of the MLME-STS.request primitive parameters TxStsPacketStructure and RxStsPacketStructure to set </w:t>
      </w:r>
      <w:r w:rsidRPr="00AE69FC">
        <w:rPr>
          <w:i/>
          <w:sz w:val="20"/>
        </w:rPr>
        <w:t>phyHrpUwbStsPacketConfiguration</w:t>
      </w:r>
      <w:r w:rsidRPr="00AE69FC">
        <w:rPr>
          <w:sz w:val="20"/>
        </w:rPr>
        <w:t xml:space="preserve"> = 3</w:t>
      </w:r>
      <w:r>
        <w:rPr>
          <w:sz w:val="20"/>
        </w:rPr>
        <w:t xml:space="preserve"> (i.e., SP3 packet format)</w:t>
      </w:r>
      <w:r w:rsidRPr="00AE69FC">
        <w:rPr>
          <w:sz w:val="20"/>
        </w:rPr>
        <w:t xml:space="preserve">, as well as setting the PIB attributes </w:t>
      </w:r>
      <w:r w:rsidRPr="00AE69FC">
        <w:rPr>
          <w:i/>
          <w:sz w:val="20"/>
        </w:rPr>
        <w:t>phyHrpUwbStsKey</w:t>
      </w:r>
      <w:r w:rsidRPr="00AE69FC">
        <w:rPr>
          <w:sz w:val="20"/>
        </w:rPr>
        <w:t xml:space="preserve">, </w:t>
      </w:r>
      <w:r w:rsidRPr="00AE69FC">
        <w:rPr>
          <w:i/>
          <w:sz w:val="20"/>
        </w:rPr>
        <w:t>phyHrpUwbStsVCounter</w:t>
      </w:r>
      <w:r w:rsidRPr="00AE69FC">
        <w:rPr>
          <w:sz w:val="20"/>
        </w:rPr>
        <w:t xml:space="preserve"> and </w:t>
      </w:r>
      <w:r w:rsidRPr="00AE69FC">
        <w:rPr>
          <w:i/>
          <w:sz w:val="20"/>
        </w:rPr>
        <w:t>phyHrpUwbStsVUpper96</w:t>
      </w:r>
      <w:r w:rsidRPr="00AE69FC">
        <w:rPr>
          <w:sz w:val="20"/>
        </w:rPr>
        <w:t xml:space="preserve"> to the correct values.</w:t>
      </w:r>
    </w:p>
    <w:p w:rsidR="006311C9" w:rsidRDefault="006311C9" w:rsidP="006311C9">
      <w:pPr>
        <w:rPr>
          <w:sz w:val="20"/>
        </w:rPr>
      </w:pPr>
    </w:p>
    <w:p w:rsidR="006311C9" w:rsidRPr="00AC6FAA" w:rsidRDefault="006311C9" w:rsidP="006311C9">
      <w:pPr>
        <w:autoSpaceDE w:val="0"/>
        <w:autoSpaceDN w:val="0"/>
        <w:adjustRightInd w:val="0"/>
        <w:rPr>
          <w:b/>
          <w:bCs/>
          <w:color w:val="FF0000"/>
          <w:szCs w:val="24"/>
        </w:rPr>
      </w:pPr>
      <w:r>
        <w:rPr>
          <w:rFonts w:eastAsia="TimesNewRoman"/>
          <w:b/>
          <w:i/>
          <w:color w:val="FF0000"/>
          <w:sz w:val="20"/>
        </w:rPr>
        <w:t>In 6.9.8.8.2 on Page 39, change text on Line 10 as</w:t>
      </w:r>
      <w:r w:rsidRPr="00AC6FAA">
        <w:rPr>
          <w:rFonts w:eastAsia="TimesNewRoman"/>
          <w:b/>
          <w:i/>
          <w:color w:val="FF0000"/>
          <w:sz w:val="20"/>
        </w:rPr>
        <w:t xml:space="preserve"> follows:</w:t>
      </w:r>
    </w:p>
    <w:p w:rsidR="006311C9" w:rsidRDefault="006311C9" w:rsidP="006311C9">
      <w:pPr>
        <w:autoSpaceDE w:val="0"/>
        <w:autoSpaceDN w:val="0"/>
        <w:adjustRightInd w:val="0"/>
        <w:rPr>
          <w:b/>
          <w:bCs/>
          <w:szCs w:val="24"/>
        </w:rPr>
      </w:pPr>
    </w:p>
    <w:p w:rsidR="006311C9" w:rsidRPr="00AE69FC" w:rsidRDefault="006311C9" w:rsidP="006311C9">
      <w:pPr>
        <w:rPr>
          <w:rFonts w:eastAsia="TimesNewRoman"/>
          <w:sz w:val="18"/>
        </w:rPr>
      </w:pPr>
      <w:r>
        <w:rPr>
          <w:sz w:val="20"/>
        </w:rPr>
        <w:t>Change “</w:t>
      </w:r>
      <w:r w:rsidRPr="00385520">
        <w:rPr>
          <w:sz w:val="20"/>
        </w:rPr>
        <w:t>The main difference is that there is a final SP3 packet in the ranging phase from the initiator.</w:t>
      </w:r>
      <w:r>
        <w:rPr>
          <w:sz w:val="20"/>
        </w:rPr>
        <w:t>” to “</w:t>
      </w:r>
      <w:r w:rsidRPr="00385520">
        <w:rPr>
          <w:sz w:val="20"/>
        </w:rPr>
        <w:t>The main difference is that there is a final SP3 packet in the ranging phase from the initiator</w:t>
      </w:r>
      <w:r>
        <w:rPr>
          <w:sz w:val="20"/>
        </w:rPr>
        <w:t>. Configuration of all SP3 transmission/reception (including the additional SP3 packet) is performed by the same method as for SS-TWR with SP3 packets</w:t>
      </w:r>
      <w:r w:rsidRPr="00385520">
        <w:rPr>
          <w:sz w:val="20"/>
        </w:rPr>
        <w:t>.</w:t>
      </w:r>
      <w:r>
        <w:rPr>
          <w:sz w:val="20"/>
        </w:rPr>
        <w:t>”.</w:t>
      </w:r>
    </w:p>
    <w:p w:rsidR="006311C9" w:rsidRDefault="006311C9" w:rsidP="006311C9"/>
    <w:p w:rsidR="006311C9" w:rsidRDefault="006311C9" w:rsidP="006311C9"/>
    <w:p w:rsidR="006311C9" w:rsidRDefault="006311C9" w:rsidP="006311C9"/>
    <w:p w:rsidR="006311C9" w:rsidRDefault="006311C9" w:rsidP="006311C9">
      <w:pPr>
        <w:autoSpaceDE w:val="0"/>
        <w:autoSpaceDN w:val="0"/>
        <w:adjustRightInd w:val="0"/>
        <w:rPr>
          <w:b/>
          <w:sz w:val="28"/>
        </w:rPr>
      </w:pPr>
      <w:r>
        <w:rPr>
          <w:b/>
          <w:sz w:val="28"/>
        </w:rPr>
        <w:t>The following resolution applies to i-1163, i-1800, i-2863.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Default="006311C9" w:rsidP="006311C9">
      <w:pPr>
        <w:autoSpaceDE w:val="0"/>
        <w:autoSpaceDN w:val="0"/>
        <w:adjustRightInd w:val="0"/>
        <w:rPr>
          <w:rFonts w:eastAsia="TimesNewRoman"/>
          <w:sz w:val="20"/>
        </w:rPr>
      </w:pPr>
      <w:r>
        <w:rPr>
          <w:rFonts w:eastAsia="TimesNewRoman"/>
          <w:sz w:val="20"/>
        </w:rPr>
        <w:t>The higher layers are responsible for resetting the ranging counter. It is reasonable to assume that t</w:t>
      </w:r>
      <w:r w:rsidRPr="007E3C44">
        <w:rPr>
          <w:rFonts w:eastAsia="TimesNewRoman"/>
          <w:sz w:val="20"/>
        </w:rPr>
        <w:t>he</w:t>
      </w:r>
      <w:r>
        <w:rPr>
          <w:rFonts w:eastAsia="TimesNewRoman"/>
          <w:sz w:val="20"/>
        </w:rPr>
        <w:t xml:space="preserve"> ranging counter is reset before or at the start of each ranging exchange, and that, in case of a previous ranging exchange, the ranging counter is reset after the previous ranging exchange has been completed. However, as IEEE 802.15.4 does not specify higher layer behavior, this is outside the scope of the standard. Note that the MAC is not aware of the start and end of a ranging exchange (only the higher layers are aware), so the MAC should not be responsible for resetting the ranging counter. It is up to the implementer to ensure that the time at which the ranging counter is reset is in agreement with other timings within the ranging exchange(s).</w:t>
      </w:r>
      <w:r w:rsidRPr="007426E5">
        <w:t xml:space="preserve"> </w:t>
      </w:r>
      <w:r w:rsidRPr="007426E5">
        <w:rPr>
          <w:rFonts w:eastAsia="TimesNewRoman"/>
          <w:sz w:val="20"/>
        </w:rPr>
        <w:t>The ranging coun</w:t>
      </w:r>
      <w:r>
        <w:rPr>
          <w:rFonts w:eastAsia="TimesNewRoman"/>
          <w:sz w:val="20"/>
        </w:rPr>
        <w:t>ter predates 4z and its behavio</w:t>
      </w:r>
      <w:r w:rsidRPr="007426E5">
        <w:rPr>
          <w:rFonts w:eastAsia="TimesNewRoman"/>
          <w:sz w:val="20"/>
        </w:rPr>
        <w:t>r should not be modified</w:t>
      </w:r>
      <w:r>
        <w:rPr>
          <w:rFonts w:eastAsia="TimesNewRoman"/>
          <w:sz w:val="20"/>
        </w:rPr>
        <w:t xml:space="preserve"> by the amendment.</w:t>
      </w:r>
    </w:p>
    <w:p w:rsidR="006311C9" w:rsidRPr="006311C9" w:rsidRDefault="006311C9" w:rsidP="006311C9">
      <w:pPr>
        <w:autoSpaceDE w:val="0"/>
        <w:autoSpaceDN w:val="0"/>
        <w:adjustRightInd w:val="0"/>
        <w:rPr>
          <w:rFonts w:eastAsia="TimesNewRoman"/>
        </w:rPr>
      </w:pPr>
    </w:p>
    <w:p w:rsidR="006311C9" w:rsidRPr="006311C9" w:rsidRDefault="006311C9" w:rsidP="006311C9">
      <w:pPr>
        <w:autoSpaceDE w:val="0"/>
        <w:autoSpaceDN w:val="0"/>
        <w:adjustRightInd w:val="0"/>
        <w:rPr>
          <w:rFonts w:eastAsia="TimesNewRoman"/>
        </w:rPr>
      </w:pPr>
    </w:p>
    <w:p w:rsidR="006311C9" w:rsidRPr="006311C9" w:rsidRDefault="006311C9" w:rsidP="006311C9">
      <w:pPr>
        <w:autoSpaceDE w:val="0"/>
        <w:autoSpaceDN w:val="0"/>
        <w:adjustRightInd w:val="0"/>
        <w:rPr>
          <w:rFonts w:eastAsia="TimesNewRoman"/>
        </w:rPr>
      </w:pPr>
    </w:p>
    <w:p w:rsidR="006311C9" w:rsidRDefault="006311C9" w:rsidP="006311C9">
      <w:pPr>
        <w:autoSpaceDE w:val="0"/>
        <w:autoSpaceDN w:val="0"/>
        <w:adjustRightInd w:val="0"/>
        <w:rPr>
          <w:b/>
          <w:sz w:val="28"/>
        </w:rPr>
      </w:pPr>
      <w:r>
        <w:rPr>
          <w:b/>
          <w:sz w:val="28"/>
        </w:rPr>
        <w:t>The following resolution applies to i-1169, i-1806, i-2233.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Pr="006311C9" w:rsidRDefault="006311C9" w:rsidP="006311C9">
      <w:pPr>
        <w:autoSpaceDE w:val="0"/>
        <w:autoSpaceDN w:val="0"/>
        <w:adjustRightInd w:val="0"/>
        <w:rPr>
          <w:rFonts w:eastAsia="TimesNewRoman"/>
          <w:sz w:val="20"/>
        </w:rPr>
      </w:pPr>
      <w:r w:rsidRPr="007E3C44">
        <w:rPr>
          <w:rFonts w:eastAsia="TimesNewRoman"/>
          <w:sz w:val="20"/>
        </w:rPr>
        <w:t>The</w:t>
      </w:r>
      <w:r>
        <w:rPr>
          <w:rFonts w:eastAsia="TimesNewRoman"/>
          <w:sz w:val="20"/>
        </w:rPr>
        <w:t xml:space="preserve"> implementer needs to ensure that the higher layer timings are in accordance with setting/unsetting of SP3 packet use by the MAC. The setting/unsetting of SP3 operation in the receiver is conceptually no different than switching between preamble codes, data rates, or RF channels.</w:t>
      </w:r>
    </w:p>
    <w:p w:rsidR="00C87094" w:rsidRPr="00187BD4" w:rsidRDefault="00C87094" w:rsidP="006311C9">
      <w:pPr>
        <w:autoSpaceDE w:val="0"/>
        <w:autoSpaceDN w:val="0"/>
        <w:adjustRightInd w:val="0"/>
      </w:pPr>
    </w:p>
    <w:sectPr w:rsidR="00C87094" w:rsidRPr="00187BD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71" w:rsidRDefault="00FB1571">
      <w:r>
        <w:separator/>
      </w:r>
    </w:p>
  </w:endnote>
  <w:endnote w:type="continuationSeparator" w:id="0">
    <w:p w:rsidR="00FB1571" w:rsidRDefault="00FB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D3AF6">
      <w:t>NXP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71" w:rsidRDefault="00FB1571">
      <w:r>
        <w:separator/>
      </w:r>
    </w:p>
  </w:footnote>
  <w:footnote w:type="continuationSeparator" w:id="0">
    <w:p w:rsidR="00FB1571" w:rsidRDefault="00FB1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1713B">
      <w:rPr>
        <w:b/>
        <w:noProof/>
        <w:sz w:val="28"/>
      </w:rPr>
      <w:t>July, 2019</w:t>
    </w:r>
    <w:r>
      <w:rPr>
        <w:b/>
        <w:sz w:val="28"/>
      </w:rPr>
      <w:fldChar w:fldCharType="end"/>
    </w:r>
    <w:r>
      <w:rPr>
        <w:b/>
        <w:sz w:val="28"/>
      </w:rPr>
      <w:tab/>
      <w:t xml:space="preserve"> IEEE P802.15-</w:t>
    </w:r>
    <w:r w:rsidR="0071713B">
      <w:rPr>
        <w:b/>
        <w:sz w:val="28"/>
      </w:rPr>
      <w:t>19-0326-01</w:t>
    </w:r>
    <w:r w:rsidR="00EE10E4" w:rsidRPr="00EE10E4">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B7DA9"/>
    <w:multiLevelType w:val="multilevel"/>
    <w:tmpl w:val="1F9C282E"/>
    <w:numStyleLink w:val="Headings"/>
  </w:abstractNum>
  <w:abstractNum w:abstractNumId="5">
    <w:nsid w:val="783613A9"/>
    <w:multiLevelType w:val="multilevel"/>
    <w:tmpl w:val="1F9C282E"/>
    <w:numStyleLink w:val="Headings"/>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B7"/>
    <w:rsid w:val="000558FB"/>
    <w:rsid w:val="000671A9"/>
    <w:rsid w:val="000F7EB0"/>
    <w:rsid w:val="001513B7"/>
    <w:rsid w:val="00154A55"/>
    <w:rsid w:val="00187BD4"/>
    <w:rsid w:val="00246EB2"/>
    <w:rsid w:val="002C440D"/>
    <w:rsid w:val="003866AE"/>
    <w:rsid w:val="00521B6D"/>
    <w:rsid w:val="005B0DB9"/>
    <w:rsid w:val="005C4445"/>
    <w:rsid w:val="005E5E73"/>
    <w:rsid w:val="00620D88"/>
    <w:rsid w:val="006311C9"/>
    <w:rsid w:val="00694F59"/>
    <w:rsid w:val="006A535C"/>
    <w:rsid w:val="006D3AF6"/>
    <w:rsid w:val="0071713B"/>
    <w:rsid w:val="0076161F"/>
    <w:rsid w:val="0079297D"/>
    <w:rsid w:val="007D2621"/>
    <w:rsid w:val="008B7DC8"/>
    <w:rsid w:val="009046EB"/>
    <w:rsid w:val="009743D5"/>
    <w:rsid w:val="009934C6"/>
    <w:rsid w:val="009B06A7"/>
    <w:rsid w:val="00A22970"/>
    <w:rsid w:val="00BF41F7"/>
    <w:rsid w:val="00C87094"/>
    <w:rsid w:val="00E220B0"/>
    <w:rsid w:val="00E272F1"/>
    <w:rsid w:val="00E54D63"/>
    <w:rsid w:val="00EE10E4"/>
    <w:rsid w:val="00EE4A79"/>
    <w:rsid w:val="00EE7637"/>
    <w:rsid w:val="00FB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311C9"/>
    <w:pPr>
      <w:ind w:left="800"/>
    </w:pPr>
    <w:rPr>
      <w:szCs w:val="24"/>
    </w:rPr>
  </w:style>
  <w:style w:type="character" w:customStyle="1" w:styleId="ReqTxtChar">
    <w:name w:val="ReqTxt Char"/>
    <w:link w:val="ReqTxt"/>
    <w:locked/>
    <w:rsid w:val="006311C9"/>
    <w:rPr>
      <w:rFonts w:ascii="Arial" w:hAnsi="Arial" w:cs="Arial"/>
    </w:rPr>
  </w:style>
  <w:style w:type="paragraph" w:customStyle="1" w:styleId="ReqTxt">
    <w:name w:val="ReqTxt"/>
    <w:basedOn w:val="Normal"/>
    <w:link w:val="ReqTxtChar"/>
    <w:qFormat/>
    <w:rsid w:val="006311C9"/>
    <w:pPr>
      <w:spacing w:before="100" w:after="80" w:line="250" w:lineRule="exact"/>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Heading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2019-07-16T15:51:00Z</dcterms:created>
  <dcterms:modified xsi:type="dcterms:W3CDTF">2019-07-17T07:16:00Z</dcterms:modified>
  <cp:category/>
</cp:coreProperties>
</file>